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2016</w:t>
      </w:r>
    </w:p>
    <w:p>
      <w:pPr>
        <w:spacing w:after="0" w:line="198"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40" w:type="dxa"/>
            <w:vAlign w:val="bottom"/>
            <w:gridSpan w:val="3"/>
          </w:tcPr>
          <w:p>
            <w:pPr>
              <w:jc w:val="center"/>
              <w:ind w:right="3000"/>
              <w:spacing w:after="0"/>
              <w:rPr>
                <w:sz w:val="20"/>
                <w:szCs w:val="20"/>
                <w:color w:val="auto"/>
              </w:rPr>
            </w:pPr>
            <w:r>
              <w:rPr>
                <w:rFonts w:ascii="Arial" w:cs="Arial" w:eastAsia="Arial" w:hAnsi="Arial"/>
                <w:sz w:val="18"/>
                <w:szCs w:val="18"/>
                <w:color w:val="auto"/>
                <w:w w:val="99"/>
              </w:rPr>
              <w:t>Delaware</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22-2640650</w:t>
            </w:r>
          </w:p>
        </w:tc>
        <w:tc>
          <w:tcPr>
            <w:tcW w:w="1140" w:type="dxa"/>
            <w:vAlign w:val="bottom"/>
          </w:tcPr>
          <w:p>
            <w:pPr>
              <w:spacing w:after="0"/>
              <w:rPr>
                <w:sz w:val="17"/>
                <w:szCs w:val="17"/>
                <w:color w:val="auto"/>
              </w:rPr>
            </w:pPr>
          </w:p>
        </w:tc>
      </w:tr>
      <w:tr>
        <w:trPr>
          <w:trHeight w:val="209"/>
        </w:trPr>
        <w:tc>
          <w:tcPr>
            <w:tcW w:w="114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jc w:val="center"/>
              <w:ind w:right="1030"/>
              <w:spacing w:after="0"/>
              <w:rPr>
                <w:sz w:val="20"/>
                <w:szCs w:val="20"/>
                <w:color w:val="auto"/>
              </w:rPr>
            </w:pPr>
            <w:r>
              <w:rPr>
                <w:rFonts w:ascii="Arial" w:cs="Arial" w:eastAsia="Arial" w:hAnsi="Arial"/>
                <w:sz w:val="18"/>
                <w:szCs w:val="18"/>
                <w:color w:val="auto"/>
              </w:rPr>
              <w:t>(State or other jurisdiction of</w:t>
            </w:r>
          </w:p>
        </w:tc>
        <w:tc>
          <w:tcPr>
            <w:tcW w:w="1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9"/>
              </w:rPr>
              <w:t>(I.R.S. Employer</w:t>
            </w:r>
          </w:p>
        </w:tc>
      </w:tr>
      <w:tr>
        <w:trPr>
          <w:trHeight w:val="217"/>
        </w:trPr>
        <w:tc>
          <w:tcPr>
            <w:tcW w:w="1140" w:type="dxa"/>
            <w:vAlign w:val="bottom"/>
          </w:tcPr>
          <w:p>
            <w:pPr>
              <w:spacing w:after="0"/>
              <w:rPr>
                <w:sz w:val="18"/>
                <w:szCs w:val="18"/>
                <w:color w:val="auto"/>
              </w:rPr>
            </w:pPr>
          </w:p>
        </w:tc>
        <w:tc>
          <w:tcPr>
            <w:tcW w:w="6440" w:type="dxa"/>
            <w:vAlign w:val="bottom"/>
            <w:gridSpan w:val="3"/>
          </w:tcPr>
          <w:p>
            <w:pPr>
              <w:jc w:val="center"/>
              <w:ind w:right="2980"/>
              <w:spacing w:after="0"/>
              <w:rPr>
                <w:sz w:val="20"/>
                <w:szCs w:val="20"/>
                <w:color w:val="auto"/>
              </w:rPr>
            </w:pPr>
            <w:r>
              <w:rPr>
                <w:rFonts w:ascii="Arial" w:cs="Arial" w:eastAsia="Arial" w:hAnsi="Arial"/>
                <w:sz w:val="18"/>
                <w:szCs w:val="18"/>
                <w:color w:val="auto"/>
                <w:w w:val="99"/>
              </w:rPr>
              <w:t>incorporation or organization)</w:t>
            </w:r>
          </w:p>
        </w:tc>
        <w:tc>
          <w:tcPr>
            <w:tcW w:w="270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Identification No.)</w:t>
            </w:r>
          </w:p>
        </w:tc>
      </w:tr>
      <w:tr>
        <w:trPr>
          <w:trHeight w:val="418"/>
        </w:trPr>
        <w:tc>
          <w:tcPr>
            <w:tcW w:w="1140" w:type="dxa"/>
            <w:vAlign w:val="bottom"/>
          </w:tcPr>
          <w:p>
            <w:pPr>
              <w:spacing w:after="0"/>
              <w:rPr>
                <w:sz w:val="24"/>
                <w:szCs w:val="24"/>
                <w:color w:val="auto"/>
              </w:rPr>
            </w:pPr>
          </w:p>
        </w:tc>
        <w:tc>
          <w:tcPr>
            <w:tcW w:w="6440" w:type="dxa"/>
            <w:vAlign w:val="bottom"/>
            <w:gridSpan w:val="3"/>
          </w:tcPr>
          <w:p>
            <w:pPr>
              <w:jc w:val="center"/>
              <w:ind w:right="3000"/>
              <w:spacing w:after="0"/>
              <w:rPr>
                <w:sz w:val="20"/>
                <w:szCs w:val="20"/>
                <w:color w:val="auto"/>
              </w:rPr>
            </w:pPr>
            <w:r>
              <w:rPr>
                <w:rFonts w:ascii="Arial" w:cs="Arial" w:eastAsia="Arial" w:hAnsi="Arial"/>
                <w:sz w:val="18"/>
                <w:szCs w:val="18"/>
                <w:color w:val="auto"/>
                <w:w w:val="98"/>
              </w:rPr>
              <w:t>115 Tabor Road</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140" w:type="dxa"/>
            <w:vAlign w:val="bottom"/>
          </w:tcPr>
          <w:p>
            <w:pPr>
              <w:spacing w:after="0"/>
              <w:rPr>
                <w:sz w:val="17"/>
                <w:szCs w:val="17"/>
                <w:color w:val="auto"/>
              </w:rPr>
            </w:pPr>
          </w:p>
        </w:tc>
        <w:tc>
          <w:tcPr>
            <w:tcW w:w="6440" w:type="dxa"/>
            <w:vAlign w:val="bottom"/>
            <w:gridSpan w:val="3"/>
          </w:tcPr>
          <w:p>
            <w:pPr>
              <w:jc w:val="center"/>
              <w:ind w:right="3000"/>
              <w:spacing w:after="0" w:line="203" w:lineRule="exact"/>
              <w:rPr>
                <w:sz w:val="20"/>
                <w:szCs w:val="20"/>
                <w:color w:val="auto"/>
              </w:rPr>
            </w:pPr>
            <w:r>
              <w:rPr>
                <w:rFonts w:ascii="Arial" w:cs="Arial" w:eastAsia="Arial" w:hAnsi="Arial"/>
                <w:sz w:val="18"/>
                <w:szCs w:val="18"/>
                <w:color w:val="auto"/>
                <w:w w:val="99"/>
              </w:rPr>
              <w:t>Morris Plains, New Jersey</w:t>
            </w:r>
          </w:p>
        </w:tc>
        <w:tc>
          <w:tcPr>
            <w:tcW w:w="15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07950</w:t>
            </w:r>
          </w:p>
        </w:tc>
        <w:tc>
          <w:tcPr>
            <w:tcW w:w="1140" w:type="dxa"/>
            <w:vAlign w:val="bottom"/>
          </w:tcPr>
          <w:p>
            <w:pPr>
              <w:spacing w:after="0"/>
              <w:rPr>
                <w:sz w:val="17"/>
                <w:szCs w:val="17"/>
                <w:color w:val="auto"/>
              </w:rPr>
            </w:pPr>
          </w:p>
        </w:tc>
      </w:tr>
      <w:tr>
        <w:trPr>
          <w:trHeight w:val="210"/>
        </w:trPr>
        <w:tc>
          <w:tcPr>
            <w:tcW w:w="114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9"/>
              </w:rPr>
              <w:t>(Address of principal executive offices)</w:t>
            </w:r>
          </w:p>
        </w:tc>
        <w:tc>
          <w:tcPr>
            <w:tcW w:w="1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8"/>
              </w:rPr>
              <w:t>(Zip Code)</w:t>
            </w:r>
          </w:p>
        </w:tc>
      </w:tr>
      <w:tr>
        <w:trPr>
          <w:trHeight w:val="418"/>
        </w:trPr>
        <w:tc>
          <w:tcPr>
            <w:tcW w:w="6860" w:type="dxa"/>
            <w:vAlign w:val="bottom"/>
            <w:gridSpan w:val="3"/>
          </w:tcPr>
          <w:p>
            <w:pPr>
              <w:jc w:val="center"/>
              <w:ind w:left="3330"/>
              <w:spacing w:after="0"/>
              <w:rPr>
                <w:sz w:val="20"/>
                <w:szCs w:val="20"/>
                <w:color w:val="auto"/>
              </w:rPr>
            </w:pPr>
            <w:r>
              <w:rPr>
                <w:rFonts w:ascii="Arial" w:cs="Arial" w:eastAsia="Arial" w:hAnsi="Arial"/>
                <w:sz w:val="18"/>
                <w:szCs w:val="18"/>
                <w:color w:val="auto"/>
              </w:rPr>
              <w:t>(973) 455-2000</w:t>
            </w: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6440" w:type="dxa"/>
            <w:vAlign w:val="bottom"/>
            <w:tcBorders>
              <w:top w:val="single" w:sz="8" w:color="auto"/>
            </w:tcBorders>
            <w:gridSpan w:val="3"/>
          </w:tcPr>
          <w:p>
            <w:pPr>
              <w:jc w:val="center"/>
              <w:ind w:left="1490"/>
              <w:spacing w:after="0"/>
              <w:rPr>
                <w:sz w:val="20"/>
                <w:szCs w:val="20"/>
                <w:color w:val="auto"/>
              </w:rPr>
            </w:pPr>
            <w:r>
              <w:rPr>
                <w:rFonts w:ascii="Arial" w:cs="Arial" w:eastAsia="Arial" w:hAnsi="Arial"/>
                <w:sz w:val="18"/>
                <w:szCs w:val="18"/>
                <w:color w:val="auto"/>
                <w:w w:val="99"/>
              </w:rPr>
              <w:t>(Registrant’s telephone number, including area code)</w:t>
            </w:r>
          </w:p>
        </w:tc>
        <w:tc>
          <w:tcPr>
            <w:tcW w:w="156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418"/>
        </w:trPr>
        <w:tc>
          <w:tcPr>
            <w:tcW w:w="1140" w:type="dxa"/>
            <w:vAlign w:val="bottom"/>
          </w:tcPr>
          <w:p>
            <w:pPr>
              <w:spacing w:after="0"/>
              <w:rPr>
                <w:sz w:val="24"/>
                <w:szCs w:val="24"/>
                <w:color w:val="auto"/>
              </w:rPr>
            </w:pPr>
          </w:p>
        </w:tc>
        <w:tc>
          <w:tcPr>
            <w:tcW w:w="6440" w:type="dxa"/>
            <w:vAlign w:val="bottom"/>
            <w:tcBorders>
              <w:bottom w:val="single" w:sz="8" w:color="auto"/>
            </w:tcBorders>
            <w:gridSpan w:val="3"/>
          </w:tcPr>
          <w:p>
            <w:pPr>
              <w:jc w:val="center"/>
              <w:ind w:left="1470"/>
              <w:spacing w:after="0"/>
              <w:rPr>
                <w:sz w:val="20"/>
                <w:szCs w:val="20"/>
                <w:color w:val="auto"/>
              </w:rPr>
            </w:pPr>
            <w:r>
              <w:rPr>
                <w:rFonts w:ascii="Arial" w:cs="Arial" w:eastAsia="Arial" w:hAnsi="Arial"/>
                <w:sz w:val="18"/>
                <w:szCs w:val="18"/>
                <w:color w:val="auto"/>
                <w:w w:val="99"/>
              </w:rPr>
              <w:t>Not Applicable</w:t>
            </w:r>
          </w:p>
        </w:tc>
        <w:tc>
          <w:tcPr>
            <w:tcW w:w="15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6440" w:type="dxa"/>
            <w:vAlign w:val="bottom"/>
            <w:gridSpan w:val="3"/>
          </w:tcPr>
          <w:p>
            <w:pPr>
              <w:jc w:val="center"/>
              <w:ind w:left="1470"/>
              <w:spacing w:after="0"/>
              <w:rPr>
                <w:sz w:val="20"/>
                <w:szCs w:val="20"/>
                <w:color w:val="auto"/>
              </w:rPr>
            </w:pPr>
            <w:r>
              <w:rPr>
                <w:rFonts w:ascii="Arial" w:cs="Arial" w:eastAsia="Arial" w:hAnsi="Arial"/>
                <w:sz w:val="18"/>
                <w:szCs w:val="18"/>
                <w:color w:val="auto"/>
                <w:w w:val="99"/>
              </w:rPr>
              <w:t>(Former name, former address and former fiscal year,</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6440" w:type="dxa"/>
            <w:vAlign w:val="bottom"/>
            <w:gridSpan w:val="3"/>
          </w:tcPr>
          <w:p>
            <w:pPr>
              <w:jc w:val="center"/>
              <w:ind w:left="1470"/>
              <w:spacing w:after="0"/>
              <w:rPr>
                <w:sz w:val="20"/>
                <w:szCs w:val="20"/>
                <w:color w:val="auto"/>
              </w:rPr>
            </w:pPr>
            <w:r>
              <w:rPr>
                <w:rFonts w:ascii="Arial" w:cs="Arial" w:eastAsia="Arial" w:hAnsi="Arial"/>
                <w:sz w:val="18"/>
                <w:szCs w:val="18"/>
                <w:color w:val="auto"/>
                <w:w w:val="99"/>
              </w:rPr>
              <w:t>if changed since last report)</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8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 Accelerated filer o Non-Accelerated filer o Smaller reporting company o</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There were 762,115,463 shares of Common Stock outstanding at March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76" w:lineRule="exact"/>
        <w:rPr>
          <w:sz w:val="20"/>
          <w:szCs w:val="20"/>
          <w:color w:val="auto"/>
        </w:rPr>
      </w:pPr>
    </w:p>
    <w:p>
      <w:pPr>
        <w:spacing w:after="0"/>
        <w:tabs>
          <w:tab w:leader="none" w:pos="2280" w:val="left"/>
          <w:tab w:leader="none" w:pos="1044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r>
        <w:rPr>
          <w:rFonts w:ascii="Arial" w:cs="Arial" w:eastAsia="Arial" w:hAnsi="Arial"/>
          <w:sz w:val="18"/>
          <w:szCs w:val="18"/>
          <w:b w:val="1"/>
          <w:bCs w:val="1"/>
          <w:u w:val="single" w:color="auto"/>
          <w:color w:val="0000EE"/>
        </w:rPr>
        <w:tab/>
        <w:t>Page No.</w:t>
      </w:r>
    </w:p>
    <w:p>
      <w:pPr>
        <w:spacing w:after="0" w:line="247" w:lineRule="exact"/>
        <w:rPr>
          <w:sz w:val="20"/>
          <w:szCs w:val="20"/>
          <w:color w:val="auto"/>
        </w:rPr>
      </w:pPr>
    </w:p>
    <w:p>
      <w:pPr>
        <w:ind w:left="1160"/>
        <w:spacing w:after="0"/>
        <w:tabs>
          <w:tab w:leader="none" w:pos="2460" w:val="left"/>
        </w:tabs>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8"/>
            <w:szCs w:val="18"/>
            <w:u w:val="single" w:color="auto"/>
            <w:color w:val="0000EE"/>
          </w:rPr>
          <w:t>Financial Statements:</w:t>
        </w:r>
      </w:hyperlink>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60"/>
        <w:spacing w:after="0"/>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Item 2.</w:t>
        </w:r>
      </w:hyperlink>
    </w:p>
    <w:p>
      <w:pPr>
        <w:spacing w:after="0" w:line="237" w:lineRule="exact"/>
        <w:rPr>
          <w:sz w:val="20"/>
          <w:szCs w:val="20"/>
          <w:color w:val="auto"/>
        </w:rPr>
      </w:pPr>
    </w:p>
    <w:p>
      <w:pPr>
        <w:ind w:left="1160"/>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Item 3.</w:t>
        </w:r>
      </w:hyperlink>
    </w:p>
    <w:p>
      <w:pPr>
        <w:spacing w:after="0" w:line="237" w:lineRule="exact"/>
        <w:rPr>
          <w:sz w:val="20"/>
          <w:szCs w:val="20"/>
          <w:color w:val="auto"/>
        </w:rPr>
      </w:pPr>
    </w:p>
    <w:p>
      <w:pPr>
        <w:ind w:left="1160"/>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Item 4.</w:t>
        </w:r>
      </w:hyperlink>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 –</w:t>
              </w:r>
            </w:hyperlink>
          </w:p>
        </w:tc>
        <w:tc>
          <w:tcPr>
            <w:tcW w:w="800" w:type="dxa"/>
            <w:vAlign w:val="bottom"/>
          </w:tcPr>
          <w:p>
            <w:pPr>
              <w:spacing w:after="0"/>
              <w:rPr>
                <w:sz w:val="17"/>
                <w:szCs w:val="17"/>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9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March 31, 2016 and 2015</w:t>
              </w:r>
            </w:hyperlink>
          </w:p>
        </w:tc>
        <w:tc>
          <w:tcPr>
            <w:tcW w:w="3520" w:type="dxa"/>
            <w:vAlign w:val="bottom"/>
            <w:gridSpan w:val="5"/>
          </w:tcPr>
          <w:p>
            <w:pPr>
              <w:spacing w:after="0"/>
              <w:rPr>
                <w:sz w:val="15"/>
                <w:szCs w:val="15"/>
                <w:color w:val="auto"/>
              </w:rPr>
            </w:pPr>
          </w:p>
        </w:tc>
        <w:tc>
          <w:tcPr>
            <w:tcW w:w="800" w:type="dxa"/>
            <w:vAlign w:val="bottom"/>
          </w:tcPr>
          <w:p>
            <w:pPr>
              <w:jc w:val="center"/>
              <w:ind w:left="490"/>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1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768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w:t>
              </w:r>
            </w:hyperlink>
          </w:p>
        </w:tc>
        <w:tc>
          <w:tcPr>
            <w:tcW w:w="800" w:type="dxa"/>
            <w:vAlign w:val="bottom"/>
          </w:tcPr>
          <w:p>
            <w:pPr>
              <w:spacing w:after="0"/>
              <w:rPr>
                <w:sz w:val="24"/>
                <w:szCs w:val="2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840" w:type="dxa"/>
            <w:vAlign w:val="bottom"/>
            <w:tcBorders>
              <w:top w:val="single" w:sz="8" w:color="0000EE"/>
              <w:bottom w:val="single" w:sz="8" w:color="0000EE"/>
            </w:tcBorders>
            <w:gridSpan w:val="5"/>
          </w:tcPr>
          <w:p>
            <w:pPr>
              <w:ind w:left="60"/>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Three Months Ended March 31, 2016 and 2015</w:t>
              </w:r>
            </w:hyperlink>
          </w:p>
        </w:tc>
        <w:tc>
          <w:tcPr>
            <w:tcW w:w="1160" w:type="dxa"/>
            <w:vAlign w:val="bottom"/>
            <w:tcBorders>
              <w:top w:val="single" w:sz="8" w:color="0000EE"/>
            </w:tcBorders>
            <w:gridSpan w:val="4"/>
          </w:tcPr>
          <w:p>
            <w:pPr>
              <w:spacing w:after="0"/>
              <w:rPr>
                <w:sz w:val="15"/>
                <w:szCs w:val="15"/>
                <w:color w:val="auto"/>
              </w:rPr>
            </w:pPr>
          </w:p>
        </w:tc>
        <w:tc>
          <w:tcPr>
            <w:tcW w:w="2500" w:type="dxa"/>
            <w:vAlign w:val="bottom"/>
            <w:gridSpan w:val="2"/>
          </w:tcPr>
          <w:p>
            <w:pPr>
              <w:spacing w:after="0"/>
              <w:rPr>
                <w:sz w:val="15"/>
                <w:szCs w:val="15"/>
                <w:color w:val="auto"/>
              </w:rPr>
            </w:pPr>
          </w:p>
        </w:tc>
        <w:tc>
          <w:tcPr>
            <w:tcW w:w="800" w:type="dxa"/>
            <w:vAlign w:val="bottom"/>
          </w:tcPr>
          <w:p>
            <w:pPr>
              <w:jc w:val="center"/>
              <w:ind w:left="490"/>
              <w:spacing w:after="0" w:line="182" w:lineRule="exact"/>
              <w:rPr>
                <w:sz w:val="20"/>
                <w:szCs w:val="20"/>
                <w:color w:val="auto"/>
              </w:rPr>
            </w:pPr>
            <w:r>
              <w:rPr>
                <w:rFonts w:ascii="Arial" w:cs="Arial" w:eastAsia="Arial" w:hAnsi="Arial"/>
                <w:sz w:val="18"/>
                <w:szCs w:val="18"/>
                <w:color w:val="auto"/>
                <w:w w:val="99"/>
              </w:rPr>
              <w:t>4</w:t>
            </w:r>
          </w:p>
        </w:tc>
      </w:tr>
      <w:tr>
        <w:trPr>
          <w:trHeight w:val="399"/>
        </w:trPr>
        <w:tc>
          <w:tcPr>
            <w:tcW w:w="76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w:t>
              </w:r>
            </w:hyperlink>
          </w:p>
        </w:tc>
        <w:tc>
          <w:tcPr>
            <w:tcW w:w="80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500" w:type="dxa"/>
            <w:vAlign w:val="bottom"/>
            <w:gridSpan w:val="11"/>
          </w:tcPr>
          <w:p>
            <w:pPr>
              <w:ind w:left="60"/>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March 31, 2016 and December 31, 2015</w:t>
              </w:r>
            </w:hyperlink>
          </w:p>
        </w:tc>
        <w:tc>
          <w:tcPr>
            <w:tcW w:w="800" w:type="dxa"/>
            <w:vAlign w:val="bottom"/>
          </w:tcPr>
          <w:p>
            <w:pPr>
              <w:jc w:val="center"/>
              <w:ind w:left="490"/>
              <w:spacing w:after="0" w:line="182" w:lineRule="exact"/>
              <w:rPr>
                <w:sz w:val="20"/>
                <w:szCs w:val="20"/>
                <w:color w:val="auto"/>
              </w:rPr>
            </w:pPr>
            <w:r>
              <w:rPr>
                <w:rFonts w:ascii="Arial" w:cs="Arial" w:eastAsia="Arial" w:hAnsi="Arial"/>
                <w:sz w:val="18"/>
                <w:szCs w:val="18"/>
                <w:color w:val="auto"/>
                <w:w w:val="99"/>
              </w:rPr>
              <w:t>5</w:t>
            </w:r>
          </w:p>
        </w:tc>
      </w:tr>
      <w:tr>
        <w:trPr>
          <w:trHeight w:val="20"/>
        </w:trPr>
        <w:tc>
          <w:tcPr>
            <w:tcW w:w="1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99"/>
        </w:trPr>
        <w:tc>
          <w:tcPr>
            <w:tcW w:w="76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w:t>
              </w:r>
            </w:hyperlink>
          </w:p>
        </w:tc>
        <w:tc>
          <w:tcPr>
            <w:tcW w:w="800" w:type="dxa"/>
            <w:vAlign w:val="bottom"/>
          </w:tcPr>
          <w:p>
            <w:pPr>
              <w:spacing w:after="0"/>
              <w:rPr>
                <w:sz w:val="24"/>
                <w:szCs w:val="2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0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2016 and 2015</w:t>
              </w:r>
            </w:hyperlink>
          </w:p>
        </w:tc>
        <w:tc>
          <w:tcPr>
            <w:tcW w:w="3460" w:type="dxa"/>
            <w:vAlign w:val="bottom"/>
            <w:gridSpan w:val="4"/>
          </w:tcPr>
          <w:p>
            <w:pPr>
              <w:spacing w:after="0"/>
              <w:rPr>
                <w:sz w:val="15"/>
                <w:szCs w:val="15"/>
                <w:color w:val="auto"/>
              </w:rPr>
            </w:pPr>
          </w:p>
        </w:tc>
        <w:tc>
          <w:tcPr>
            <w:tcW w:w="800" w:type="dxa"/>
            <w:vAlign w:val="bottom"/>
          </w:tcPr>
          <w:p>
            <w:pPr>
              <w:jc w:val="center"/>
              <w:ind w:left="490"/>
              <w:spacing w:after="0" w:line="182" w:lineRule="exact"/>
              <w:rPr>
                <w:sz w:val="20"/>
                <w:szCs w:val="20"/>
                <w:color w:val="auto"/>
              </w:rPr>
            </w:pPr>
            <w:r>
              <w:rPr>
                <w:rFonts w:ascii="Arial" w:cs="Arial" w:eastAsia="Arial" w:hAnsi="Arial"/>
                <w:sz w:val="18"/>
                <w:szCs w:val="18"/>
                <w:color w:val="auto"/>
                <w:w w:val="99"/>
              </w:rPr>
              <w:t>6</w:t>
            </w:r>
          </w:p>
        </w:tc>
      </w:tr>
      <w:tr>
        <w:trPr>
          <w:trHeight w:val="20"/>
        </w:trPr>
        <w:tc>
          <w:tcPr>
            <w:tcW w:w="1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7680" w:type="dxa"/>
            <w:vAlign w:val="bottom"/>
            <w:gridSpan w:val="1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800" w:type="dxa"/>
            <w:vAlign w:val="bottom"/>
          </w:tcPr>
          <w:p>
            <w:pPr>
              <w:jc w:val="center"/>
              <w:ind w:left="490"/>
              <w:spacing w:after="0"/>
              <w:rPr>
                <w:sz w:val="20"/>
                <w:szCs w:val="20"/>
                <w:color w:val="auto"/>
              </w:rPr>
            </w:pPr>
            <w:r>
              <w:rPr>
                <w:rFonts w:ascii="Arial" w:cs="Arial" w:eastAsia="Arial" w:hAnsi="Arial"/>
                <w:sz w:val="18"/>
                <w:szCs w:val="18"/>
                <w:color w:val="auto"/>
                <w:w w:val="99"/>
              </w:rPr>
              <w:t>7</w:t>
            </w:r>
          </w:p>
        </w:tc>
      </w:tr>
      <w:tr>
        <w:trPr>
          <w:trHeight w:val="20"/>
        </w:trPr>
        <w:tc>
          <w:tcPr>
            <w:tcW w:w="200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7680" w:type="dxa"/>
            <w:vAlign w:val="bottom"/>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center"/>
              <w:ind w:left="510"/>
              <w:spacing w:after="0"/>
              <w:rPr>
                <w:sz w:val="20"/>
                <w:szCs w:val="20"/>
                <w:color w:val="auto"/>
              </w:rPr>
            </w:pPr>
            <w:r>
              <w:rPr>
                <w:rFonts w:ascii="Arial" w:cs="Arial" w:eastAsia="Arial" w:hAnsi="Arial"/>
                <w:sz w:val="18"/>
                <w:szCs w:val="18"/>
                <w:color w:val="auto"/>
                <w:w w:val="99"/>
              </w:rPr>
              <w:t>22</w:t>
            </w:r>
          </w:p>
        </w:tc>
      </w:tr>
      <w:tr>
        <w:trPr>
          <w:trHeight w:val="412"/>
        </w:trPr>
        <w:tc>
          <w:tcPr>
            <w:tcW w:w="7080" w:type="dxa"/>
            <w:vAlign w:val="bottom"/>
            <w:tcBorders>
              <w:top w:val="single" w:sz="8" w:color="0000EE"/>
            </w:tcBorders>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Risks</w:t>
              </w:r>
            </w:hyperlink>
          </w:p>
        </w:tc>
        <w:tc>
          <w:tcPr>
            <w:tcW w:w="600" w:type="dxa"/>
            <w:vAlign w:val="bottom"/>
          </w:tcPr>
          <w:p>
            <w:pPr>
              <w:spacing w:after="0"/>
              <w:rPr>
                <w:sz w:val="24"/>
                <w:szCs w:val="24"/>
                <w:color w:val="auto"/>
              </w:rPr>
            </w:pPr>
          </w:p>
        </w:tc>
        <w:tc>
          <w:tcPr>
            <w:tcW w:w="800" w:type="dxa"/>
            <w:vAlign w:val="bottom"/>
          </w:tcPr>
          <w:p>
            <w:pPr>
              <w:jc w:val="center"/>
              <w:ind w:left="510"/>
              <w:spacing w:after="0"/>
              <w:rPr>
                <w:sz w:val="20"/>
                <w:szCs w:val="20"/>
                <w:color w:val="auto"/>
              </w:rPr>
            </w:pPr>
            <w:r>
              <w:rPr>
                <w:rFonts w:ascii="Arial" w:cs="Arial" w:eastAsia="Arial" w:hAnsi="Arial"/>
                <w:sz w:val="18"/>
                <w:szCs w:val="18"/>
                <w:color w:val="auto"/>
                <w:w w:val="99"/>
              </w:rPr>
              <w:t>28</w:t>
            </w:r>
          </w:p>
        </w:tc>
      </w:tr>
      <w:tr>
        <w:trPr>
          <w:trHeight w:val="412"/>
        </w:trPr>
        <w:tc>
          <w:tcPr>
            <w:tcW w:w="2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Controls and Procedures</w:t>
              </w:r>
            </w:hyperlink>
          </w:p>
        </w:tc>
        <w:tc>
          <w:tcPr>
            <w:tcW w:w="2800" w:type="dxa"/>
            <w:vAlign w:val="bottom"/>
            <w:tcBorders>
              <w:top w:val="single" w:sz="8" w:color="0000EE"/>
            </w:tcBorders>
            <w:gridSpan w:val="7"/>
          </w:tcPr>
          <w:p>
            <w:pPr>
              <w:spacing w:after="0"/>
              <w:rPr>
                <w:sz w:val="24"/>
                <w:szCs w:val="24"/>
                <w:color w:val="auto"/>
              </w:rPr>
            </w:pPr>
          </w:p>
        </w:tc>
        <w:tc>
          <w:tcPr>
            <w:tcW w:w="2880" w:type="dxa"/>
            <w:vAlign w:val="bottom"/>
            <w:gridSpan w:val="3"/>
          </w:tcPr>
          <w:p>
            <w:pPr>
              <w:spacing w:after="0"/>
              <w:rPr>
                <w:sz w:val="24"/>
                <w:szCs w:val="24"/>
                <w:color w:val="auto"/>
              </w:rPr>
            </w:pPr>
          </w:p>
        </w:tc>
        <w:tc>
          <w:tcPr>
            <w:tcW w:w="800" w:type="dxa"/>
            <w:vAlign w:val="bottom"/>
          </w:tcPr>
          <w:p>
            <w:pPr>
              <w:jc w:val="center"/>
              <w:ind w:left="510"/>
              <w:spacing w:after="0"/>
              <w:rPr>
                <w:sz w:val="20"/>
                <w:szCs w:val="20"/>
                <w:color w:val="auto"/>
              </w:rPr>
            </w:pPr>
            <w:r>
              <w:rPr>
                <w:rFonts w:ascii="Arial" w:cs="Arial" w:eastAsia="Arial" w:hAnsi="Arial"/>
                <w:sz w:val="18"/>
                <w:szCs w:val="18"/>
                <w:color w:val="auto"/>
                <w:w w:val="99"/>
              </w:rPr>
              <w:t>28</w:t>
            </w:r>
          </w:p>
        </w:tc>
      </w:tr>
    </w:tbl>
    <w:p>
      <w:pPr>
        <w:spacing w:after="0" w:line="178" w:lineRule="exact"/>
        <w:rPr>
          <w:sz w:val="20"/>
          <w:szCs w:val="20"/>
          <w:color w:val="auto"/>
        </w:rPr>
      </w:pPr>
    </w:p>
    <w:p>
      <w:pPr>
        <w:sectPr>
          <w:pgSz w:w="11900" w:h="16838" w:orient="portrait"/>
          <w:cols w:equalWidth="0" w:num="2">
            <w:col w:w="1760" w:space="720"/>
            <w:col w:w="8940"/>
          </w:cols>
          <w:pgMar w:left="240" w:top="391" w:right="2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Part II.</w:t>
              </w:r>
            </w:hyperlink>
          </w:p>
        </w:tc>
        <w:tc>
          <w:tcPr>
            <w:tcW w:w="1740" w:type="dxa"/>
            <w:vAlign w:val="bottom"/>
            <w:gridSpan w:val="5"/>
          </w:tcPr>
          <w:p>
            <w:pPr>
              <w:spacing w:after="0"/>
              <w:rPr>
                <w:sz w:val="19"/>
                <w:szCs w:val="19"/>
                <w:color w:val="auto"/>
              </w:rPr>
            </w:pPr>
          </w:p>
        </w:tc>
        <w:tc>
          <w:tcPr>
            <w:tcW w:w="6060" w:type="dxa"/>
            <w:vAlign w:val="bottom"/>
            <w:gridSpan w:val="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gridSpan w:val="2"/>
            <w:vMerge w:val="restart"/>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1.</w:t>
              </w:r>
            </w:hyperlink>
          </w:p>
        </w:tc>
        <w:tc>
          <w:tcPr>
            <w:tcW w:w="580" w:type="dxa"/>
            <w:vAlign w:val="bottom"/>
            <w:vMerge w:val="restart"/>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5"/>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Legal Proceedings</w:t>
              </w:r>
            </w:hyperlink>
          </w:p>
        </w:tc>
        <w:tc>
          <w:tcPr>
            <w:tcW w:w="4380" w:type="dxa"/>
            <w:vAlign w:val="bottom"/>
            <w:gridSpan w:val="2"/>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2.</w:t>
              </w:r>
            </w:hyperlink>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Changes in Securities and Use of Proceeds</w:t>
              </w:r>
            </w:hyperlink>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180" w:type="dxa"/>
            <w:vAlign w:val="bottom"/>
          </w:tcPr>
          <w:p>
            <w:pPr>
              <w:spacing w:after="0"/>
              <w:rPr>
                <w:sz w:val="24"/>
                <w:szCs w:val="24"/>
                <w:color w:val="auto"/>
              </w:rPr>
            </w:pPr>
          </w:p>
        </w:tc>
        <w:tc>
          <w:tcPr>
            <w:tcW w:w="348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240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2"/>
        </w:trPr>
        <w:tc>
          <w:tcPr>
            <w:tcW w:w="116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2015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financial statements and related footnotes as of March 31, 2016 should be read in conjunction with the financial statements for the year ended December 31, 2015 contained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17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7,619</w:t>
            </w:r>
          </w:p>
        </w:tc>
        <w:tc>
          <w:tcPr>
            <w:tcW w:w="900" w:type="dxa"/>
            <w:vAlign w:val="bottom"/>
            <w:gridSpan w:val="2"/>
            <w:shd w:val="clear" w:color="auto" w:fill="E5FF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Service sales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1,903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6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9,522</w:t>
            </w:r>
          </w:p>
        </w:tc>
        <w:tc>
          <w:tcPr>
            <w:tcW w:w="340" w:type="dxa"/>
            <w:vAlign w:val="bottom"/>
            <w:tcBorders>
              <w:top w:val="single" w:sz="8" w:color="E5FFFF"/>
            </w:tcBorders>
            <w:shd w:val="clear" w:color="auto" w:fill="E5FFFF"/>
          </w:tcPr>
          <w:p>
            <w:pPr>
              <w:spacing w:after="0"/>
              <w:rPr>
                <w:sz w:val="17"/>
                <w:szCs w:val="17"/>
                <w:color w:val="auto"/>
              </w:rPr>
            </w:pPr>
          </w:p>
        </w:tc>
        <w:tc>
          <w:tcPr>
            <w:tcW w:w="560" w:type="dxa"/>
            <w:vAlign w:val="bottom"/>
            <w:tcBorders>
              <w:top w:val="single" w:sz="8" w:color="auto"/>
              <w:bottom w:val="single" w:sz="8" w:color="auto"/>
            </w:tcBorders>
            <w:shd w:val="clear" w:color="auto" w:fill="E5FFFF"/>
          </w:tcPr>
          <w:p>
            <w:pPr>
              <w:spacing w:after="0"/>
              <w:rPr>
                <w:sz w:val="17"/>
                <w:szCs w:val="17"/>
                <w:color w:val="auto"/>
              </w:rPr>
            </w:pPr>
          </w:p>
        </w:tc>
        <w:tc>
          <w:tcPr>
            <w:tcW w:w="9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9,213</w:t>
            </w:r>
          </w:p>
        </w:tc>
        <w:tc>
          <w:tcPr>
            <w:tcW w:w="100" w:type="dxa"/>
            <w:vAlign w:val="bottom"/>
            <w:tcBorders>
              <w:top w:val="single" w:sz="8" w:color="E5FFFF"/>
              <w:bottom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28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16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5,349</w:t>
            </w: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16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1,198</w:t>
            </w:r>
          </w:p>
        </w:tc>
        <w:tc>
          <w:tcPr>
            <w:tcW w:w="340" w:type="dxa"/>
            <w:vAlign w:val="bottom"/>
            <w:tcBorders>
              <w:bottom w:val="single" w:sz="8" w:color="E5FF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E5FFFF"/>
          </w:tcPr>
          <w:p>
            <w:pPr>
              <w:spacing w:after="0"/>
              <w:rPr>
                <w:sz w:val="17"/>
                <w:szCs w:val="17"/>
                <w:color w:val="auto"/>
              </w:rPr>
            </w:pPr>
          </w:p>
        </w:tc>
        <w:tc>
          <w:tcPr>
            <w:tcW w:w="16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6,547</w:t>
            </w: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1,280</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16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w:t>
            </w: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E5FFFF"/>
            </w:tcBorders>
          </w:tcPr>
          <w:p>
            <w:pPr>
              <w:ind w:left="220"/>
              <w:spacing w:after="0"/>
              <w:rPr>
                <w:sz w:val="20"/>
                <w:szCs w:val="20"/>
                <w:color w:val="auto"/>
              </w:rPr>
            </w:pPr>
            <w:r>
              <w:rPr>
                <w:rFonts w:ascii="Arial" w:cs="Arial" w:eastAsia="Arial" w:hAnsi="Arial"/>
                <w:sz w:val="18"/>
                <w:szCs w:val="18"/>
                <w:color w:val="auto"/>
              </w:rPr>
              <w:t>Interest and other financial charges</w:t>
            </w:r>
          </w:p>
        </w:tc>
        <w:tc>
          <w:tcPr>
            <w:tcW w:w="16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E5FF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5FFFF"/>
          </w:tcPr>
          <w:p>
            <w:pPr>
              <w:spacing w:after="0"/>
              <w:rPr>
                <w:sz w:val="18"/>
                <w:szCs w:val="18"/>
                <w:color w:val="auto"/>
              </w:rPr>
            </w:pPr>
          </w:p>
        </w:tc>
        <w:tc>
          <w:tcPr>
            <w:tcW w:w="16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5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7,894</w:t>
            </w:r>
          </w:p>
        </w:tc>
        <w:tc>
          <w:tcPr>
            <w:tcW w:w="340" w:type="dxa"/>
            <w:vAlign w:val="bottom"/>
            <w:shd w:val="clear" w:color="auto" w:fill="E5FFFF"/>
          </w:tcPr>
          <w:p>
            <w:pPr>
              <w:spacing w:after="0"/>
              <w:rPr>
                <w:sz w:val="18"/>
                <w:szCs w:val="18"/>
                <w:color w:val="auto"/>
              </w:rPr>
            </w:pPr>
          </w:p>
        </w:tc>
        <w:tc>
          <w:tcPr>
            <w:tcW w:w="56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7,649</w:t>
            </w:r>
          </w:p>
        </w:tc>
        <w:tc>
          <w:tcPr>
            <w:tcW w:w="0" w:type="dxa"/>
            <w:vAlign w:val="bottom"/>
          </w:tcPr>
          <w:p>
            <w:pPr>
              <w:spacing w:after="0"/>
              <w:rPr>
                <w:sz w:val="1"/>
                <w:szCs w:val="1"/>
                <w:color w:val="auto"/>
              </w:rPr>
            </w:pPr>
          </w:p>
        </w:tc>
      </w:tr>
      <w:tr>
        <w:trPr>
          <w:trHeight w:val="196"/>
        </w:trPr>
        <w:tc>
          <w:tcPr>
            <w:tcW w:w="628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1,628</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16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5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432</w:t>
            </w:r>
          </w:p>
        </w:tc>
        <w:tc>
          <w:tcPr>
            <w:tcW w:w="340" w:type="dxa"/>
            <w:vAlign w:val="bottom"/>
            <w:shd w:val="clear" w:color="auto" w:fill="E5FFFF"/>
          </w:tcPr>
          <w:p>
            <w:pPr>
              <w:spacing w:after="0"/>
              <w:rPr>
                <w:sz w:val="18"/>
                <w:szCs w:val="18"/>
                <w:color w:val="auto"/>
              </w:rPr>
            </w:pPr>
          </w:p>
        </w:tc>
        <w:tc>
          <w:tcPr>
            <w:tcW w:w="56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1,196</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16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1,186</w:t>
            </w:r>
          </w:p>
        </w:tc>
        <w:tc>
          <w:tcPr>
            <w:tcW w:w="9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6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17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1.54</w:t>
            </w:r>
          </w:p>
        </w:tc>
        <w:tc>
          <w:tcPr>
            <w:tcW w:w="900" w:type="dxa"/>
            <w:vAlign w:val="bottom"/>
            <w:gridSpan w:val="2"/>
            <w:shd w:val="clear" w:color="auto" w:fill="E5FF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6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E5FFFF"/>
            </w:tcBorders>
            <w:vMerge w:val="continue"/>
          </w:tcPr>
          <w:p>
            <w:pPr>
              <w:spacing w:after="0"/>
              <w:rPr>
                <w:sz w:val="19"/>
                <w:szCs w:val="19"/>
                <w:color w:val="auto"/>
              </w:rPr>
            </w:pPr>
          </w:p>
        </w:tc>
        <w:tc>
          <w:tcPr>
            <w:tcW w:w="162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1.53</w:t>
            </w:r>
          </w:p>
        </w:tc>
        <w:tc>
          <w:tcPr>
            <w:tcW w:w="340" w:type="dxa"/>
            <w:vAlign w:val="bottom"/>
            <w:tcBorders>
              <w:bottom w:val="single" w:sz="8" w:color="E5FFFF"/>
            </w:tcBorders>
          </w:tcPr>
          <w:p>
            <w:pPr>
              <w:spacing w:after="0"/>
              <w:rPr>
                <w:sz w:val="19"/>
                <w:szCs w:val="19"/>
                <w:color w:val="auto"/>
              </w:rPr>
            </w:pPr>
          </w:p>
        </w:tc>
        <w:tc>
          <w:tcPr>
            <w:tcW w:w="560" w:type="dxa"/>
            <w:vAlign w:val="bottom"/>
            <w:tcBorders>
              <w:bottom w:val="single" w:sz="8" w:color="auto"/>
            </w:tcBorders>
          </w:tcPr>
          <w:p>
            <w:pPr>
              <w:jc w:val="right"/>
              <w:ind w:right="37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6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1620" w:type="dxa"/>
            <w:vAlign w:val="bottom"/>
            <w:tcBorders>
              <w:bottom w:val="single" w:sz="8" w:color="E5FFFF"/>
            </w:tcBorders>
            <w:shd w:val="clear" w:color="auto" w:fill="E5FFFF"/>
          </w:tcPr>
          <w:p>
            <w:pPr>
              <w:spacing w:after="0"/>
              <w:rPr>
                <w:sz w:val="15"/>
                <w:szCs w:val="15"/>
                <w:color w:val="auto"/>
              </w:rPr>
            </w:pPr>
          </w:p>
        </w:tc>
        <w:tc>
          <w:tcPr>
            <w:tcW w:w="10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0.5950</w:t>
            </w:r>
          </w:p>
        </w:tc>
        <w:tc>
          <w:tcPr>
            <w:tcW w:w="340" w:type="dxa"/>
            <w:vAlign w:val="bottom"/>
            <w:tcBorders>
              <w:bottom w:val="single" w:sz="8" w:color="E5FFFF"/>
            </w:tcBorders>
            <w:shd w:val="clear" w:color="auto" w:fill="E5FFFF"/>
          </w:tcPr>
          <w:p>
            <w:pPr>
              <w:spacing w:after="0"/>
              <w:rPr>
                <w:sz w:val="15"/>
                <w:szCs w:val="15"/>
                <w:color w:val="auto"/>
              </w:rPr>
            </w:pPr>
          </w:p>
        </w:tc>
        <w:tc>
          <w:tcPr>
            <w:tcW w:w="560" w:type="dxa"/>
            <w:vAlign w:val="bottom"/>
            <w:tcBorders>
              <w:bottom w:val="single" w:sz="8" w:color="auto"/>
            </w:tcBorders>
            <w:shd w:val="clear" w:color="auto" w:fill="E5FFFF"/>
          </w:tcPr>
          <w:p>
            <w:pPr>
              <w:jc w:val="right"/>
              <w:ind w:right="37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E5FFFF"/>
          </w:tcPr>
          <w:p>
            <w:pPr>
              <w:jc w:val="right"/>
              <w:ind w:right="100"/>
              <w:spacing w:after="0" w:line="183" w:lineRule="exact"/>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E5FFFF"/>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1,196</w:t>
            </w:r>
          </w:p>
        </w:tc>
        <w:tc>
          <w:tcPr>
            <w:tcW w:w="900" w:type="dxa"/>
            <w:vAlign w:val="bottom"/>
            <w:gridSpan w:val="2"/>
            <w:shd w:val="clear" w:color="auto" w:fill="E5FF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122</w:t>
            </w: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Actuarial losses (gains) recognized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5FFFF"/>
          </w:tcPr>
          <w:p>
            <w:pPr>
              <w:ind w:left="520"/>
              <w:spacing w:after="0"/>
              <w:rPr>
                <w:sz w:val="20"/>
                <w:szCs w:val="20"/>
                <w:color w:val="auto"/>
              </w:rPr>
            </w:pPr>
            <w:r>
              <w:rPr>
                <w:rFonts w:ascii="Arial" w:cs="Arial" w:eastAsia="Arial" w:hAnsi="Arial"/>
                <w:sz w:val="18"/>
                <w:szCs w:val="18"/>
                <w:color w:val="auto"/>
              </w:rPr>
              <w:t>Prior service (credits) costs recognized</w:t>
            </w:r>
          </w:p>
        </w:tc>
        <w:tc>
          <w:tcPr>
            <w:tcW w:w="22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E5FFFF"/>
          </w:tcPr>
          <w:p>
            <w:pPr>
              <w:spacing w:after="0"/>
              <w:rPr>
                <w:sz w:val="18"/>
                <w:szCs w:val="18"/>
                <w:color w:val="auto"/>
              </w:rPr>
            </w:pPr>
          </w:p>
        </w:tc>
        <w:tc>
          <w:tcPr>
            <w:tcW w:w="56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Pension and other postretirement benefits adjustments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Effective portion of cash flow hedges recognized in other comprehensive income (loss)</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w:t>
            </w: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Changes in fair value of effective cash flow hedges</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0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vMerge w:val="restart"/>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80</w:t>
            </w: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1,276</w:t>
            </w:r>
          </w:p>
        </w:tc>
        <w:tc>
          <w:tcPr>
            <w:tcW w:w="3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E5FF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1160" w:type="dxa"/>
            <w:vAlign w:val="bottom"/>
            <w:gridSpan w:val="2"/>
            <w:shd w:val="clear" w:color="auto" w:fill="E5FFFF"/>
          </w:tcPr>
          <w:p>
            <w:pPr>
              <w:jc w:val="right"/>
              <w:ind w:right="768"/>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1,266</w:t>
            </w:r>
          </w:p>
        </w:tc>
        <w:tc>
          <w:tcPr>
            <w:tcW w:w="90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36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4,473</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Accounts, notes and other receivables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8,397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Inventories</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4,743</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Investments and other current assets</w:t>
            </w:r>
          </w:p>
        </w:tc>
        <w:tc>
          <w:tcPr>
            <w:tcW w:w="8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1,919</w:t>
            </w:r>
          </w:p>
        </w:tc>
        <w:tc>
          <w:tcPr>
            <w:tcW w:w="36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19,532</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419"/>
        </w:trPr>
        <w:tc>
          <w:tcPr>
            <w:tcW w:w="7020" w:type="dxa"/>
            <w:vAlign w:val="bottom"/>
            <w:gridSpan w:val="2"/>
          </w:tcPr>
          <w:p>
            <w:pPr>
              <w:spacing w:after="0"/>
              <w:rPr>
                <w:sz w:val="20"/>
                <w:szCs w:val="20"/>
                <w:color w:val="auto"/>
              </w:rPr>
            </w:pPr>
            <w:r>
              <w:rPr>
                <w:rFonts w:ascii="Arial" w:cs="Arial" w:eastAsia="Arial" w:hAnsi="Arial"/>
                <w:sz w:val="18"/>
                <w:szCs w:val="18"/>
                <w:color w:val="auto"/>
              </w:rPr>
              <w:t>Investments and long-term receivables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6,027</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16,708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4,706</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318</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2,051</w:t>
            </w:r>
          </w:p>
        </w:tc>
        <w:tc>
          <w:tcPr>
            <w:tcW w:w="36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E5FFFF"/>
          </w:tcPr>
          <w:p>
            <w:pPr>
              <w:ind w:left="340"/>
              <w:spacing w:after="0" w:line="197" w:lineRule="exact"/>
              <w:rPr>
                <w:sz w:val="20"/>
                <w:szCs w:val="20"/>
                <w:color w:val="auto"/>
              </w:rPr>
            </w:pPr>
            <w:r>
              <w:rPr>
                <w:rFonts w:ascii="Arial" w:cs="Arial" w:eastAsia="Arial" w:hAnsi="Arial"/>
                <w:sz w:val="18"/>
                <w:szCs w:val="18"/>
                <w:color w:val="auto"/>
              </w:rPr>
              <w:t>Total assets</w:t>
            </w:r>
          </w:p>
        </w:tc>
        <w:tc>
          <w:tcPr>
            <w:tcW w:w="11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50,365</w:t>
            </w:r>
          </w:p>
        </w:tc>
        <w:tc>
          <w:tcPr>
            <w:tcW w:w="36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E5FFFF"/>
          </w:tcPr>
          <w:p>
            <w:pPr>
              <w:spacing w:after="0" w:line="20" w:lineRule="exact"/>
              <w:rPr>
                <w:sz w:val="1"/>
                <w:szCs w:val="1"/>
                <w:color w:val="auto"/>
              </w:rPr>
            </w:pPr>
          </w:p>
        </w:tc>
        <w:tc>
          <w:tcPr>
            <w:tcW w:w="88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tcBorders>
              <w:right w:val="single" w:sz="8" w:color="E5FFFF"/>
            </w:tcBorders>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36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5,511</w:t>
            </w:r>
          </w:p>
        </w:tc>
        <w:tc>
          <w:tcPr>
            <w:tcW w:w="3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3,631</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5,891</w:t>
            </w:r>
          </w:p>
        </w:tc>
        <w:tc>
          <w:tcPr>
            <w:tcW w:w="360" w:type="dxa"/>
            <w:vAlign w:val="bottom"/>
            <w:tcBorders>
              <w:right w:val="single" w:sz="8" w:color="E5FFFF"/>
            </w:tcBorders>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15,659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18,371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9,700</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506</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4,247</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432"/>
        </w:trPr>
        <w:tc>
          <w:tcPr>
            <w:tcW w:w="702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SHAREOWNERS’ EQUITY</w:t>
            </w:r>
          </w:p>
        </w:tc>
        <w:tc>
          <w:tcPr>
            <w:tcW w:w="8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360" w:type="dxa"/>
            <w:vAlign w:val="bottom"/>
            <w:tcBorders>
              <w:right w:val="single" w:sz="8" w:color="E5FFFF"/>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ind w:left="600"/>
              <w:spacing w:after="0" w:line="202" w:lineRule="exact"/>
              <w:rPr>
                <w:sz w:val="20"/>
                <w:szCs w:val="20"/>
                <w:color w:val="auto"/>
              </w:rPr>
            </w:pPr>
            <w:r>
              <w:rPr>
                <w:rFonts w:ascii="Arial" w:cs="Arial" w:eastAsia="Arial" w:hAnsi="Arial"/>
                <w:sz w:val="18"/>
                <w:szCs w:val="18"/>
                <w:color w:val="auto"/>
              </w:rPr>
              <w:t>- additional paid-in capital</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5,539</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(12,719)</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(2,455)</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Retained earnings</w:t>
            </w:r>
          </w:p>
        </w:tc>
        <w:tc>
          <w:tcPr>
            <w:tcW w:w="8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26,874</w:t>
            </w:r>
          </w:p>
        </w:tc>
        <w:tc>
          <w:tcPr>
            <w:tcW w:w="36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8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18,197</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Noncontrolling interest</w:t>
            </w:r>
          </w:p>
        </w:tc>
        <w:tc>
          <w:tcPr>
            <w:tcW w:w="8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36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8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18,372</w:t>
            </w:r>
          </w:p>
        </w:tc>
        <w:tc>
          <w:tcPr>
            <w:tcW w:w="360" w:type="dxa"/>
            <w:vAlign w:val="bottom"/>
            <w:tcBorders>
              <w:right w:val="single" w:sz="8" w:color="E5FFFF"/>
            </w:tcBorders>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40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50,365</w:t>
            </w:r>
          </w:p>
        </w:tc>
        <w:tc>
          <w:tcPr>
            <w:tcW w:w="3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808"/>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1,196</w:t>
            </w:r>
          </w:p>
        </w:tc>
        <w:tc>
          <w:tcPr>
            <w:tcW w:w="340" w:type="dxa"/>
            <w:vAlign w:val="bottom"/>
          </w:tcPr>
          <w:p>
            <w:pPr>
              <w:spacing w:after="0"/>
              <w:rPr>
                <w:sz w:val="17"/>
                <w:szCs w:val="17"/>
                <w:color w:val="auto"/>
              </w:rPr>
            </w:pPr>
          </w:p>
        </w:tc>
        <w:tc>
          <w:tcPr>
            <w:tcW w:w="5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44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1,186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Amortization</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74</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(134)</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86</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notes and other receivables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(203)</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520"/>
              <w:spacing w:after="0" w:line="202" w:lineRule="exact"/>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(59)</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ind w:left="5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E5FF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257</w:t>
            </w:r>
          </w:p>
        </w:tc>
        <w:tc>
          <w:tcPr>
            <w:tcW w:w="34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(836)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880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(1,056)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E5FF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440" w:type="dxa"/>
            <w:vAlign w:val="bottom"/>
            <w:shd w:val="clear" w:color="auto" w:fill="E5FFFF"/>
          </w:tcPr>
          <w:p>
            <w:pPr>
              <w:spacing w:after="0"/>
              <w:rPr>
                <w:sz w:val="17"/>
                <w:szCs w:val="17"/>
                <w:color w:val="auto"/>
              </w:rPr>
            </w:pPr>
          </w:p>
        </w:tc>
        <w:tc>
          <w:tcPr>
            <w:tcW w:w="980" w:type="dxa"/>
            <w:vAlign w:val="bottom"/>
            <w:tcBorders>
              <w:bottom w:val="single" w:sz="8" w:color="auto"/>
            </w:tcBorders>
            <w:shd w:val="clear" w:color="auto" w:fill="E5FFFF"/>
          </w:tcPr>
          <w:p>
            <w:pPr>
              <w:spacing w:after="0"/>
              <w:rPr>
                <w:sz w:val="17"/>
                <w:szCs w:val="17"/>
                <w:color w:val="auto"/>
              </w:rPr>
            </w:pPr>
          </w:p>
        </w:tc>
        <w:tc>
          <w:tcPr>
            <w:tcW w:w="6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8"/>
              </w:rPr>
              <w:t>(1,196)</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(decrease) increase in commercial paper and other short-term borrowings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8"/>
              </w:rPr>
              <w:t>(2,450)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4,448</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(1,156)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dividends paid</w:t>
            </w:r>
          </w:p>
        </w:tc>
        <w:tc>
          <w:tcPr>
            <w:tcW w:w="44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(499)</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Payments to purchase the noncontrolling interest</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18</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line="196" w:lineRule="exact"/>
              <w:rPr>
                <w:sz w:val="20"/>
                <w:szCs w:val="20"/>
                <w:color w:val="auto"/>
              </w:rPr>
            </w:pPr>
            <w:r>
              <w:rPr>
                <w:rFonts w:ascii="Arial" w:cs="Arial" w:eastAsia="Arial" w:hAnsi="Arial"/>
                <w:sz w:val="18"/>
                <w:szCs w:val="18"/>
                <w:color w:val="auto"/>
              </w:rPr>
              <w:t>Net cash (used for) provided by financing activities</w:t>
            </w:r>
          </w:p>
        </w:tc>
        <w:tc>
          <w:tcPr>
            <w:tcW w:w="4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4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96"/>
        </w:trPr>
        <w:tc>
          <w:tcPr>
            <w:tcW w:w="7460" w:type="dxa"/>
            <w:vAlign w:val="bottom"/>
            <w:gridSpan w:val="2"/>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(982)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5,455</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14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4,473</w:t>
            </w:r>
          </w:p>
        </w:tc>
        <w:tc>
          <w:tcPr>
            <w:tcW w:w="340" w:type="dxa"/>
            <w:vAlign w:val="bottom"/>
          </w:tcPr>
          <w:p>
            <w:pPr>
              <w:spacing w:after="0"/>
              <w:rPr>
                <w:sz w:val="18"/>
                <w:szCs w:val="18"/>
                <w:color w:val="auto"/>
              </w:rPr>
            </w:pPr>
          </w:p>
        </w:tc>
        <w:tc>
          <w:tcPr>
            <w:tcW w:w="560" w:type="dxa"/>
            <w:vAlign w:val="bottom"/>
            <w:gridSpan w:val="2"/>
          </w:tcPr>
          <w:p>
            <w:pPr>
              <w:jc w:val="right"/>
              <w:ind w:right="4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Financial Statements are an integral part of this statement.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March 31, 2016, the results of operations for the quarter and three months ended March 31, 2016 and 2015 and the cash flows for the three months ended March 31, 2016 and 2015. The results of operations for the three months ended March 31, 2016 should not necessarily be taken as indicative of the results of operations expected for the entire year.</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months ended March 31, 2016 and 2015 were April 2, 2016 and March 28, 2015. We estimate that our sales in the first quarter of 2016 compared to the first quarter of 2015 include an approximate 3 percent benefit from additional reporting days in the current year period resulting from our normal quarterly closing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Accounting pronouncements not listed below were assessed and determined to be either not applicable or are expected to have minimal impact on our consolidated financial position or results of operations.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the Financial Accounting Standards Board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was deferred for one year to the interim and annual periods beginning on or after December 15, 2017. Early adoption is permitted as of the original effective date – interim and annual periods beginning on or after December 15, 2016.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and will be effective for interim and annual periods beginning after December 15, 2018. Early adoption is permitted. The guidance requires the use of a modified retrospective approach. We are evaluating the impact of the guidance on our consolidated financial position, results of operations and related disclosures.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March 2016, the FASB issued amended guidance related to employee share-based payment accounting. The guidance requires all income tax effects of awards to be recognized in the income statement when the awards vest or are settled and will be applied on a prospective basis. The guidance also requires presentation of excess tax benefits as an operating activity on the statement of cash flows rather than as a financing activity, and can be applied retrospectively or prospectively. The guidance increases the amount companies can withhold to cover income taxes on awards without triggering liability classification for shares used to satisfy statutory income tax withholding obligations and requires application of a modified retrospective transition method. The amended guidance will be effective for interim and annual periods beginning after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December 15, 2016; early adoption is permitted if all provisions are adopted in the same period. We are evaluating the impact of the amended guidance on our consolidated financial position, results of operations and related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2016, we acquired businesses for an aggregate cost (net of cash acquired and debt assumed) of $1,053</w:t>
      </w:r>
    </w:p>
    <w:p>
      <w:pPr>
        <w:spacing w:after="0"/>
        <w:rPr>
          <w:sz w:val="20"/>
          <w:szCs w:val="20"/>
          <w:color w:val="auto"/>
        </w:rPr>
      </w:pPr>
      <w:r>
        <w:rPr>
          <w:rFonts w:ascii="Arial" w:cs="Arial" w:eastAsia="Arial" w:hAnsi="Arial"/>
          <w:sz w:val="18"/>
          <w:szCs w:val="18"/>
          <w:color w:val="auto"/>
        </w:rPr>
        <w:t>million.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April 1, 2016, the Company completed the acquisition of Xtralis International Holdings Limited (Xtralis), a leading global provider of aspiration smoke detection and perimeter security technologies, for an aggregate cost, net of cash acquired and debt assumed, of approximately $515 million. Xtralis is part of Automation and Control Solutions (ACS).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February 2016, the Company acquired 100 percent of the issued and outstanding shares of COM DEV International (COM DEV), a leading satellite and space components provider, for an aggregate value, net of cash acquired and debt assumed, of approximately $347 million. COM DEV is part of Aerospace and had reported 2015 fiscal year revenues of approximately $159 million.</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assets and liabilities of Xtralis and COM DEV have been included in the Consolidated Balance Sheet as of March 31, 2016, including $331 million and $177 million allocated to goodwill, which is non-deductible for tax purposes.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December 2015, the Company acquired the Elster Division of Melrose Industries plc (Elster) for an aggregate value, net of cash acquired, of approximately $4,899 million. Elster is part of ACS and PMT. The following table summarizes the updated estimate of fair values of the Elster assets and liabilities acquired as of the acquisition date:</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8"/>
                <w:szCs w:val="18"/>
                <w:color w:val="auto"/>
              </w:rPr>
              <w:t>Current assets</w:t>
            </w:r>
          </w:p>
        </w:tc>
        <w:tc>
          <w:tcPr>
            <w:tcW w:w="33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533</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2,255</w:t>
            </w: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noncurrent assets</w:t>
            </w:r>
          </w:p>
        </w:tc>
        <w:tc>
          <w:tcPr>
            <w:tcW w:w="30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209</w:t>
            </w: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r>
      <w:tr>
        <w:trPr>
          <w:trHeight w:val="216"/>
        </w:trPr>
        <w:tc>
          <w:tcPr>
            <w:tcW w:w="20" w:type="dxa"/>
            <w:vAlign w:val="bottom"/>
          </w:tcPr>
          <w:p>
            <w:pPr>
              <w:spacing w:after="0"/>
              <w:rPr>
                <w:sz w:val="18"/>
                <w:szCs w:val="18"/>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18"/>
                <w:szCs w:val="18"/>
                <w:color w:val="auto"/>
              </w:rPr>
              <w:t>Noncurrent liabilities</w:t>
            </w:r>
          </w:p>
        </w:tc>
        <w:tc>
          <w:tcPr>
            <w:tcW w:w="306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(929)</w:t>
            </w:r>
          </w:p>
        </w:tc>
      </w:tr>
      <w:tr>
        <w:trPr>
          <w:trHeight w:val="196"/>
        </w:trPr>
        <w:tc>
          <w:tcPr>
            <w:tcW w:w="20" w:type="dxa"/>
            <w:vAlign w:val="bottom"/>
          </w:tcPr>
          <w:p>
            <w:pPr>
              <w:spacing w:after="0"/>
              <w:rPr>
                <w:sz w:val="17"/>
                <w:szCs w:val="17"/>
                <w:color w:val="auto"/>
              </w:rPr>
            </w:pPr>
          </w:p>
        </w:tc>
        <w:tc>
          <w:tcPr>
            <w:tcW w:w="4980" w:type="dxa"/>
            <w:vAlign w:val="bottom"/>
          </w:tcPr>
          <w:p>
            <w:pPr>
              <w:ind w:left="160"/>
              <w:spacing w:after="0" w:line="196" w:lineRule="exact"/>
              <w:rPr>
                <w:sz w:val="20"/>
                <w:szCs w:val="20"/>
                <w:color w:val="auto"/>
              </w:rPr>
            </w:pPr>
            <w:r>
              <w:rPr>
                <w:rFonts w:ascii="Arial" w:cs="Arial" w:eastAsia="Arial" w:hAnsi="Arial"/>
                <w:sz w:val="18"/>
                <w:szCs w:val="18"/>
                <w:color w:val="auto"/>
              </w:rPr>
              <w:t>Net assets acquired</w:t>
            </w:r>
          </w:p>
        </w:tc>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1,642</w:t>
            </w:r>
          </w:p>
        </w:tc>
      </w:tr>
      <w:tr>
        <w:trPr>
          <w:trHeight w:val="203"/>
        </w:trPr>
        <w:tc>
          <w:tcPr>
            <w:tcW w:w="20" w:type="dxa"/>
            <w:vAlign w:val="bottom"/>
          </w:tcPr>
          <w:p>
            <w:pPr>
              <w:spacing w:after="0"/>
              <w:rPr>
                <w:sz w:val="17"/>
                <w:szCs w:val="17"/>
                <w:color w:val="auto"/>
              </w:rPr>
            </w:pPr>
          </w:p>
        </w:tc>
        <w:tc>
          <w:tcPr>
            <w:tcW w:w="4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Noncontrolling interest</w:t>
            </w:r>
          </w:p>
        </w:tc>
        <w:tc>
          <w:tcPr>
            <w:tcW w:w="30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Goodwill</w:t>
            </w:r>
          </w:p>
        </w:tc>
        <w:tc>
          <w:tcPr>
            <w:tcW w:w="30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r>
      <w:tr>
        <w:trPr>
          <w:trHeight w:val="210"/>
        </w:trPr>
        <w:tc>
          <w:tcPr>
            <w:tcW w:w="20" w:type="dxa"/>
            <w:vAlign w:val="bottom"/>
          </w:tcPr>
          <w:p>
            <w:pPr>
              <w:spacing w:after="0"/>
              <w:rPr>
                <w:sz w:val="18"/>
                <w:szCs w:val="18"/>
                <w:color w:val="auto"/>
              </w:rPr>
            </w:pPr>
          </w:p>
        </w:tc>
        <w:tc>
          <w:tcPr>
            <w:tcW w:w="4980" w:type="dxa"/>
            <w:vAlign w:val="bottom"/>
            <w:shd w:val="clear" w:color="auto" w:fill="E5FFFF"/>
          </w:tcPr>
          <w:p>
            <w:pPr>
              <w:ind w:left="160"/>
              <w:spacing w:after="0" w:line="197" w:lineRule="exact"/>
              <w:rPr>
                <w:sz w:val="20"/>
                <w:szCs w:val="20"/>
                <w:color w:val="auto"/>
              </w:rPr>
            </w:pPr>
            <w:r>
              <w:rPr>
                <w:rFonts w:ascii="Arial" w:cs="Arial" w:eastAsia="Arial" w:hAnsi="Arial"/>
                <w:sz w:val="18"/>
                <w:szCs w:val="18"/>
                <w:color w:val="auto"/>
              </w:rPr>
              <w:t>Purchase Price</w:t>
            </w:r>
          </w:p>
        </w:tc>
        <w:tc>
          <w:tcPr>
            <w:tcW w:w="33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4,899</w:t>
            </w: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E5FFFF"/>
            </w:tcBorders>
          </w:tcPr>
          <w:p>
            <w:pPr>
              <w:spacing w:after="0" w:line="20" w:lineRule="exact"/>
              <w:rPr>
                <w:sz w:val="1"/>
                <w:szCs w:val="1"/>
                <w:color w:val="auto"/>
              </w:rPr>
            </w:pPr>
          </w:p>
        </w:tc>
        <w:tc>
          <w:tcPr>
            <w:tcW w:w="30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purchase accounting for Xtralis, COM DEV and Elster is subject to final adjustment, primarily for the valuation of intangible assets, amounts allocated to goodwill, tax balances and certain pre-acquisition contingencies.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r>
      <w:tr>
        <w:trPr>
          <w:trHeight w:val="201"/>
        </w:trPr>
        <w:tc>
          <w:tcPr>
            <w:tcW w:w="5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7"/>
                <w:szCs w:val="17"/>
                <w:color w:val="auto"/>
              </w:rPr>
            </w:pPr>
          </w:p>
        </w:tc>
      </w:tr>
      <w:tr>
        <w:trPr>
          <w:trHeight w:val="196"/>
        </w:trPr>
        <w:tc>
          <w:tcPr>
            <w:tcW w:w="55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78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28</w:t>
            </w:r>
          </w:p>
        </w:tc>
        <w:tc>
          <w:tcPr>
            <w:tcW w:w="28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55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78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16"/>
        </w:trPr>
        <w:tc>
          <w:tcPr>
            <w:tcW w:w="55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Adjustments</w:t>
            </w:r>
          </w:p>
        </w:tc>
        <w:tc>
          <w:tcPr>
            <w:tcW w:w="78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552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780" w:type="dxa"/>
            <w:vAlign w:val="bottom"/>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39</w:t>
            </w:r>
          </w:p>
        </w:tc>
      </w:tr>
      <w:tr>
        <w:trPr>
          <w:trHeight w:val="412"/>
        </w:trPr>
        <w:tc>
          <w:tcPr>
            <w:tcW w:w="552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520" w:type="dxa"/>
            <w:vAlign w:val="bottom"/>
            <w:shd w:val="clear" w:color="auto" w:fill="E5FFFF"/>
          </w:tcPr>
          <w:p>
            <w:pPr>
              <w:spacing w:after="0"/>
              <w:rPr>
                <w:sz w:val="20"/>
                <w:szCs w:val="20"/>
                <w:color w:val="auto"/>
              </w:rPr>
            </w:pPr>
            <w:r>
              <w:rPr>
                <w:rFonts w:ascii="Arial" w:cs="Arial" w:eastAsia="Arial" w:hAnsi="Arial"/>
                <w:sz w:val="18"/>
                <w:szCs w:val="18"/>
                <w:color w:val="auto"/>
              </w:rPr>
              <w:t>Probable and reasonably estimable environmental liabilities</w:t>
            </w:r>
          </w:p>
        </w:tc>
        <w:tc>
          <w:tcPr>
            <w:tcW w:w="780" w:type="dxa"/>
            <w:vAlign w:val="bottom"/>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46</w:t>
            </w:r>
          </w:p>
        </w:tc>
      </w:tr>
      <w:tr>
        <w:trPr>
          <w:trHeight w:val="439"/>
        </w:trPr>
        <w:tc>
          <w:tcPr>
            <w:tcW w:w="5520" w:type="dxa"/>
            <w:vAlign w:val="bottom"/>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16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24"/>
                <w:szCs w:val="24"/>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r>
      <w:tr>
        <w:trPr>
          <w:trHeight w:val="201"/>
        </w:trPr>
        <w:tc>
          <w:tcPr>
            <w:tcW w:w="4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7"/>
                <w:szCs w:val="17"/>
                <w:color w:val="auto"/>
              </w:rPr>
            </w:pPr>
          </w:p>
        </w:tc>
      </w:tr>
      <w:tr>
        <w:trPr>
          <w:trHeight w:val="196"/>
        </w:trPr>
        <w:tc>
          <w:tcPr>
            <w:tcW w:w="49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36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105</w:t>
            </w:r>
          </w:p>
        </w:tc>
        <w:tc>
          <w:tcPr>
            <w:tcW w:w="28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16"/>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940" w:type="dxa"/>
            <w:vAlign w:val="bottom"/>
            <w:shd w:val="clear" w:color="auto" w:fill="E5FFFF"/>
          </w:tcPr>
          <w:p>
            <w:pPr>
              <w:spacing w:after="0"/>
              <w:rPr>
                <w:sz w:val="19"/>
                <w:szCs w:val="19"/>
                <w:color w:val="auto"/>
              </w:rPr>
            </w:pPr>
          </w:p>
        </w:tc>
        <w:tc>
          <w:tcPr>
            <w:tcW w:w="2200" w:type="dxa"/>
            <w:vAlign w:val="bottom"/>
            <w:gridSpan w:val="2"/>
            <w:shd w:val="clear" w:color="auto" w:fill="E5FFFF"/>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E5FFFF"/>
          </w:tcPr>
          <w:p>
            <w:pPr>
              <w:spacing w:after="0"/>
              <w:rPr>
                <w:sz w:val="19"/>
                <w:szCs w:val="19"/>
                <w:color w:val="auto"/>
              </w:rPr>
            </w:pPr>
          </w:p>
        </w:tc>
        <w:tc>
          <w:tcPr>
            <w:tcW w:w="840" w:type="dxa"/>
            <w:vAlign w:val="bottom"/>
            <w:shd w:val="clear" w:color="auto" w:fill="E5FFFF"/>
          </w:tcPr>
          <w:p>
            <w:pPr>
              <w:jc w:val="right"/>
              <w:ind w:right="6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494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r>
      <w:tr>
        <w:trPr>
          <w:trHeight w:val="201"/>
        </w:trPr>
        <w:tc>
          <w:tcPr>
            <w:tcW w:w="4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7"/>
                <w:szCs w:val="17"/>
                <w:color w:val="auto"/>
              </w:rPr>
            </w:pPr>
          </w:p>
        </w:tc>
      </w:tr>
      <w:tr>
        <w:trPr>
          <w:trHeight w:val="196"/>
        </w:trPr>
        <w:tc>
          <w:tcPr>
            <w:tcW w:w="47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5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49</w:t>
            </w:r>
          </w:p>
        </w:tc>
        <w:tc>
          <w:tcPr>
            <w:tcW w:w="28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47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5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c>
          <w:tcPr>
            <w:tcW w:w="28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r>
      <w:tr>
        <w:trPr>
          <w:trHeight w:val="216"/>
        </w:trPr>
        <w:tc>
          <w:tcPr>
            <w:tcW w:w="47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Corporate</w:t>
            </w:r>
          </w:p>
        </w:tc>
        <w:tc>
          <w:tcPr>
            <w:tcW w:w="152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4780" w:type="dxa"/>
            <w:vAlign w:val="bottom"/>
            <w:shd w:val="clear" w:color="auto" w:fill="E5FFFF"/>
          </w:tcPr>
          <w:p>
            <w:pPr>
              <w:spacing w:after="0"/>
              <w:rPr>
                <w:sz w:val="19"/>
                <w:szCs w:val="19"/>
                <w:color w:val="auto"/>
              </w:rPr>
            </w:pPr>
          </w:p>
        </w:tc>
        <w:tc>
          <w:tcPr>
            <w:tcW w:w="2360" w:type="dxa"/>
            <w:vAlign w:val="bottom"/>
            <w:gridSpan w:val="2"/>
            <w:shd w:val="clear" w:color="auto" w:fill="E5FFFF"/>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E5FFFF"/>
          </w:tcPr>
          <w:p>
            <w:pPr>
              <w:spacing w:after="0"/>
              <w:rPr>
                <w:sz w:val="19"/>
                <w:szCs w:val="19"/>
                <w:color w:val="auto"/>
              </w:rPr>
            </w:pPr>
          </w:p>
        </w:tc>
        <w:tc>
          <w:tcPr>
            <w:tcW w:w="840" w:type="dxa"/>
            <w:vAlign w:val="bottom"/>
            <w:shd w:val="clear" w:color="auto" w:fill="E5FFFF"/>
          </w:tcPr>
          <w:p>
            <w:pPr>
              <w:jc w:val="right"/>
              <w:ind w:right="6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4780" w:type="dxa"/>
            <w:vAlign w:val="bottom"/>
            <w:tcBorders>
              <w:top w:val="single" w:sz="8" w:color="E5FFFF"/>
            </w:tcBorders>
          </w:tcPr>
          <w:p>
            <w:pPr>
              <w:spacing w:after="0" w:line="20" w:lineRule="exact"/>
              <w:rPr>
                <w:sz w:val="1"/>
                <w:szCs w:val="1"/>
                <w:color w:val="auto"/>
              </w:rPr>
            </w:pPr>
          </w:p>
        </w:tc>
        <w:tc>
          <w:tcPr>
            <w:tcW w:w="152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March 31, 2016, we recognized repositioning charges totaling $37 million including severance costs of $28 million related to workforce reductions of 293 manufacturing and administrative positions mainly in ACS and Performance Materials and Technologies (PMT). The workforce reductions were primarily related to achieving acquisition-related synergies and outsourcing of certain packaging operations. Also, $17 million of previously established accruals, primarily for severance, in ACS and PMT, were returned to income primarily as a result of higher attrition than anticipated in prior severance programs resulting in lower required severance payments.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quarter ended March 31, 2015, we recognized repositioning charges totaling $46 million including severance costs of $37 million related to workforce reductions of 3,040 manufacturing and administrative positions across our segments. The workforce reductions were primarily related to cost savings actions taken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our productivity and ongoing functional transformation initiatives and outsourcing of certain component manufacturing in ACS.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rPr>
              <w:t>Severance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34"/>
              <w:spacing w:after="0"/>
              <w:rPr>
                <w:sz w:val="20"/>
                <w:szCs w:val="20"/>
                <w:color w:val="auto"/>
              </w:rPr>
            </w:pPr>
            <w:r>
              <w:rPr>
                <w:rFonts w:ascii="Arial" w:cs="Arial" w:eastAsia="Arial" w:hAnsi="Arial"/>
                <w:sz w:val="14"/>
                <w:szCs w:val="14"/>
                <w:b w:val="1"/>
                <w:bCs w:val="1"/>
                <w:color w:val="auto"/>
              </w:rPr>
              <w:t>Exit</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3420" w:type="dxa"/>
            <w:vAlign w:val="bottom"/>
            <w:tcBorders>
              <w:bottom w:val="single" w:sz="8" w:color="E5FFFF"/>
            </w:tcBorders>
          </w:tcPr>
          <w:p>
            <w:pPr>
              <w:spacing w:after="0"/>
              <w:rPr>
                <w:sz w:val="16"/>
                <w:szCs w:val="16"/>
                <w:color w:val="auto"/>
              </w:rPr>
            </w:pPr>
          </w:p>
        </w:tc>
        <w:tc>
          <w:tcPr>
            <w:tcW w:w="1020" w:type="dxa"/>
            <w:vAlign w:val="bottom"/>
            <w:tcBorders>
              <w:bottom w:val="single" w:sz="8" w:color="E5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Costs</w:t>
            </w:r>
          </w:p>
        </w:tc>
        <w:tc>
          <w:tcPr>
            <w:tcW w:w="300" w:type="dxa"/>
            <w:vAlign w:val="bottom"/>
            <w:tcBorders>
              <w:bottom w:val="single" w:sz="8" w:color="E5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Borders>
              <w:bottom w:val="single" w:sz="8" w:color="E5FF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Costs</w:t>
            </w:r>
          </w:p>
        </w:tc>
        <w:tc>
          <w:tcPr>
            <w:tcW w:w="300" w:type="dxa"/>
            <w:vAlign w:val="bottom"/>
            <w:tcBorders>
              <w:bottom w:val="single" w:sz="8" w:color="E5FF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42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color w:val="auto"/>
              </w:rPr>
              <w:t>December 31, 2015</w:t>
            </w: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329</w:t>
            </w: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21</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350</w:t>
            </w: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w:t>
            </w:r>
          </w:p>
        </w:tc>
      </w:tr>
      <w:tr>
        <w:trPr>
          <w:trHeight w:val="203"/>
        </w:trPr>
        <w:tc>
          <w:tcPr>
            <w:tcW w:w="34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w:t>
            </w: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34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w:t>
            </w:r>
          </w:p>
        </w:tc>
      </w:tr>
      <w:tr>
        <w:trPr>
          <w:trHeight w:val="216"/>
        </w:trPr>
        <w:tc>
          <w:tcPr>
            <w:tcW w:w="34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Adjustments</w:t>
            </w:r>
          </w:p>
        </w:tc>
        <w:tc>
          <w:tcPr>
            <w:tcW w:w="10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3420" w:type="dxa"/>
            <w:vAlign w:val="bottom"/>
            <w:shd w:val="clear" w:color="auto" w:fill="E5FFFF"/>
          </w:tcPr>
          <w:p>
            <w:pPr>
              <w:ind w:left="20"/>
              <w:spacing w:after="0" w:line="197" w:lineRule="exact"/>
              <w:rPr>
                <w:sz w:val="20"/>
                <w:szCs w:val="20"/>
                <w:color w:val="auto"/>
              </w:rPr>
            </w:pPr>
            <w:r>
              <w:rPr>
                <w:rFonts w:ascii="Arial" w:cs="Arial" w:eastAsia="Arial" w:hAnsi="Arial"/>
                <w:sz w:val="18"/>
                <w:szCs w:val="18"/>
                <w:color w:val="auto"/>
              </w:rPr>
              <w:t>March 31, 2016</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294</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21</w:t>
            </w:r>
          </w:p>
        </w:tc>
        <w:tc>
          <w:tcPr>
            <w:tcW w:w="58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315</w:t>
            </w:r>
          </w:p>
        </w:tc>
      </w:tr>
      <w:tr>
        <w:trPr>
          <w:trHeight w:val="20"/>
        </w:trPr>
        <w:tc>
          <w:tcPr>
            <w:tcW w:w="342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2016 and 2015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Basic</w:t>
            </w:r>
          </w:p>
        </w:tc>
        <w:tc>
          <w:tcPr>
            <w:tcW w:w="2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920" w:type="dxa"/>
            <w:vAlign w:val="bottom"/>
            <w:gridSpan w:val="4"/>
            <w:vMerge w:val="continue"/>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58"/>
              <w:spacing w:after="0" w:line="129"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34"/>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left w:val="single" w:sz="8" w:color="E5FFFF"/>
            </w:tcBorders>
            <w:gridSpan w:val="4"/>
            <w:shd w:val="clear" w:color="auto" w:fill="E5FFFF"/>
          </w:tcPr>
          <w:p>
            <w:pPr>
              <w:ind w:left="40"/>
              <w:spacing w:after="0" w:line="202" w:lineRule="exact"/>
              <w:rPr>
                <w:sz w:val="20"/>
                <w:szCs w:val="20"/>
                <w:color w:val="auto"/>
              </w:rPr>
            </w:pPr>
            <w:r>
              <w:rPr>
                <w:rFonts w:ascii="Arial" w:cs="Arial" w:eastAsia="Arial" w:hAnsi="Arial"/>
                <w:sz w:val="18"/>
                <w:szCs w:val="18"/>
                <w:color w:val="auto"/>
              </w:rPr>
              <w:t>Net income attributable to Honeywell</w:t>
            </w:r>
          </w:p>
        </w:tc>
        <w:tc>
          <w:tcPr>
            <w:tcW w:w="27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1,186</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432"/>
        </w:trPr>
        <w:tc>
          <w:tcPr>
            <w:tcW w:w="5920" w:type="dxa"/>
            <w:vAlign w:val="bottom"/>
            <w:gridSpan w:val="4"/>
          </w:tcPr>
          <w:p>
            <w:pPr>
              <w:ind w:left="40"/>
              <w:spacing w:after="0"/>
              <w:rPr>
                <w:sz w:val="20"/>
                <w:szCs w:val="20"/>
                <w:color w:val="auto"/>
              </w:rPr>
            </w:pPr>
            <w:r>
              <w:rPr>
                <w:rFonts w:ascii="Arial" w:cs="Arial" w:eastAsia="Arial" w:hAnsi="Arial"/>
                <w:sz w:val="18"/>
                <w:szCs w:val="18"/>
                <w:color w:val="auto"/>
              </w:rPr>
              <w:t>Weighted average shares outstanding</w:t>
            </w: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767.9</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left w:val="single" w:sz="8" w:color="E5FFFF"/>
            </w:tcBorders>
            <w:gridSpan w:val="4"/>
            <w:shd w:val="clear" w:color="auto" w:fill="E5FFFF"/>
          </w:tcPr>
          <w:p>
            <w:pPr>
              <w:ind w:left="40"/>
              <w:spacing w:after="0" w:line="202" w:lineRule="exact"/>
              <w:rPr>
                <w:sz w:val="20"/>
                <w:szCs w:val="20"/>
                <w:color w:val="auto"/>
              </w:rPr>
            </w:pPr>
            <w:r>
              <w:rPr>
                <w:rFonts w:ascii="Arial" w:cs="Arial" w:eastAsia="Arial" w:hAnsi="Arial"/>
                <w:sz w:val="18"/>
                <w:szCs w:val="18"/>
                <w:color w:val="auto"/>
              </w:rPr>
              <w:t>Earnings per share of common stock</w:t>
            </w:r>
          </w:p>
        </w:tc>
        <w:tc>
          <w:tcPr>
            <w:tcW w:w="27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1.54</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47"/>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5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2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920" w:type="dxa"/>
            <w:vAlign w:val="bottom"/>
            <w:gridSpan w:val="4"/>
            <w:vMerge w:val="continue"/>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58"/>
              <w:spacing w:after="0" w:line="129"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34"/>
              <w:spacing w:after="0" w:line="12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20" w:type="dxa"/>
            <w:vAlign w:val="bottom"/>
            <w:tcBorders>
              <w:left w:val="single" w:sz="8" w:color="E5FFFF"/>
            </w:tcBorders>
            <w:gridSpan w:val="4"/>
            <w:shd w:val="clear" w:color="auto" w:fill="E5FFFF"/>
          </w:tcPr>
          <w:p>
            <w:pPr>
              <w:ind w:left="40"/>
              <w:spacing w:after="0" w:line="202" w:lineRule="exact"/>
              <w:rPr>
                <w:sz w:val="20"/>
                <w:szCs w:val="20"/>
                <w:color w:val="auto"/>
              </w:rPr>
            </w:pPr>
            <w:r>
              <w:rPr>
                <w:rFonts w:ascii="Arial" w:cs="Arial" w:eastAsia="Arial" w:hAnsi="Arial"/>
                <w:sz w:val="18"/>
                <w:szCs w:val="18"/>
                <w:color w:val="auto"/>
              </w:rPr>
              <w:t>Net income attributable to Honeywell</w:t>
            </w:r>
          </w:p>
        </w:tc>
        <w:tc>
          <w:tcPr>
            <w:tcW w:w="27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1,186</w:t>
            </w:r>
          </w:p>
        </w:tc>
        <w:tc>
          <w:tcPr>
            <w:tcW w:w="8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419"/>
        </w:trPr>
        <w:tc>
          <w:tcPr>
            <w:tcW w:w="5920" w:type="dxa"/>
            <w:vAlign w:val="bottom"/>
            <w:gridSpan w:val="4"/>
          </w:tcPr>
          <w:p>
            <w:pPr>
              <w:ind w:left="40"/>
              <w:spacing w:after="0"/>
              <w:rPr>
                <w:sz w:val="20"/>
                <w:szCs w:val="20"/>
                <w:color w:val="auto"/>
              </w:rPr>
            </w:pPr>
            <w:r>
              <w:rPr>
                <w:rFonts w:ascii="Arial" w:cs="Arial" w:eastAsia="Arial" w:hAnsi="Arial"/>
                <w:sz w:val="14"/>
                <w:szCs w:val="14"/>
                <w:b w:val="1"/>
                <w:bCs w:val="1"/>
                <w:color w:val="auto"/>
              </w:rPr>
              <w:t>Average Shares</w:t>
            </w: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E5FFFF"/>
            </w:tcBorders>
            <w:gridSpan w:val="2"/>
            <w:shd w:val="clear" w:color="auto" w:fill="000000"/>
          </w:tcPr>
          <w:p>
            <w:pPr>
              <w:spacing w:after="0" w:line="20" w:lineRule="exact"/>
              <w:rPr>
                <w:sz w:val="1"/>
                <w:szCs w:val="1"/>
                <w:color w:val="auto"/>
              </w:rPr>
            </w:pPr>
          </w:p>
        </w:tc>
        <w:tc>
          <w:tcPr>
            <w:tcW w:w="4800" w:type="dxa"/>
            <w:vAlign w:val="bottom"/>
            <w:gridSpan w:val="2"/>
            <w:shd w:val="clear" w:color="auto" w:fill="E5FFFF"/>
          </w:tcPr>
          <w:p>
            <w:pPr>
              <w:spacing w:after="0" w:line="20" w:lineRule="exact"/>
              <w:rPr>
                <w:sz w:val="1"/>
                <w:szCs w:val="1"/>
                <w:color w:val="auto"/>
              </w:rPr>
            </w:pPr>
          </w:p>
        </w:tc>
        <w:tc>
          <w:tcPr>
            <w:tcW w:w="2440" w:type="dxa"/>
            <w:vAlign w:val="bottom"/>
            <w:shd w:val="clear" w:color="auto" w:fill="E5FFFF"/>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1080" w:type="dxa"/>
            <w:vAlign w:val="bottom"/>
            <w:vMerge w:val="restart"/>
            <w:shd w:val="clear" w:color="auto" w:fill="E5FFFF"/>
          </w:tcPr>
          <w:p>
            <w:pPr>
              <w:jc w:val="right"/>
              <w:ind w:right="38"/>
              <w:spacing w:after="0"/>
              <w:rPr>
                <w:sz w:val="20"/>
                <w:szCs w:val="20"/>
                <w:color w:val="auto"/>
              </w:rPr>
            </w:pPr>
            <w:r>
              <w:rPr>
                <w:rFonts w:ascii="Arial" w:cs="Arial" w:eastAsia="Arial" w:hAnsi="Arial"/>
                <w:sz w:val="18"/>
                <w:szCs w:val="18"/>
                <w:color w:val="auto"/>
              </w:rPr>
              <w:t>767.9</w:t>
            </w:r>
          </w:p>
        </w:tc>
        <w:tc>
          <w:tcPr>
            <w:tcW w:w="320" w:type="dxa"/>
            <w:vAlign w:val="bottom"/>
            <w:shd w:val="clear" w:color="auto" w:fill="E5FFFF"/>
          </w:tcPr>
          <w:p>
            <w:pPr>
              <w:spacing w:after="0" w:line="20" w:lineRule="exact"/>
              <w:rPr>
                <w:sz w:val="1"/>
                <w:szCs w:val="1"/>
                <w:color w:val="auto"/>
              </w:rPr>
            </w:pPr>
          </w:p>
        </w:tc>
        <w:tc>
          <w:tcPr>
            <w:tcW w:w="500" w:type="dxa"/>
            <w:vAlign w:val="bottom"/>
            <w:shd w:val="clear" w:color="auto" w:fill="E5FFFF"/>
          </w:tcPr>
          <w:p>
            <w:pPr>
              <w:spacing w:after="0" w:line="20" w:lineRule="exact"/>
              <w:rPr>
                <w:sz w:val="1"/>
                <w:szCs w:val="1"/>
                <w:color w:val="auto"/>
              </w:rPr>
            </w:pPr>
          </w:p>
        </w:tc>
        <w:tc>
          <w:tcPr>
            <w:tcW w:w="860" w:type="dxa"/>
            <w:vAlign w:val="bottom"/>
            <w:vMerge w:val="restart"/>
            <w:shd w:val="clear" w:color="auto" w:fill="E5FFFF"/>
          </w:tcPr>
          <w:p>
            <w:pPr>
              <w:jc w:val="right"/>
              <w:ind w:right="14"/>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line="20" w:lineRule="exact"/>
              <w:rPr>
                <w:sz w:val="1"/>
                <w:szCs w:val="1"/>
                <w:color w:val="auto"/>
              </w:rPr>
            </w:pPr>
          </w:p>
        </w:tc>
      </w:tr>
      <w:tr>
        <w:trPr>
          <w:trHeight w:val="196"/>
        </w:trPr>
        <w:tc>
          <w:tcPr>
            <w:tcW w:w="5920" w:type="dxa"/>
            <w:vAlign w:val="bottom"/>
            <w:tcBorders>
              <w:left w:val="single" w:sz="8" w:color="E5FFFF"/>
            </w:tcBorders>
            <w:gridSpan w:val="4"/>
            <w:shd w:val="clear" w:color="auto" w:fill="E5FF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24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vMerge w:val="continue"/>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vMerge w:val="continue"/>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E5FFFF"/>
            </w:tcBorders>
            <w:gridSpan w:val="4"/>
          </w:tcPr>
          <w:p>
            <w:pPr>
              <w:ind w:left="40"/>
              <w:spacing w:after="0"/>
              <w:rPr>
                <w:sz w:val="20"/>
                <w:szCs w:val="20"/>
                <w:color w:val="auto"/>
              </w:rPr>
            </w:pPr>
            <w:r>
              <w:rPr>
                <w:rFonts w:ascii="Arial" w:cs="Arial" w:eastAsia="Arial" w:hAnsi="Arial"/>
                <w:sz w:val="18"/>
                <w:szCs w:val="18"/>
                <w:color w:val="auto"/>
              </w:rPr>
              <w:t>Dilutive securities issuable - stock plans</w:t>
            </w:r>
          </w:p>
        </w:tc>
        <w:tc>
          <w:tcPr>
            <w:tcW w:w="24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5920" w:type="dxa"/>
            <w:vAlign w:val="bottom"/>
            <w:tcBorders>
              <w:left w:val="single" w:sz="8" w:color="E5FFFF"/>
              <w:bottom w:val="single" w:sz="8" w:color="E5FFFF"/>
            </w:tcBorders>
            <w:gridSpan w:val="4"/>
            <w:shd w:val="clear" w:color="auto" w:fill="E5FFFF"/>
          </w:tcPr>
          <w:p>
            <w:pPr>
              <w:ind w:left="40"/>
              <w:spacing w:after="0" w:line="197" w:lineRule="exact"/>
              <w:rPr>
                <w:sz w:val="20"/>
                <w:szCs w:val="20"/>
                <w:color w:val="auto"/>
              </w:rPr>
            </w:pPr>
            <w:r>
              <w:rPr>
                <w:rFonts w:ascii="Arial" w:cs="Arial" w:eastAsia="Arial" w:hAnsi="Arial"/>
                <w:sz w:val="18"/>
                <w:szCs w:val="18"/>
                <w:color w:val="auto"/>
              </w:rPr>
              <w:t>Total weighted average shares outstanding</w:t>
            </w:r>
          </w:p>
        </w:tc>
        <w:tc>
          <w:tcPr>
            <w:tcW w:w="2440" w:type="dxa"/>
            <w:vAlign w:val="bottom"/>
            <w:tcBorders>
              <w:bottom w:val="single" w:sz="8" w:color="E5FFFF"/>
            </w:tcBorders>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776.9</w:t>
            </w:r>
          </w:p>
        </w:tc>
        <w:tc>
          <w:tcPr>
            <w:tcW w:w="320" w:type="dxa"/>
            <w:vAlign w:val="bottom"/>
            <w:tcBorders>
              <w:bottom w:val="single" w:sz="8" w:color="E5FFFF"/>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20" w:type="dxa"/>
            <w:vAlign w:val="bottom"/>
            <w:gridSpan w:val="4"/>
          </w:tcPr>
          <w:p>
            <w:pPr>
              <w:ind w:left="40"/>
              <w:spacing w:after="0"/>
              <w:rPr>
                <w:sz w:val="20"/>
                <w:szCs w:val="20"/>
                <w:color w:val="auto"/>
              </w:rPr>
            </w:pPr>
            <w:r>
              <w:rPr>
                <w:rFonts w:ascii="Arial" w:cs="Arial" w:eastAsia="Arial" w:hAnsi="Arial"/>
                <w:sz w:val="18"/>
                <w:szCs w:val="18"/>
                <w:color w:val="auto"/>
              </w:rPr>
              <w:t>Earnings per share of common stock</w:t>
            </w:r>
          </w:p>
        </w:tc>
        <w:tc>
          <w:tcPr>
            <w:tcW w:w="2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1.53</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months ended March 31, 2016 and 2015, the weighted average number of stock options excluded from the computations was 8.4 million and 7.8 million. These stock options were outstanding at the end of each of the respective periods.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24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9"/>
              </w:rPr>
              <w:t>Honeywell International Inc.</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240" w:type="dxa"/>
            <w:vAlign w:val="bottom"/>
            <w:gridSpan w:val="7"/>
          </w:tcPr>
          <w:p>
            <w:pPr>
              <w:jc w:val="center"/>
              <w:ind w:left="130"/>
              <w:spacing w:after="0" w:line="202" w:lineRule="exact"/>
              <w:rPr>
                <w:sz w:val="20"/>
                <w:szCs w:val="20"/>
                <w:color w:val="auto"/>
              </w:rPr>
            </w:pPr>
            <w:r>
              <w:rPr>
                <w:rFonts w:ascii="Arial" w:cs="Arial" w:eastAsia="Arial" w:hAnsi="Arial"/>
                <w:sz w:val="18"/>
                <w:szCs w:val="18"/>
                <w:b w:val="1"/>
                <w:bCs w:val="1"/>
                <w:color w:val="auto"/>
              </w:rPr>
              <w:t>Notes to Financial Statements</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center"/>
              <w:ind w:left="294"/>
              <w:spacing w:after="0" w:line="202" w:lineRule="exact"/>
              <w:rPr>
                <w:sz w:val="20"/>
                <w:szCs w:val="20"/>
                <w:color w:val="auto"/>
              </w:rPr>
            </w:pPr>
            <w:r>
              <w:rPr>
                <w:rFonts w:ascii="Arial" w:cs="Arial" w:eastAsia="Arial" w:hAnsi="Arial"/>
                <w:sz w:val="18"/>
                <w:szCs w:val="18"/>
                <w:b w:val="1"/>
                <w:bCs w:val="1"/>
                <w:color w:val="auto"/>
                <w:w w:val="99"/>
              </w:rPr>
              <w:t>(Unaudited)</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4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0" w:type="dxa"/>
            <w:vAlign w:val="bottom"/>
          </w:tcPr>
          <w:p>
            <w:pPr>
              <w:spacing w:after="0"/>
              <w:rPr>
                <w:sz w:val="1"/>
                <w:szCs w:val="1"/>
                <w:color w:val="auto"/>
              </w:rPr>
            </w:pPr>
          </w:p>
        </w:tc>
      </w:tr>
      <w:tr>
        <w:trPr>
          <w:trHeight w:val="405"/>
        </w:trPr>
        <w:tc>
          <w:tcPr>
            <w:tcW w:w="47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w w:val="99"/>
              </w:rPr>
              <w:t>Note 6. Accounts, Notes and Other Receivables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vMerge w:val="continue"/>
          </w:tcPr>
          <w:p>
            <w:pPr>
              <w:spacing w:after="0"/>
              <w:rPr>
                <w:sz w:val="17"/>
                <w:szCs w:val="17"/>
                <w:color w:val="auto"/>
              </w:rPr>
            </w:pPr>
          </w:p>
        </w:tc>
        <w:tc>
          <w:tcPr>
            <w:tcW w:w="3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13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8,238</w:t>
            </w:r>
          </w:p>
        </w:tc>
        <w:tc>
          <w:tcPr>
            <w:tcW w:w="520" w:type="dxa"/>
            <w:vAlign w:val="bottom"/>
            <w:gridSpan w:val="2"/>
            <w:shd w:val="clear" w:color="auto" w:fill="E5FFFF"/>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7,901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324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8,688</w:t>
            </w:r>
          </w:p>
        </w:tc>
        <w:tc>
          <w:tcPr>
            <w:tcW w:w="2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8,337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2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Allowance for doubtful accounts</w:t>
            </w:r>
          </w:p>
        </w:tc>
        <w:tc>
          <w:tcPr>
            <w:tcW w:w="11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240" w:type="dxa"/>
            <w:vAlign w:val="bottom"/>
            <w:shd w:val="clear" w:color="auto" w:fill="E5FFFF"/>
          </w:tcPr>
          <w:p>
            <w:pPr>
              <w:spacing w:after="0"/>
              <w:rPr>
                <w:sz w:val="20"/>
                <w:szCs w:val="20"/>
                <w:color w:val="auto"/>
              </w:rPr>
            </w:pPr>
          </w:p>
        </w:tc>
        <w:tc>
          <w:tcPr>
            <w:tcW w:w="13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8,397</w:t>
            </w:r>
          </w:p>
        </w:tc>
        <w:tc>
          <w:tcPr>
            <w:tcW w:w="520" w:type="dxa"/>
            <w:vAlign w:val="bottom"/>
            <w:gridSpan w:val="2"/>
            <w:shd w:val="clear" w:color="auto" w:fill="E5FFFF"/>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8,075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4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Trade receivables include $1,654 and $1,590 million of unbilled balances under long-term contracts as of March 31, 2016 and December 31, 2015. These amounts are billed in accordance with the terms of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6"/>
                <w:szCs w:val="16"/>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December 31,</w:t>
            </w:r>
          </w:p>
        </w:tc>
        <w:tc>
          <w:tcPr>
            <w:tcW w:w="4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4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 w:type="dxa"/>
            <w:vAlign w:val="bottom"/>
            <w:vMerge w:val="restart"/>
          </w:tcPr>
          <w:p>
            <w:pPr>
              <w:spacing w:after="0"/>
              <w:rPr>
                <w:sz w:val="13"/>
                <w:szCs w:val="13"/>
                <w:color w:val="auto"/>
              </w:rPr>
            </w:pPr>
          </w:p>
        </w:tc>
        <w:tc>
          <w:tcPr>
            <w:tcW w:w="3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40" w:type="dxa"/>
            <w:vAlign w:val="bottom"/>
            <w:vMerge w:val="continue"/>
          </w:tcPr>
          <w:p>
            <w:pPr>
              <w:spacing w:after="0"/>
              <w:rPr>
                <w:sz w:val="17"/>
                <w:szCs w:val="17"/>
                <w:color w:val="auto"/>
              </w:rPr>
            </w:pPr>
          </w:p>
        </w:tc>
        <w:tc>
          <w:tcPr>
            <w:tcW w:w="33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Raw materials</w:t>
            </w:r>
          </w:p>
        </w:tc>
        <w:tc>
          <w:tcPr>
            <w:tcW w:w="11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1,195</w:t>
            </w:r>
          </w:p>
        </w:tc>
        <w:tc>
          <w:tcPr>
            <w:tcW w:w="120" w:type="dxa"/>
            <w:vAlign w:val="bottom"/>
            <w:shd w:val="clear" w:color="auto" w:fill="E5FFFF"/>
          </w:tcPr>
          <w:p>
            <w:pPr>
              <w:spacing w:after="0"/>
              <w:rPr>
                <w:sz w:val="17"/>
                <w:szCs w:val="17"/>
                <w:color w:val="auto"/>
              </w:rPr>
            </w:pPr>
          </w:p>
        </w:tc>
        <w:tc>
          <w:tcPr>
            <w:tcW w:w="340" w:type="dxa"/>
            <w:vAlign w:val="bottom"/>
            <w:gridSpan w:val="2"/>
            <w:shd w:val="clear" w:color="auto" w:fill="E5FF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1,120</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826</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36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10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2,590</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4,834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4,536</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36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104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(116)</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4,420</w:t>
            </w: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C0C0C0"/>
            </w:tcBorders>
          </w:tcPr>
          <w:p>
            <w:pPr>
              <w:spacing w:after="0"/>
              <w:rPr>
                <w:sz w:val="20"/>
                <w:szCs w:val="20"/>
                <w:color w:val="auto"/>
              </w:rPr>
            </w:pPr>
          </w:p>
        </w:tc>
        <w:tc>
          <w:tcPr>
            <w:tcW w:w="336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43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and Credit Agreements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5.40% notes due 2016</w:t>
            </w:r>
          </w:p>
        </w:tc>
        <w:tc>
          <w:tcPr>
            <w:tcW w:w="42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5.30% notes due 2017</w:t>
            </w: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Euro notes due 2018</w:t>
            </w:r>
          </w:p>
        </w:tc>
        <w:tc>
          <w:tcPr>
            <w:tcW w:w="3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1,134</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5.30% notes due 2018</w:t>
            </w: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5.00% notes due 2019</w:t>
            </w:r>
          </w:p>
        </w:tc>
        <w:tc>
          <w:tcPr>
            <w:tcW w:w="3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1,134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3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1.30% Euro notes due 2023</w:t>
            </w: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1,416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3.35% notes due 2023</w:t>
            </w:r>
          </w:p>
        </w:tc>
        <w:tc>
          <w:tcPr>
            <w:tcW w:w="3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3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3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Industrial development bond obligations, floating</w:t>
            </w:r>
          </w:p>
        </w:tc>
        <w:tc>
          <w:tcPr>
            <w:tcW w:w="42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rate maturing at various dates through 2037</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3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gridSpan w:val="3"/>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0.6%-9.5% maturing at various</w:t>
            </w:r>
          </w:p>
        </w:tc>
        <w:tc>
          <w:tcPr>
            <w:tcW w:w="1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dates through 2023</w:t>
            </w:r>
          </w:p>
        </w:tc>
        <w:tc>
          <w:tcPr>
            <w:tcW w:w="39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445</w:t>
            </w:r>
          </w:p>
        </w:tc>
        <w:tc>
          <w:tcPr>
            <w:tcW w:w="3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10,326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5FFFF"/>
          </w:tcPr>
          <w:p>
            <w:pPr>
              <w:spacing w:after="0"/>
              <w:rPr>
                <w:sz w:val="20"/>
                <w:szCs w:val="20"/>
                <w:color w:val="auto"/>
              </w:rPr>
            </w:pPr>
            <w:r>
              <w:rPr>
                <w:rFonts w:ascii="Arial" w:cs="Arial" w:eastAsia="Arial" w:hAnsi="Arial"/>
                <w:sz w:val="18"/>
                <w:szCs w:val="18"/>
                <w:color w:val="auto"/>
              </w:rPr>
              <w:t>Less: current portion</w:t>
            </w:r>
          </w:p>
        </w:tc>
        <w:tc>
          <w:tcPr>
            <w:tcW w:w="39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9,700</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Company issued €1,000 million Floating Rate Senior Notes due 2018, €1,000 million 0.65% Senior Notes due 2020, €1,250 million 1.30% Senior Notes due 2023 and €750 million 2.25% Senior Notes due 2028 (collectively, the “Notes”). The Notes are senior unsecured and unsubordinated obligations of Honeywell and rank equally with all of Honeywell’s existing and future senior unsecured debt and senior to all of Honeywell’s subordinated debt. The offering resulted in gross proceeds of $4,438 million, offset by $17 million in discount and closing costs related to the offering.</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have entered into a $3 billion 364-Day Credit Agreement (364-Day Credit Agreement) with a syndicate of banks. The 364-Day Credit Agreement is maintained for general corporate purposes.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also entered into a $4 billion Amended and Restated Five Year Credit Agreement (Credit Agreement) with a syndicate of banks. The Credit Agreement is maintained for general corporate purposes. Commitments under the Credit Agreement can be increased pursuant to the terms of the Credit Agreement to an aggregate amount not to exceed $4.5 billion.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borrowings under the 364-Day Credit Agreement or the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 and Fair Value Measures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Financial Statements in our 2015 Annual Report on Form 10-K.</w:t>
      </w:r>
    </w:p>
    <w:p>
      <w:pPr>
        <w:spacing w:after="0" w:line="18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0"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4700" w:type="dxa"/>
            <w:vAlign w:val="bottom"/>
            <w:tcBorders>
              <w:bottom w:val="single" w:sz="8" w:color="E5FFFF"/>
            </w:tcBorders>
          </w:tcPr>
          <w:p>
            <w:pPr>
              <w:spacing w:after="0"/>
              <w:rPr>
                <w:sz w:val="17"/>
                <w:szCs w:val="17"/>
                <w:color w:val="auto"/>
              </w:rPr>
            </w:pPr>
          </w:p>
        </w:tc>
        <w:tc>
          <w:tcPr>
            <w:tcW w:w="158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10"/>
        </w:trPr>
        <w:tc>
          <w:tcPr>
            <w:tcW w:w="47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22</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47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5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1,352</w:t>
            </w:r>
          </w:p>
        </w:tc>
        <w:tc>
          <w:tcPr>
            <w:tcW w:w="2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1,501</w:t>
            </w:r>
          </w:p>
        </w:tc>
      </w:tr>
      <w:tr>
        <w:trPr>
          <w:trHeight w:val="217"/>
        </w:trPr>
        <w:tc>
          <w:tcPr>
            <w:tcW w:w="470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2"/>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47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Liabilities:</w:t>
            </w:r>
          </w:p>
        </w:tc>
        <w:tc>
          <w:tcPr>
            <w:tcW w:w="15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r>
      <w:tr>
        <w:trPr>
          <w:trHeight w:val="217"/>
        </w:trPr>
        <w:tc>
          <w:tcPr>
            <w:tcW w:w="4700" w:type="dxa"/>
            <w:vAlign w:val="bottom"/>
          </w:tcPr>
          <w:p>
            <w:pPr>
              <w:ind w:left="160"/>
              <w:spacing w:after="0"/>
              <w:rPr>
                <w:sz w:val="20"/>
                <w:szCs w:val="20"/>
                <w:color w:val="auto"/>
              </w:rPr>
            </w:pPr>
            <w:r>
              <w:rPr>
                <w:rFonts w:ascii="Arial" w:cs="Arial" w:eastAsia="Arial" w:hAnsi="Arial"/>
                <w:sz w:val="18"/>
                <w:szCs w:val="18"/>
                <w:color w:val="auto"/>
              </w:rPr>
              <w:t>Foreign currency exchange contracts</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The Company holds investments in certificates of deposits, time deposits and commercial paper that are designated as available for sale and are valued using published prices based on observable market data.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March 31, 2016</w:t>
            </w:r>
          </w:p>
        </w:tc>
        <w:tc>
          <w:tcPr>
            <w:tcW w:w="9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 2015</w:t>
            </w:r>
          </w:p>
        </w:tc>
        <w:tc>
          <w:tcPr>
            <w:tcW w:w="840" w:type="dxa"/>
            <w:vAlign w:val="bottom"/>
            <w:tcBorders>
              <w:bottom w:val="single" w:sz="8" w:color="auto"/>
            </w:tcBorders>
          </w:tcPr>
          <w:p>
            <w:pPr>
              <w:spacing w:after="0"/>
              <w:rPr>
                <w:sz w:val="15"/>
                <w:szCs w:val="15"/>
                <w:color w:val="auto"/>
              </w:rPr>
            </w:pPr>
          </w:p>
        </w:tc>
      </w:tr>
      <w:tr>
        <w:trPr>
          <w:trHeight w:val="196"/>
        </w:trPr>
        <w:tc>
          <w:tcPr>
            <w:tcW w:w="4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261"/>
              <w:spacing w:after="0"/>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61"/>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4"/>
                <w:szCs w:val="14"/>
                <w:b w:val="1"/>
                <w:bCs w:val="1"/>
                <w:color w:val="auto"/>
              </w:rPr>
              <w:t>Fair</w:t>
            </w:r>
          </w:p>
        </w:tc>
      </w:tr>
      <w:tr>
        <w:trPr>
          <w:trHeight w:val="175"/>
        </w:trPr>
        <w:tc>
          <w:tcPr>
            <w:tcW w:w="436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E5FF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r>
      <w:tr>
        <w:trPr>
          <w:trHeight w:val="210"/>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299</w:t>
            </w: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294</w:t>
            </w: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292</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283</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10,326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10,976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6,131</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6,721</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The fair value of these receivables is considered level 2. The Company determined the fair value of the long-term debt and related current maturities utilizing transactions in the listed markets for identical or similar liabilities. The fair value of the long-term debt and related current maturities is also considered level 2.</w:t>
      </w:r>
    </w:p>
    <w:p>
      <w:pPr>
        <w:spacing w:after="0" w:line="188"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months ended March 31, 2016 and 2015, we recognized $29 million and $15 million of gains in the Consolidated Statement of Operations on interest rate swap agreements. Gains and losses are fully offset by losses and gains on the underlying debt being hedged.</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$32 million and $162 million of expense in Other (income) expense for the three months ended March 31, 2016 and 2015.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2015</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(1,892)</w:t>
            </w:r>
          </w:p>
        </w:tc>
        <w:tc>
          <w:tcPr>
            <w:tcW w:w="5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(644)</w:t>
            </w:r>
          </w:p>
        </w:tc>
        <w:tc>
          <w:tcPr>
            <w:tcW w:w="5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1</w:t>
            </w:r>
          </w:p>
        </w:tc>
        <w:tc>
          <w:tcPr>
            <w:tcW w:w="6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80" w:type="dxa"/>
            <w:vAlign w:val="bottom"/>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6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122</w:t>
            </w:r>
          </w:p>
        </w:tc>
        <w:tc>
          <w:tcPr>
            <w:tcW w:w="360" w:type="dxa"/>
            <w:vAlign w:val="bottom"/>
            <w:tcBorders>
              <w:bottom w:val="single" w:sz="8" w:color="E5FF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340" w:type="dxa"/>
            <w:vAlign w:val="bottom"/>
            <w:tcBorders>
              <w:bottom w:val="single" w:sz="8" w:color="E5FF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320" w:type="dxa"/>
            <w:vAlign w:val="bottom"/>
            <w:tcBorders>
              <w:bottom w:val="single" w:sz="8" w:color="E5FF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March 31, 2016</w:t>
            </w:r>
          </w:p>
        </w:tc>
        <w:tc>
          <w:tcPr>
            <w:tcW w:w="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(1,770)</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(660)</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4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(740)</w:t>
            </w:r>
          </w:p>
        </w:tc>
        <w:tc>
          <w:tcPr>
            <w:tcW w:w="5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(728)</w:t>
            </w:r>
          </w:p>
        </w:tc>
        <w:tc>
          <w:tcPr>
            <w:tcW w:w="5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line="202" w:lineRule="exact"/>
              <w:rPr>
                <w:sz w:val="20"/>
                <w:szCs w:val="20"/>
                <w:color w:val="auto"/>
              </w:rPr>
            </w:pPr>
            <w:r>
              <w:rPr>
                <w:rFonts w:ascii="Arial" w:cs="Arial" w:eastAsia="Arial" w:hAnsi="Arial"/>
                <w:sz w:val="18"/>
                <w:szCs w:val="18"/>
                <w:color w:val="auto"/>
              </w:rPr>
              <w:t>9</w:t>
            </w:r>
          </w:p>
        </w:tc>
        <w:tc>
          <w:tcPr>
            <w:tcW w:w="6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3</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78</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March 31, 2015</w:t>
            </w:r>
          </w:p>
        </w:tc>
        <w:tc>
          <w:tcPr>
            <w:tcW w:w="4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(1,461)</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(725)</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87</w:t>
            </w:r>
          </w:p>
        </w:tc>
        <w:tc>
          <w:tcPr>
            <w:tcW w:w="6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Financial Data</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We globally manage our business operations through three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700" w:type="dxa"/>
            <w:vAlign w:val="bottom"/>
            <w:tcBorders>
              <w:top w:val="single" w:sz="8" w:color="E5FFFF"/>
            </w:tcBorders>
            <w:gridSpan w:val="3"/>
            <w:shd w:val="clear" w:color="auto" w:fill="E5FFFF"/>
          </w:tcPr>
          <w:p>
            <w:pPr>
              <w:spacing w:after="0" w:line="182" w:lineRule="exact"/>
              <w:rPr>
                <w:sz w:val="20"/>
                <w:szCs w:val="20"/>
                <w:color w:val="auto"/>
              </w:rPr>
            </w:pPr>
            <w:r>
              <w:rPr>
                <w:rFonts w:ascii="Arial" w:cs="Arial" w:eastAsia="Arial" w:hAnsi="Arial"/>
                <w:sz w:val="18"/>
                <w:szCs w:val="18"/>
                <w:color w:val="auto"/>
              </w:rPr>
              <w:t>Net Sales</w:t>
            </w:r>
          </w:p>
        </w:tc>
        <w:tc>
          <w:tcPr>
            <w:tcW w:w="2400" w:type="dxa"/>
            <w:vAlign w:val="bottom"/>
            <w:tcBorders>
              <w:top w:val="single" w:sz="8" w:color="E5FFFF"/>
            </w:tcBorders>
            <w:shd w:val="clear" w:color="auto" w:fill="E5FFFF"/>
          </w:tcPr>
          <w:p>
            <w:pPr>
              <w:spacing w:after="0"/>
              <w:rPr>
                <w:sz w:val="15"/>
                <w:szCs w:val="15"/>
                <w:color w:val="auto"/>
              </w:rPr>
            </w:pPr>
          </w:p>
        </w:tc>
        <w:tc>
          <w:tcPr>
            <w:tcW w:w="820" w:type="dxa"/>
            <w:vAlign w:val="bottom"/>
            <w:tcBorders>
              <w:top w:val="single" w:sz="8" w:color="auto"/>
            </w:tcBorders>
            <w:shd w:val="clear" w:color="auto" w:fill="E5FFFF"/>
          </w:tcPr>
          <w:p>
            <w:pPr>
              <w:spacing w:after="0"/>
              <w:rPr>
                <w:sz w:val="15"/>
                <w:szCs w:val="15"/>
                <w:color w:val="auto"/>
              </w:rPr>
            </w:pPr>
          </w:p>
        </w:tc>
        <w:tc>
          <w:tcPr>
            <w:tcW w:w="560" w:type="dxa"/>
            <w:vAlign w:val="bottom"/>
            <w:tcBorders>
              <w:top w:val="single" w:sz="8" w:color="auto"/>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620" w:type="dxa"/>
            <w:vAlign w:val="bottom"/>
            <w:tcBorders>
              <w:top w:val="single" w:sz="8" w:color="auto"/>
            </w:tcBorders>
            <w:shd w:val="clear" w:color="auto" w:fill="E5FFFF"/>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4520" w:type="dxa"/>
            <w:vAlign w:val="bottom"/>
            <w:shd w:val="clear" w:color="auto" w:fill="E5FFFF"/>
          </w:tcPr>
          <w:p>
            <w:pPr>
              <w:spacing w:after="0"/>
              <w:rPr>
                <w:sz w:val="2"/>
                <w:szCs w:val="2"/>
                <w:color w:val="auto"/>
              </w:rPr>
            </w:pPr>
          </w:p>
        </w:tc>
        <w:tc>
          <w:tcPr>
            <w:tcW w:w="2400" w:type="dxa"/>
            <w:vAlign w:val="bottom"/>
            <w:shd w:val="clear" w:color="auto" w:fill="E5FFFF"/>
          </w:tcPr>
          <w:p>
            <w:pPr>
              <w:spacing w:after="0"/>
              <w:rPr>
                <w:sz w:val="2"/>
                <w:szCs w:val="2"/>
                <w:color w:val="auto"/>
              </w:rPr>
            </w:pPr>
          </w:p>
        </w:tc>
        <w:tc>
          <w:tcPr>
            <w:tcW w:w="820" w:type="dxa"/>
            <w:vAlign w:val="bottom"/>
            <w:shd w:val="clear" w:color="auto" w:fill="E5FFFF"/>
          </w:tcPr>
          <w:p>
            <w:pPr>
              <w:spacing w:after="0"/>
              <w:rPr>
                <w:sz w:val="2"/>
                <w:szCs w:val="2"/>
                <w:color w:val="auto"/>
              </w:rPr>
            </w:pPr>
          </w:p>
        </w:tc>
        <w:tc>
          <w:tcPr>
            <w:tcW w:w="56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96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Aerospace</w:t>
            </w:r>
          </w:p>
        </w:tc>
        <w:tc>
          <w:tcPr>
            <w:tcW w:w="2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gridSpan w:val="3"/>
            <w:shd w:val="clear" w:color="auto" w:fill="E5FFFF"/>
          </w:tcPr>
          <w:p>
            <w:pPr>
              <w:jc w:val="center"/>
              <w:ind w:right="4660"/>
              <w:spacing w:after="0" w:line="202" w:lineRule="exact"/>
              <w:rPr>
                <w:sz w:val="20"/>
                <w:szCs w:val="20"/>
                <w:color w:val="auto"/>
              </w:rPr>
            </w:pPr>
            <w:r>
              <w:rPr>
                <w:rFonts w:ascii="Arial" w:cs="Arial" w:eastAsia="Arial" w:hAnsi="Arial"/>
                <w:sz w:val="18"/>
                <w:szCs w:val="18"/>
                <w:color w:val="auto"/>
              </w:rPr>
              <w:t>Products</w:t>
            </w:r>
          </w:p>
        </w:tc>
        <w:tc>
          <w:tcPr>
            <w:tcW w:w="3220" w:type="dxa"/>
            <w:vAlign w:val="bottom"/>
            <w:gridSpan w:val="2"/>
            <w:shd w:val="clear" w:color="auto" w:fill="E5FF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w w:val="97"/>
              </w:rPr>
              <w:t>2,490</w:t>
            </w:r>
          </w:p>
        </w:tc>
        <w:tc>
          <w:tcPr>
            <w:tcW w:w="1300" w:type="dxa"/>
            <w:vAlign w:val="bottom"/>
            <w:gridSpan w:val="2"/>
            <w:shd w:val="clear" w:color="auto" w:fill="E5FF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2,463</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E5FFFF"/>
            </w:tcBorders>
            <w:gridSpan w:val="3"/>
          </w:tcPr>
          <w:p>
            <w:pPr>
              <w:jc w:val="center"/>
              <w:ind w:right="4680"/>
              <w:spacing w:after="0"/>
              <w:rPr>
                <w:sz w:val="20"/>
                <w:szCs w:val="20"/>
                <w:color w:val="auto"/>
              </w:rPr>
            </w:pPr>
            <w:r>
              <w:rPr>
                <w:rFonts w:ascii="Arial" w:cs="Arial" w:eastAsia="Arial" w:hAnsi="Arial"/>
                <w:sz w:val="18"/>
                <w:szCs w:val="18"/>
                <w:color w:val="auto"/>
              </w:rPr>
              <w:t>Services</w:t>
            </w:r>
          </w:p>
        </w:tc>
        <w:tc>
          <w:tcPr>
            <w:tcW w:w="240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1,215</w:t>
            </w:r>
          </w:p>
        </w:tc>
        <w:tc>
          <w:tcPr>
            <w:tcW w:w="34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1,144</w:t>
            </w:r>
          </w:p>
        </w:tc>
      </w:tr>
      <w:tr>
        <w:trPr>
          <w:trHeight w:val="196"/>
        </w:trPr>
        <w:tc>
          <w:tcPr>
            <w:tcW w:w="20" w:type="dxa"/>
            <w:vAlign w:val="bottom"/>
          </w:tcPr>
          <w:p>
            <w:pPr>
              <w:spacing w:after="0"/>
              <w:rPr>
                <w:sz w:val="17"/>
                <w:szCs w:val="17"/>
                <w:color w:val="auto"/>
              </w:rPr>
            </w:pPr>
          </w:p>
        </w:tc>
        <w:tc>
          <w:tcPr>
            <w:tcW w:w="5700" w:type="dxa"/>
            <w:vAlign w:val="bottom"/>
            <w:gridSpan w:val="3"/>
            <w:shd w:val="clear" w:color="auto" w:fill="E5FFFF"/>
          </w:tcPr>
          <w:p>
            <w:pPr>
              <w:jc w:val="center"/>
              <w:ind w:right="4640"/>
              <w:spacing w:after="0" w:line="196" w:lineRule="exact"/>
              <w:rPr>
                <w:sz w:val="20"/>
                <w:szCs w:val="20"/>
                <w:color w:val="auto"/>
              </w:rPr>
            </w:pPr>
            <w:r>
              <w:rPr>
                <w:rFonts w:ascii="Arial" w:cs="Arial" w:eastAsia="Arial" w:hAnsi="Arial"/>
                <w:sz w:val="18"/>
                <w:szCs w:val="18"/>
                <w:color w:val="auto"/>
                <w:w w:val="94"/>
              </w:rPr>
              <w:t>Total</w:t>
            </w:r>
          </w:p>
        </w:tc>
        <w:tc>
          <w:tcPr>
            <w:tcW w:w="24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5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w w:val="97"/>
              </w:rPr>
              <w:t>3,705</w:t>
            </w:r>
          </w:p>
        </w:tc>
        <w:tc>
          <w:tcPr>
            <w:tcW w:w="3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3,607</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Automation and Control Solutions</w:t>
            </w:r>
          </w:p>
        </w:tc>
        <w:tc>
          <w:tcPr>
            <w:tcW w:w="2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gridSpan w:val="3"/>
            <w:shd w:val="clear" w:color="auto" w:fill="E5FFFF"/>
          </w:tcPr>
          <w:p>
            <w:pPr>
              <w:jc w:val="center"/>
              <w:ind w:right="4660"/>
              <w:spacing w:after="0" w:line="202" w:lineRule="exact"/>
              <w:rPr>
                <w:sz w:val="20"/>
                <w:szCs w:val="20"/>
                <w:color w:val="auto"/>
              </w:rPr>
            </w:pPr>
            <w:r>
              <w:rPr>
                <w:rFonts w:ascii="Arial" w:cs="Arial" w:eastAsia="Arial" w:hAnsi="Arial"/>
                <w:sz w:val="18"/>
                <w:szCs w:val="18"/>
                <w:color w:val="auto"/>
              </w:rPr>
              <w:t>Products</w:t>
            </w:r>
          </w:p>
        </w:tc>
        <w:tc>
          <w:tcPr>
            <w:tcW w:w="24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5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w w:val="97"/>
              </w:rPr>
              <w:t>3,386</w:t>
            </w:r>
          </w:p>
        </w:tc>
        <w:tc>
          <w:tcPr>
            <w:tcW w:w="3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2,979</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E5FFFF"/>
            </w:tcBorders>
            <w:gridSpan w:val="3"/>
          </w:tcPr>
          <w:p>
            <w:pPr>
              <w:jc w:val="center"/>
              <w:ind w:right="4680"/>
              <w:spacing w:after="0"/>
              <w:rPr>
                <w:sz w:val="20"/>
                <w:szCs w:val="20"/>
                <w:color w:val="auto"/>
              </w:rPr>
            </w:pPr>
            <w:r>
              <w:rPr>
                <w:rFonts w:ascii="Arial" w:cs="Arial" w:eastAsia="Arial" w:hAnsi="Arial"/>
                <w:sz w:val="18"/>
                <w:szCs w:val="18"/>
                <w:color w:val="auto"/>
              </w:rPr>
              <w:t>Services</w:t>
            </w:r>
          </w:p>
        </w:tc>
        <w:tc>
          <w:tcPr>
            <w:tcW w:w="240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34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r>
      <w:tr>
        <w:trPr>
          <w:trHeight w:val="196"/>
        </w:trPr>
        <w:tc>
          <w:tcPr>
            <w:tcW w:w="20" w:type="dxa"/>
            <w:vAlign w:val="bottom"/>
          </w:tcPr>
          <w:p>
            <w:pPr>
              <w:spacing w:after="0"/>
              <w:rPr>
                <w:sz w:val="17"/>
                <w:szCs w:val="17"/>
                <w:color w:val="auto"/>
              </w:rPr>
            </w:pPr>
          </w:p>
        </w:tc>
        <w:tc>
          <w:tcPr>
            <w:tcW w:w="5700" w:type="dxa"/>
            <w:vAlign w:val="bottom"/>
            <w:gridSpan w:val="3"/>
            <w:shd w:val="clear" w:color="auto" w:fill="E5FFFF"/>
          </w:tcPr>
          <w:p>
            <w:pPr>
              <w:jc w:val="center"/>
              <w:ind w:right="4640"/>
              <w:spacing w:after="0" w:line="196" w:lineRule="exact"/>
              <w:rPr>
                <w:sz w:val="20"/>
                <w:szCs w:val="20"/>
                <w:color w:val="auto"/>
              </w:rPr>
            </w:pPr>
            <w:r>
              <w:rPr>
                <w:rFonts w:ascii="Arial" w:cs="Arial" w:eastAsia="Arial" w:hAnsi="Arial"/>
                <w:sz w:val="18"/>
                <w:szCs w:val="18"/>
                <w:color w:val="auto"/>
                <w:w w:val="94"/>
              </w:rPr>
              <w:t>Total</w:t>
            </w:r>
          </w:p>
        </w:tc>
        <w:tc>
          <w:tcPr>
            <w:tcW w:w="24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5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w w:val="97"/>
              </w:rPr>
              <w:t>3,677</w:t>
            </w:r>
          </w:p>
        </w:tc>
        <w:tc>
          <w:tcPr>
            <w:tcW w:w="3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3,264</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Performance Materials and Technologies</w:t>
            </w:r>
          </w:p>
        </w:tc>
        <w:tc>
          <w:tcPr>
            <w:tcW w:w="2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gridSpan w:val="3"/>
            <w:shd w:val="clear" w:color="auto" w:fill="E5FFFF"/>
          </w:tcPr>
          <w:p>
            <w:pPr>
              <w:jc w:val="center"/>
              <w:ind w:right="4660"/>
              <w:spacing w:after="0" w:line="202" w:lineRule="exact"/>
              <w:rPr>
                <w:sz w:val="20"/>
                <w:szCs w:val="20"/>
                <w:color w:val="auto"/>
              </w:rPr>
            </w:pPr>
            <w:r>
              <w:rPr>
                <w:rFonts w:ascii="Arial" w:cs="Arial" w:eastAsia="Arial" w:hAnsi="Arial"/>
                <w:sz w:val="18"/>
                <w:szCs w:val="18"/>
                <w:color w:val="auto"/>
              </w:rPr>
              <w:t>Products</w:t>
            </w:r>
          </w:p>
        </w:tc>
        <w:tc>
          <w:tcPr>
            <w:tcW w:w="24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5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w w:val="97"/>
              </w:rPr>
              <w:t>1,743</w:t>
            </w:r>
          </w:p>
        </w:tc>
        <w:tc>
          <w:tcPr>
            <w:tcW w:w="3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1,922</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E5FFFF"/>
            </w:tcBorders>
            <w:gridSpan w:val="3"/>
          </w:tcPr>
          <w:p>
            <w:pPr>
              <w:jc w:val="center"/>
              <w:ind w:right="4680"/>
              <w:spacing w:after="0"/>
              <w:rPr>
                <w:sz w:val="20"/>
                <w:szCs w:val="20"/>
                <w:color w:val="auto"/>
              </w:rPr>
            </w:pPr>
            <w:r>
              <w:rPr>
                <w:rFonts w:ascii="Arial" w:cs="Arial" w:eastAsia="Arial" w:hAnsi="Arial"/>
                <w:sz w:val="18"/>
                <w:szCs w:val="18"/>
                <w:color w:val="auto"/>
              </w:rPr>
              <w:t>Services</w:t>
            </w:r>
          </w:p>
        </w:tc>
        <w:tc>
          <w:tcPr>
            <w:tcW w:w="240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397</w:t>
            </w:r>
          </w:p>
        </w:tc>
        <w:tc>
          <w:tcPr>
            <w:tcW w:w="34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w:t>
            </w:r>
          </w:p>
        </w:tc>
      </w:tr>
      <w:tr>
        <w:trPr>
          <w:trHeight w:val="196"/>
        </w:trPr>
        <w:tc>
          <w:tcPr>
            <w:tcW w:w="20" w:type="dxa"/>
            <w:vAlign w:val="bottom"/>
          </w:tcPr>
          <w:p>
            <w:pPr>
              <w:spacing w:after="0"/>
              <w:rPr>
                <w:sz w:val="17"/>
                <w:szCs w:val="17"/>
                <w:color w:val="auto"/>
              </w:rPr>
            </w:pPr>
          </w:p>
        </w:tc>
        <w:tc>
          <w:tcPr>
            <w:tcW w:w="5700" w:type="dxa"/>
            <w:vAlign w:val="bottom"/>
            <w:gridSpan w:val="3"/>
            <w:shd w:val="clear" w:color="auto" w:fill="E5FFFF"/>
          </w:tcPr>
          <w:p>
            <w:pPr>
              <w:jc w:val="center"/>
              <w:ind w:right="4640"/>
              <w:spacing w:after="0" w:line="196" w:lineRule="exact"/>
              <w:rPr>
                <w:sz w:val="20"/>
                <w:szCs w:val="20"/>
                <w:color w:val="auto"/>
              </w:rPr>
            </w:pPr>
            <w:r>
              <w:rPr>
                <w:rFonts w:ascii="Arial" w:cs="Arial" w:eastAsia="Arial" w:hAnsi="Arial"/>
                <w:sz w:val="18"/>
                <w:szCs w:val="18"/>
                <w:color w:val="auto"/>
                <w:w w:val="94"/>
              </w:rPr>
              <w:t>Total</w:t>
            </w:r>
          </w:p>
        </w:tc>
        <w:tc>
          <w:tcPr>
            <w:tcW w:w="2400" w:type="dxa"/>
            <w:vAlign w:val="bottom"/>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spacing w:after="0"/>
              <w:rPr>
                <w:sz w:val="17"/>
                <w:szCs w:val="17"/>
                <w:color w:val="auto"/>
              </w:rPr>
            </w:pPr>
          </w:p>
        </w:tc>
        <w:tc>
          <w:tcPr>
            <w:tcW w:w="5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w w:val="97"/>
              </w:rPr>
              <w:t>2,140</w:t>
            </w:r>
          </w:p>
        </w:tc>
        <w:tc>
          <w:tcPr>
            <w:tcW w:w="340" w:type="dxa"/>
            <w:vAlign w:val="bottom"/>
            <w:shd w:val="clear" w:color="auto" w:fill="E5FFFF"/>
          </w:tcPr>
          <w:p>
            <w:pPr>
              <w:spacing w:after="0"/>
              <w:rPr>
                <w:sz w:val="17"/>
                <w:szCs w:val="17"/>
                <w:color w:val="auto"/>
              </w:rPr>
            </w:pPr>
          </w:p>
        </w:tc>
        <w:tc>
          <w:tcPr>
            <w:tcW w:w="960" w:type="dxa"/>
            <w:vAlign w:val="bottom"/>
            <w:tcBorders>
              <w:bottom w:val="single" w:sz="8" w:color="auto"/>
            </w:tcBorders>
            <w:shd w:val="clear" w:color="auto" w:fill="E5FFFF"/>
          </w:tcPr>
          <w:p>
            <w:pPr>
              <w:spacing w:after="0"/>
              <w:rPr>
                <w:sz w:val="17"/>
                <w:szCs w:val="17"/>
                <w:color w:val="auto"/>
              </w:rPr>
            </w:pPr>
          </w:p>
        </w:tc>
        <w:tc>
          <w:tcPr>
            <w:tcW w:w="62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2,342</w:t>
            </w: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9,522</w:t>
            </w:r>
          </w:p>
        </w:tc>
        <w:tc>
          <w:tcPr>
            <w:tcW w:w="13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9,213</w:t>
            </w:r>
          </w:p>
        </w:tc>
      </w:tr>
      <w:tr>
        <w:trPr>
          <w:trHeight w:val="177"/>
        </w:trPr>
        <w:tc>
          <w:tcPr>
            <w:tcW w:w="20" w:type="dxa"/>
            <w:vAlign w:val="bottom"/>
          </w:tcPr>
          <w:p>
            <w:pPr>
              <w:spacing w:after="0"/>
              <w:rPr>
                <w:sz w:val="15"/>
                <w:szCs w:val="15"/>
                <w:color w:val="auto"/>
              </w:rPr>
            </w:pPr>
          </w:p>
        </w:tc>
        <w:tc>
          <w:tcPr>
            <w:tcW w:w="1180" w:type="dxa"/>
            <w:vAlign w:val="bottom"/>
            <w:tcBorders>
              <w:top w:val="single" w:sz="8" w:color="E5FFFF"/>
              <w:bottom w:val="single" w:sz="8" w:color="auto"/>
            </w:tcBorders>
            <w:gridSpan w:val="2"/>
            <w:shd w:val="clear" w:color="auto" w:fill="E5FFFF"/>
          </w:tcPr>
          <w:p>
            <w:pPr>
              <w:spacing w:after="0" w:line="170" w:lineRule="exact"/>
              <w:rPr>
                <w:sz w:val="20"/>
                <w:szCs w:val="20"/>
                <w:color w:val="auto"/>
              </w:rPr>
            </w:pPr>
            <w:r>
              <w:rPr>
                <w:rFonts w:ascii="Arial" w:cs="Arial" w:eastAsia="Arial" w:hAnsi="Arial"/>
                <w:sz w:val="18"/>
                <w:szCs w:val="18"/>
                <w:color w:val="auto"/>
                <w:w w:val="97"/>
              </w:rPr>
              <w:t>Segment Profit</w:t>
            </w:r>
          </w:p>
        </w:tc>
        <w:tc>
          <w:tcPr>
            <w:tcW w:w="4520" w:type="dxa"/>
            <w:vAlign w:val="bottom"/>
            <w:tcBorders>
              <w:top w:val="single" w:sz="8" w:color="E5FFFF"/>
              <w:bottom w:val="single" w:sz="8" w:color="E5FFFF"/>
            </w:tcBorders>
            <w:shd w:val="clear" w:color="auto" w:fill="E5FFFF"/>
          </w:tcPr>
          <w:p>
            <w:pPr>
              <w:spacing w:after="0"/>
              <w:rPr>
                <w:sz w:val="15"/>
                <w:szCs w:val="15"/>
                <w:color w:val="auto"/>
              </w:rPr>
            </w:pPr>
          </w:p>
        </w:tc>
        <w:tc>
          <w:tcPr>
            <w:tcW w:w="2400" w:type="dxa"/>
            <w:vAlign w:val="bottom"/>
            <w:tcBorders>
              <w:top w:val="single" w:sz="8" w:color="E5FFFF"/>
              <w:bottom w:val="single" w:sz="8" w:color="E5FFFF"/>
            </w:tcBorders>
            <w:shd w:val="clear" w:color="auto" w:fill="E5FFFF"/>
          </w:tcPr>
          <w:p>
            <w:pPr>
              <w:spacing w:after="0"/>
              <w:rPr>
                <w:sz w:val="15"/>
                <w:szCs w:val="15"/>
                <w:color w:val="auto"/>
              </w:rPr>
            </w:pPr>
          </w:p>
        </w:tc>
        <w:tc>
          <w:tcPr>
            <w:tcW w:w="820" w:type="dxa"/>
            <w:vAlign w:val="bottom"/>
            <w:tcBorders>
              <w:top w:val="single" w:sz="8" w:color="auto"/>
              <w:bottom w:val="single" w:sz="8" w:color="E5FFFF"/>
            </w:tcBorders>
            <w:shd w:val="clear" w:color="auto" w:fill="E5FFFF"/>
          </w:tcPr>
          <w:p>
            <w:pPr>
              <w:spacing w:after="0"/>
              <w:rPr>
                <w:sz w:val="15"/>
                <w:szCs w:val="15"/>
                <w:color w:val="auto"/>
              </w:rPr>
            </w:pPr>
          </w:p>
        </w:tc>
        <w:tc>
          <w:tcPr>
            <w:tcW w:w="560" w:type="dxa"/>
            <w:vAlign w:val="bottom"/>
            <w:tcBorders>
              <w:top w:val="single" w:sz="8" w:color="auto"/>
              <w:bottom w:val="single" w:sz="8" w:color="E5FFFF"/>
            </w:tcBorders>
            <w:shd w:val="clear" w:color="auto" w:fill="E5FFFF"/>
          </w:tcPr>
          <w:p>
            <w:pPr>
              <w:spacing w:after="0"/>
              <w:rPr>
                <w:sz w:val="15"/>
                <w:szCs w:val="15"/>
                <w:color w:val="auto"/>
              </w:rPr>
            </w:pPr>
          </w:p>
        </w:tc>
        <w:tc>
          <w:tcPr>
            <w:tcW w:w="340" w:type="dxa"/>
            <w:vAlign w:val="bottom"/>
            <w:tcBorders>
              <w:top w:val="single" w:sz="8" w:color="E5FFFF"/>
              <w:bottom w:val="single" w:sz="8" w:color="E5FFFF"/>
            </w:tcBorders>
            <w:shd w:val="clear" w:color="auto" w:fill="E5FFFF"/>
          </w:tcPr>
          <w:p>
            <w:pPr>
              <w:spacing w:after="0"/>
              <w:rPr>
                <w:sz w:val="15"/>
                <w:szCs w:val="15"/>
                <w:color w:val="auto"/>
              </w:rPr>
            </w:pPr>
          </w:p>
        </w:tc>
        <w:tc>
          <w:tcPr>
            <w:tcW w:w="960" w:type="dxa"/>
            <w:vAlign w:val="bottom"/>
            <w:tcBorders>
              <w:top w:val="single" w:sz="8" w:color="auto"/>
              <w:bottom w:val="single" w:sz="8" w:color="E5FFFF"/>
            </w:tcBorders>
            <w:shd w:val="clear" w:color="auto" w:fill="E5FFFF"/>
          </w:tcPr>
          <w:p>
            <w:pPr>
              <w:spacing w:after="0"/>
              <w:rPr>
                <w:sz w:val="15"/>
                <w:szCs w:val="15"/>
                <w:color w:val="auto"/>
              </w:rPr>
            </w:pPr>
          </w:p>
        </w:tc>
        <w:tc>
          <w:tcPr>
            <w:tcW w:w="620" w:type="dxa"/>
            <w:vAlign w:val="bottom"/>
            <w:tcBorders>
              <w:top w:val="single" w:sz="8" w:color="auto"/>
              <w:bottom w:val="single" w:sz="8" w:color="E5FFFF"/>
            </w:tcBorders>
            <w:shd w:val="clear" w:color="auto" w:fill="E5FF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70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32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798</w:t>
            </w:r>
          </w:p>
        </w:tc>
        <w:tc>
          <w:tcPr>
            <w:tcW w:w="13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w:t>
            </w:r>
          </w:p>
        </w:tc>
      </w:tr>
      <w:tr>
        <w:trPr>
          <w:trHeight w:val="203"/>
        </w:trPr>
        <w:tc>
          <w:tcPr>
            <w:tcW w:w="20" w:type="dxa"/>
            <w:vAlign w:val="bottom"/>
          </w:tcPr>
          <w:p>
            <w:pPr>
              <w:spacing w:after="0"/>
              <w:rPr>
                <w:sz w:val="17"/>
                <w:szCs w:val="17"/>
                <w:color w:val="auto"/>
              </w:rPr>
            </w:pPr>
          </w:p>
        </w:tc>
        <w:tc>
          <w:tcPr>
            <w:tcW w:w="570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24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5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530</w:t>
            </w:r>
          </w:p>
        </w:tc>
        <w:tc>
          <w:tcPr>
            <w:tcW w:w="3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516</w:t>
            </w:r>
          </w:p>
        </w:tc>
      </w:tr>
      <w:tr>
        <w:trPr>
          <w:trHeight w:val="203"/>
        </w:trPr>
        <w:tc>
          <w:tcPr>
            <w:tcW w:w="20" w:type="dxa"/>
            <w:vAlign w:val="bottom"/>
          </w:tcPr>
          <w:p>
            <w:pPr>
              <w:spacing w:after="0"/>
              <w:rPr>
                <w:sz w:val="17"/>
                <w:szCs w:val="17"/>
                <w:color w:val="auto"/>
              </w:rPr>
            </w:pPr>
          </w:p>
        </w:tc>
        <w:tc>
          <w:tcPr>
            <w:tcW w:w="570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2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441</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Corporate</w:t>
            </w:r>
          </w:p>
        </w:tc>
        <w:tc>
          <w:tcPr>
            <w:tcW w:w="240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spacing w:after="0"/>
              <w:rPr>
                <w:sz w:val="18"/>
                <w:szCs w:val="18"/>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20" w:type="dxa"/>
            <w:vAlign w:val="bottom"/>
          </w:tcPr>
          <w:p>
            <w:pPr>
              <w:spacing w:after="0"/>
              <w:rPr>
                <w:sz w:val="17"/>
                <w:szCs w:val="17"/>
                <w:color w:val="auto"/>
              </w:rPr>
            </w:pPr>
          </w:p>
        </w:tc>
        <w:tc>
          <w:tcPr>
            <w:tcW w:w="5700" w:type="dxa"/>
            <w:vAlign w:val="bottom"/>
            <w:tcBorders>
              <w:bottom w:val="single" w:sz="8" w:color="E5FFFF"/>
            </w:tcBorders>
            <w:gridSpan w:val="3"/>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2400" w:type="dxa"/>
            <w:vAlign w:val="bottom"/>
            <w:tcBorders>
              <w:bottom w:val="single" w:sz="8" w:color="E5FF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w w:val="97"/>
              </w:rPr>
              <w:t>1,720</w:t>
            </w:r>
          </w:p>
        </w:tc>
        <w:tc>
          <w:tcPr>
            <w:tcW w:w="340" w:type="dxa"/>
            <w:vAlign w:val="bottom"/>
            <w:tcBorders>
              <w:bottom w:val="single" w:sz="8" w:color="E5FF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1,721</w:t>
            </w:r>
          </w:p>
        </w:tc>
      </w:tr>
      <w:tr>
        <w:trPr>
          <w:trHeight w:val="223"/>
        </w:trPr>
        <w:tc>
          <w:tcPr>
            <w:tcW w:w="20" w:type="dxa"/>
            <w:vAlign w:val="bottom"/>
          </w:tcPr>
          <w:p>
            <w:pPr>
              <w:spacing w:after="0"/>
              <w:rPr>
                <w:sz w:val="19"/>
                <w:szCs w:val="19"/>
                <w:color w:val="auto"/>
              </w:rPr>
            </w:pPr>
          </w:p>
        </w:tc>
        <w:tc>
          <w:tcPr>
            <w:tcW w:w="5700" w:type="dxa"/>
            <w:vAlign w:val="bottom"/>
            <w:gridSpan w:val="3"/>
            <w:shd w:val="clear" w:color="auto" w:fill="E5FFFF"/>
          </w:tcPr>
          <w:p>
            <w:pPr>
              <w:spacing w:after="0" w:line="223" w:lineRule="exact"/>
              <w:rPr>
                <w:sz w:val="20"/>
                <w:szCs w:val="20"/>
                <w:color w:val="auto"/>
              </w:rPr>
            </w:pPr>
            <w:r>
              <w:rPr>
                <w:rFonts w:ascii="Arial" w:cs="Arial" w:eastAsia="Arial" w:hAnsi="Arial"/>
                <w:sz w:val="16"/>
                <w:szCs w:val="16"/>
                <w:color w:val="auto"/>
              </w:rPr>
              <w:t>Other income</w:t>
            </w:r>
            <w:r>
              <w:rPr>
                <w:rFonts w:ascii="Arial" w:cs="Arial" w:eastAsia="Arial" w:hAnsi="Arial"/>
                <w:sz w:val="25"/>
                <w:szCs w:val="25"/>
                <w:color w:val="auto"/>
                <w:vertAlign w:val="superscript"/>
              </w:rPr>
              <w:t>(a)</w:t>
            </w:r>
          </w:p>
        </w:tc>
        <w:tc>
          <w:tcPr>
            <w:tcW w:w="240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5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6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5700" w:type="dxa"/>
            <w:vAlign w:val="bottom"/>
            <w:gridSpan w:val="3"/>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2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43"/>
        </w:trPr>
        <w:tc>
          <w:tcPr>
            <w:tcW w:w="20" w:type="dxa"/>
            <w:vAlign w:val="bottom"/>
          </w:tcPr>
          <w:p>
            <w:pPr>
              <w:spacing w:after="0"/>
              <w:rPr>
                <w:sz w:val="21"/>
                <w:szCs w:val="21"/>
                <w:color w:val="auto"/>
              </w:rPr>
            </w:pPr>
          </w:p>
        </w:tc>
        <w:tc>
          <w:tcPr>
            <w:tcW w:w="570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240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20" w:type="dxa"/>
            <w:vAlign w:val="bottom"/>
          </w:tcPr>
          <w:p>
            <w:pPr>
              <w:spacing w:after="0"/>
              <w:rPr>
                <w:sz w:val="21"/>
                <w:szCs w:val="21"/>
                <w:color w:val="auto"/>
              </w:rPr>
            </w:pPr>
          </w:p>
        </w:tc>
        <w:tc>
          <w:tcPr>
            <w:tcW w:w="570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2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20" w:type="dxa"/>
            <w:vAlign w:val="bottom"/>
          </w:tcPr>
          <w:p>
            <w:pPr>
              <w:spacing w:after="0"/>
              <w:rPr>
                <w:sz w:val="21"/>
                <w:szCs w:val="21"/>
                <w:color w:val="auto"/>
              </w:rPr>
            </w:pPr>
          </w:p>
        </w:tc>
        <w:tc>
          <w:tcPr>
            <w:tcW w:w="570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(b)</w:t>
            </w:r>
          </w:p>
        </w:tc>
        <w:tc>
          <w:tcPr>
            <w:tcW w:w="240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9</w:t>
            </w:r>
          </w:p>
        </w:tc>
        <w:tc>
          <w:tcPr>
            <w:tcW w:w="34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20" w:type="dxa"/>
            <w:vAlign w:val="bottom"/>
          </w:tcPr>
          <w:p>
            <w:pPr>
              <w:spacing w:after="0"/>
              <w:rPr>
                <w:sz w:val="22"/>
                <w:szCs w:val="22"/>
                <w:color w:val="auto"/>
              </w:rPr>
            </w:pPr>
          </w:p>
        </w:tc>
        <w:tc>
          <w:tcPr>
            <w:tcW w:w="5700" w:type="dxa"/>
            <w:vAlign w:val="bottom"/>
            <w:tcBorders>
              <w:bottom w:val="single" w:sz="8" w:color="E5FFFF"/>
            </w:tcBorders>
            <w:gridSpan w:val="3"/>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2400" w:type="dxa"/>
            <w:vAlign w:val="bottom"/>
            <w:tcBorders>
              <w:bottom w:val="single" w:sz="8" w:color="E5FF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E5FF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10"/>
        </w:trPr>
        <w:tc>
          <w:tcPr>
            <w:tcW w:w="20" w:type="dxa"/>
            <w:vAlign w:val="bottom"/>
          </w:tcPr>
          <w:p>
            <w:pPr>
              <w:spacing w:after="0"/>
              <w:rPr>
                <w:sz w:val="18"/>
                <w:szCs w:val="18"/>
                <w:color w:val="auto"/>
              </w:rPr>
            </w:pPr>
          </w:p>
        </w:tc>
        <w:tc>
          <w:tcPr>
            <w:tcW w:w="5700" w:type="dxa"/>
            <w:vAlign w:val="bottom"/>
            <w:gridSpan w:val="3"/>
            <w:shd w:val="clear" w:color="auto" w:fill="E5FFFF"/>
          </w:tcPr>
          <w:p>
            <w:pPr>
              <w:spacing w:after="0" w:line="197" w:lineRule="exact"/>
              <w:rPr>
                <w:sz w:val="20"/>
                <w:szCs w:val="20"/>
                <w:color w:val="auto"/>
              </w:rPr>
            </w:pPr>
            <w:r>
              <w:rPr>
                <w:rFonts w:ascii="Arial" w:cs="Arial" w:eastAsia="Arial" w:hAnsi="Arial"/>
                <w:sz w:val="18"/>
                <w:szCs w:val="18"/>
                <w:color w:val="auto"/>
              </w:rPr>
              <w:t>Income before taxes</w:t>
            </w:r>
          </w:p>
        </w:tc>
        <w:tc>
          <w:tcPr>
            <w:tcW w:w="3220" w:type="dxa"/>
            <w:vAlign w:val="bottom"/>
            <w:gridSpan w:val="2"/>
            <w:shd w:val="clear" w:color="auto" w:fill="E5FFFF"/>
          </w:tcPr>
          <w:p>
            <w:pPr>
              <w:jc w:val="right"/>
              <w:ind w:right="7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97"/>
              </w:rPr>
              <w:t>1,628</w:t>
            </w:r>
          </w:p>
        </w:tc>
        <w:tc>
          <w:tcPr>
            <w:tcW w:w="1300" w:type="dxa"/>
            <w:vAlign w:val="bottom"/>
            <w:gridSpan w:val="2"/>
            <w:shd w:val="clear" w:color="auto" w:fill="E5FFFF"/>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1,564</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4520" w:type="dxa"/>
            <w:vAlign w:val="bottom"/>
            <w:tcBorders>
              <w:top w:val="single" w:sz="8" w:color="E5FFFF"/>
            </w:tcBorders>
          </w:tcPr>
          <w:p>
            <w:pPr>
              <w:spacing w:after="0" w:line="20" w:lineRule="exact"/>
              <w:rPr>
                <w:sz w:val="1"/>
                <w:szCs w:val="1"/>
                <w:color w:val="auto"/>
              </w:rPr>
            </w:pPr>
          </w:p>
        </w:tc>
        <w:tc>
          <w:tcPr>
            <w:tcW w:w="240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income for our significant defined benefit plans include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right"/>
              <w:ind w:right="90"/>
              <w:spacing w:after="0" w:line="156" w:lineRule="exact"/>
              <w:rPr>
                <w:sz w:val="20"/>
                <w:szCs w:val="20"/>
                <w:color w:val="auto"/>
              </w:rPr>
            </w:pPr>
            <w:r>
              <w:rPr>
                <w:rFonts w:ascii="Arial" w:cs="Arial" w:eastAsia="Arial" w:hAnsi="Arial"/>
                <w:sz w:val="14"/>
                <w:szCs w:val="14"/>
                <w:b w:val="1"/>
                <w:bCs w:val="1"/>
                <w:color w:val="auto"/>
              </w:rPr>
              <w:t>U.S. Plans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3"/>
          </w:tcPr>
          <w:p>
            <w:pPr>
              <w:jc w:val="right"/>
              <w:spacing w:after="0" w:line="156" w:lineRule="exact"/>
              <w:rPr>
                <w:sz w:val="20"/>
                <w:szCs w:val="20"/>
                <w:color w:val="auto"/>
              </w:rPr>
            </w:pPr>
            <w:r>
              <w:rPr>
                <w:rFonts w:ascii="Arial" w:cs="Arial" w:eastAsia="Arial" w:hAnsi="Arial"/>
                <w:sz w:val="14"/>
                <w:szCs w:val="14"/>
                <w:b w:val="1"/>
                <w:bCs w:val="1"/>
                <w:color w:val="auto"/>
              </w:rPr>
              <w:t>Non-U.S. Plans</w:t>
            </w:r>
          </w:p>
        </w:tc>
        <w:tc>
          <w:tcPr>
            <w:tcW w:w="980" w:type="dxa"/>
            <w:vAlign w:val="bottom"/>
          </w:tcPr>
          <w:p>
            <w:pPr>
              <w:spacing w:after="0"/>
              <w:rPr>
                <w:sz w:val="13"/>
                <w:szCs w:val="13"/>
                <w:color w:val="auto"/>
              </w:rPr>
            </w:pPr>
          </w:p>
        </w:tc>
      </w:tr>
      <w:tr>
        <w:trPr>
          <w:trHeight w:val="175"/>
        </w:trPr>
        <w:tc>
          <w:tcPr>
            <w:tcW w:w="3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r>
      <w:tr>
        <w:trPr>
          <w:trHeight w:val="169"/>
        </w:trPr>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2015</w:t>
            </w:r>
          </w:p>
        </w:tc>
      </w:tr>
      <w:tr>
        <w:trPr>
          <w:trHeight w:val="196"/>
        </w:trPr>
        <w:tc>
          <w:tcPr>
            <w:tcW w:w="37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1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48</w:t>
            </w:r>
          </w:p>
        </w:tc>
        <w:tc>
          <w:tcPr>
            <w:tcW w:w="3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57</w:t>
            </w:r>
          </w:p>
        </w:tc>
        <w:tc>
          <w:tcPr>
            <w:tcW w:w="34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12</w:t>
            </w:r>
          </w:p>
        </w:tc>
        <w:tc>
          <w:tcPr>
            <w:tcW w:w="32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13</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150</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178</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w:t>
            </w:r>
          </w:p>
        </w:tc>
      </w:tr>
      <w:tr>
        <w:trPr>
          <w:trHeight w:val="203"/>
        </w:trPr>
        <w:tc>
          <w:tcPr>
            <w:tcW w:w="37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1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(306)</w:t>
            </w: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(320)</w:t>
            </w:r>
          </w:p>
        </w:tc>
        <w:tc>
          <w:tcPr>
            <w:tcW w:w="3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(99)</w:t>
            </w:r>
          </w:p>
        </w:tc>
        <w:tc>
          <w:tcPr>
            <w:tcW w:w="3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16"/>
        </w:trPr>
        <w:tc>
          <w:tcPr>
            <w:tcW w:w="37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cost</w:t>
            </w:r>
          </w:p>
        </w:tc>
        <w:tc>
          <w:tcPr>
            <w:tcW w:w="116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(119)</w:t>
            </w:r>
          </w:p>
        </w:tc>
        <w:tc>
          <w:tcPr>
            <w:tcW w:w="64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(79)</w:t>
            </w:r>
          </w:p>
        </w:tc>
        <w:tc>
          <w:tcPr>
            <w:tcW w:w="120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700" w:type="dxa"/>
            <w:vAlign w:val="bottom"/>
            <w:gridSpan w:val="2"/>
            <w:shd w:val="clear" w:color="auto" w:fill="E5FF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78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Financial Statements in our 2015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126365</wp:posOffset>
            </wp:positionV>
            <wp:extent cx="11404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0460" cy="137160"/>
                    </a:xfrm>
                    <a:prstGeom prst="rect">
                      <a:avLst/>
                    </a:prstGeom>
                    <a:noFill/>
                  </pic:spPr>
                </pic:pic>
              </a:graphicData>
            </a:graphic>
          </wp:anchor>
        </w:drawing>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2015</w:t>
            </w:r>
          </w:p>
        </w:tc>
        <w:tc>
          <w:tcPr>
            <w:tcW w:w="640" w:type="dxa"/>
            <w:vAlign w:val="bottom"/>
            <w:shd w:val="clear" w:color="auto" w:fill="E5FF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518</w:t>
            </w:r>
          </w:p>
        </w:tc>
        <w:tc>
          <w:tcPr>
            <w:tcW w:w="1800" w:type="dxa"/>
            <w:vAlign w:val="bottom"/>
            <w:shd w:val="clear" w:color="auto" w:fill="E5FF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160"/>
              <w:spacing w:after="0" w:line="201" w:lineRule="exact"/>
              <w:rPr>
                <w:sz w:val="20"/>
                <w:szCs w:val="20"/>
                <w:color w:val="auto"/>
              </w:rPr>
            </w:pPr>
            <w:r>
              <w:rPr>
                <w:rFonts w:ascii="Arial" w:cs="Arial" w:eastAsia="Arial" w:hAnsi="Arial"/>
                <w:sz w:val="18"/>
                <w:szCs w:val="18"/>
                <w:color w:val="auto"/>
              </w:rPr>
              <w:t>Accruals for environmental matters deemed probable and</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340"/>
              <w:spacing w:after="0" w:line="203" w:lineRule="exact"/>
              <w:rPr>
                <w:sz w:val="20"/>
                <w:szCs w:val="20"/>
                <w:color w:val="auto"/>
              </w:rPr>
            </w:pPr>
            <w:r>
              <w:rPr>
                <w:rFonts w:ascii="Arial" w:cs="Arial" w:eastAsia="Arial" w:hAnsi="Arial"/>
                <w:sz w:val="18"/>
                <w:szCs w:val="18"/>
                <w:color w:val="auto"/>
              </w:rPr>
              <w:t>reasonably estimable</w:t>
            </w:r>
          </w:p>
        </w:tc>
        <w:tc>
          <w:tcPr>
            <w:tcW w:w="6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52</w:t>
            </w:r>
          </w:p>
        </w:tc>
        <w:tc>
          <w:tcPr>
            <w:tcW w:w="18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Environmental liability payments</w:t>
            </w:r>
          </w:p>
        </w:tc>
        <w:tc>
          <w:tcPr>
            <w:tcW w:w="64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(31)</w:t>
            </w:r>
          </w:p>
        </w:tc>
        <w:tc>
          <w:tcPr>
            <w:tcW w:w="1800" w:type="dxa"/>
            <w:vAlign w:val="bottom"/>
            <w:shd w:val="clear" w:color="auto" w:fill="E5FF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line="197" w:lineRule="exact"/>
              <w:rPr>
                <w:sz w:val="20"/>
                <w:szCs w:val="20"/>
                <w:color w:val="auto"/>
              </w:rPr>
            </w:pPr>
            <w:r>
              <w:rPr>
                <w:rFonts w:ascii="Arial" w:cs="Arial" w:eastAsia="Arial" w:hAnsi="Arial"/>
                <w:sz w:val="18"/>
                <w:szCs w:val="18"/>
                <w:color w:val="auto"/>
              </w:rPr>
              <w:t>March 31, 2016</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8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-307975</wp:posOffset>
            </wp:positionV>
            <wp:extent cx="11404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0460" cy="13716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3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577"/>
              <w:spacing w:after="0"/>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35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21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ind w:right="93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253</w:t>
            </w:r>
          </w:p>
        </w:tc>
        <w:tc>
          <w:tcPr>
            <w:tcW w:w="2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35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218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20" w:type="dxa"/>
            <w:vAlign w:val="bottom"/>
          </w:tcPr>
          <w:p>
            <w:pPr>
              <w:spacing w:after="0"/>
              <w:rPr>
                <w:sz w:val="19"/>
                <w:szCs w:val="19"/>
                <w:color w:val="auto"/>
              </w:rPr>
            </w:pPr>
          </w:p>
        </w:tc>
        <w:tc>
          <w:tcPr>
            <w:tcW w:w="3560" w:type="dxa"/>
            <w:vAlign w:val="bottom"/>
            <w:shd w:val="clear" w:color="auto" w:fill="E5FFFF"/>
          </w:tcPr>
          <w:p>
            <w:pPr>
              <w:spacing w:after="0"/>
              <w:rPr>
                <w:sz w:val="19"/>
                <w:szCs w:val="19"/>
                <w:color w:val="auto"/>
              </w:rPr>
            </w:pPr>
          </w:p>
        </w:tc>
        <w:tc>
          <w:tcPr>
            <w:tcW w:w="3300" w:type="dxa"/>
            <w:vAlign w:val="bottom"/>
            <w:gridSpan w:val="2"/>
            <w:shd w:val="clear" w:color="auto" w:fill="E5FFFF"/>
          </w:tcPr>
          <w:p>
            <w:pPr>
              <w:jc w:val="right"/>
              <w:ind w:right="939"/>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539</w:t>
            </w:r>
          </w:p>
        </w:tc>
        <w:tc>
          <w:tcPr>
            <w:tcW w:w="44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E5FFFF"/>
            </w:tcBorders>
          </w:tcPr>
          <w:p>
            <w:pPr>
              <w:spacing w:after="0" w:line="20" w:lineRule="exact"/>
              <w:rPr>
                <w:sz w:val="1"/>
                <w:szCs w:val="1"/>
                <w:color w:val="auto"/>
              </w:rPr>
            </w:pPr>
          </w:p>
        </w:tc>
        <w:tc>
          <w:tcPr>
            <w:tcW w:w="218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the accounting policy described above.</w:t>
      </w:r>
    </w:p>
    <w:p>
      <w:pPr>
        <w:spacing w:after="0" w:line="18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assessment, or the amounts of, or responsibility for, any damages.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Arial" w:cs="Arial" w:eastAsia="Arial" w:hAnsi="Arial"/>
                <w:sz w:val="14"/>
                <w:szCs w:val="14"/>
                <w:b w:val="1"/>
                <w:bCs w:val="1"/>
                <w:color w:val="auto"/>
              </w:rPr>
              <w:t>Asbestos Related Liabilities</w:t>
            </w:r>
          </w:p>
        </w:tc>
        <w:tc>
          <w:tcPr>
            <w:tcW w:w="5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Bendix</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NARCO</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1900" w:type="dxa"/>
            <w:vAlign w:val="bottom"/>
            <w:tcBorders>
              <w:top w:val="single" w:sz="8" w:color="auto"/>
              <w:bottom w:val="single" w:sz="8" w:color="E5FFFF"/>
            </w:tcBorders>
          </w:tcPr>
          <w:p>
            <w:pPr>
              <w:spacing w:after="0"/>
              <w:rPr>
                <w:sz w:val="15"/>
                <w:szCs w:val="15"/>
                <w:color w:val="auto"/>
              </w:rPr>
            </w:pPr>
          </w:p>
        </w:tc>
        <w:tc>
          <w:tcPr>
            <w:tcW w:w="1760" w:type="dxa"/>
            <w:vAlign w:val="bottom"/>
            <w:tcBorders>
              <w:bottom w:val="single" w:sz="8" w:color="E5FFFF"/>
            </w:tcBorders>
          </w:tcPr>
          <w:p>
            <w:pPr>
              <w:spacing w:after="0"/>
              <w:rPr>
                <w:sz w:val="15"/>
                <w:szCs w:val="15"/>
                <w:color w:val="auto"/>
              </w:rPr>
            </w:pPr>
          </w:p>
        </w:tc>
        <w:tc>
          <w:tcPr>
            <w:tcW w:w="172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2015</w:t>
            </w:r>
          </w:p>
        </w:tc>
        <w:tc>
          <w:tcPr>
            <w:tcW w:w="58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9"/>
              </w:rPr>
              <w:t>622</w:t>
            </w:r>
          </w:p>
        </w:tc>
        <w:tc>
          <w:tcPr>
            <w:tcW w:w="3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3"/>
              </w:rPr>
              <w:t>921</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E5FFFF"/>
          </w:tcPr>
          <w:p>
            <w:pPr>
              <w:ind w:left="160"/>
              <w:spacing w:after="0"/>
              <w:rPr>
                <w:sz w:val="20"/>
                <w:szCs w:val="20"/>
                <w:color w:val="auto"/>
              </w:rPr>
            </w:pPr>
            <w:r>
              <w:rPr>
                <w:rFonts w:ascii="Arial" w:cs="Arial" w:eastAsia="Arial" w:hAnsi="Arial"/>
                <w:sz w:val="18"/>
                <w:szCs w:val="18"/>
                <w:color w:val="auto"/>
              </w:rPr>
              <w:t>Asbestos related liability payments</w:t>
            </w:r>
          </w:p>
        </w:tc>
        <w:tc>
          <w:tcPr>
            <w:tcW w:w="5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tcPr>
          <w:p>
            <w:pPr>
              <w:spacing w:after="0" w:line="197" w:lineRule="exact"/>
              <w:rPr>
                <w:sz w:val="20"/>
                <w:szCs w:val="20"/>
                <w:color w:val="auto"/>
              </w:rPr>
            </w:pPr>
            <w:r>
              <w:rPr>
                <w:rFonts w:ascii="Arial" w:cs="Arial" w:eastAsia="Arial" w:hAnsi="Arial"/>
                <w:sz w:val="18"/>
                <w:szCs w:val="18"/>
                <w:color w:val="auto"/>
              </w:rPr>
              <w:t>March 31, 2016</w:t>
            </w:r>
          </w:p>
        </w:tc>
        <w:tc>
          <w:tcPr>
            <w:tcW w:w="14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624</w:t>
            </w:r>
          </w:p>
        </w:tc>
        <w:tc>
          <w:tcPr>
            <w:tcW w:w="112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920</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5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40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Bendix</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NARCO</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1900" w:type="dxa"/>
            <w:vAlign w:val="bottom"/>
            <w:tcBorders>
              <w:top w:val="single" w:sz="8" w:color="auto"/>
              <w:bottom w:val="single" w:sz="8" w:color="E5FFFF"/>
            </w:tcBorders>
          </w:tcPr>
          <w:p>
            <w:pPr>
              <w:spacing w:after="0"/>
              <w:rPr>
                <w:sz w:val="15"/>
                <w:szCs w:val="15"/>
                <w:color w:val="auto"/>
              </w:rPr>
            </w:pPr>
          </w:p>
        </w:tc>
        <w:tc>
          <w:tcPr>
            <w:tcW w:w="1760" w:type="dxa"/>
            <w:vAlign w:val="bottom"/>
            <w:tcBorders>
              <w:top w:val="single" w:sz="8" w:color="auto"/>
              <w:bottom w:val="single" w:sz="8" w:color="E5FFFF"/>
            </w:tcBorders>
          </w:tcPr>
          <w:p>
            <w:pPr>
              <w:spacing w:after="0"/>
              <w:rPr>
                <w:sz w:val="15"/>
                <w:szCs w:val="15"/>
                <w:color w:val="auto"/>
              </w:rPr>
            </w:pPr>
          </w:p>
        </w:tc>
        <w:tc>
          <w:tcPr>
            <w:tcW w:w="172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2015</w:t>
            </w:r>
          </w:p>
        </w:tc>
        <w:tc>
          <w:tcPr>
            <w:tcW w:w="58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9"/>
              </w:rPr>
              <w:t>124</w:t>
            </w:r>
          </w:p>
        </w:tc>
        <w:tc>
          <w:tcPr>
            <w:tcW w:w="3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3"/>
              </w:rPr>
              <w:t>325</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gridSpan w:val="3"/>
            <w:shd w:val="clear" w:color="auto" w:fill="E5FFFF"/>
          </w:tcPr>
          <w:p>
            <w:pPr>
              <w:ind w:left="160"/>
              <w:spacing w:after="0" w:line="202" w:lineRule="exact"/>
              <w:rPr>
                <w:sz w:val="20"/>
                <w:szCs w:val="20"/>
                <w:color w:val="auto"/>
              </w:rPr>
            </w:pPr>
            <w:r>
              <w:rPr>
                <w:rFonts w:ascii="Arial" w:cs="Arial" w:eastAsia="Arial" w:hAnsi="Arial"/>
                <w:sz w:val="18"/>
                <w:szCs w:val="18"/>
                <w:color w:val="auto"/>
              </w:rPr>
              <w:t>Insurance receivables settlements</w:t>
            </w:r>
          </w:p>
        </w:tc>
        <w:tc>
          <w:tcPr>
            <w:tcW w:w="5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Insurance receipts for asbestos related liabilities</w:t>
            </w:r>
          </w:p>
        </w:tc>
        <w:tc>
          <w:tcPr>
            <w:tcW w:w="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March 31, 2016</w:t>
            </w:r>
          </w:p>
        </w:tc>
        <w:tc>
          <w:tcPr>
            <w:tcW w:w="1400" w:type="dxa"/>
            <w:vAlign w:val="bottom"/>
            <w:gridSpan w:val="2"/>
            <w:shd w:val="clear" w:color="auto" w:fill="E5FFFF"/>
          </w:tcPr>
          <w:p>
            <w:pPr>
              <w:jc w:val="right"/>
              <w:ind w:right="639"/>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9"/>
              </w:rPr>
              <w:t>131</w:t>
            </w:r>
          </w:p>
        </w:tc>
        <w:tc>
          <w:tcPr>
            <w:tcW w:w="1120" w:type="dxa"/>
            <w:vAlign w:val="bottom"/>
            <w:gridSpan w:val="2"/>
            <w:shd w:val="clear" w:color="auto" w:fill="E5FFFF"/>
          </w:tcPr>
          <w:p>
            <w:pPr>
              <w:jc w:val="right"/>
              <w:ind w:right="639"/>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3"/>
              </w:rPr>
              <w:t>323</w:t>
            </w:r>
          </w:p>
        </w:tc>
        <w:tc>
          <w:tcPr>
            <w:tcW w:w="54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top w:val="single" w:sz="8" w:color="E5FFFF"/>
            </w:tcBorders>
          </w:tcPr>
          <w:p>
            <w:pPr>
              <w:spacing w:after="0" w:line="20" w:lineRule="exact"/>
              <w:rPr>
                <w:sz w:val="1"/>
                <w:szCs w:val="1"/>
                <w:color w:val="auto"/>
              </w:rPr>
            </w:pPr>
          </w:p>
        </w:tc>
        <w:tc>
          <w:tcPr>
            <w:tcW w:w="1760" w:type="dxa"/>
            <w:vAlign w:val="bottom"/>
            <w:tcBorders>
              <w:top w:val="single" w:sz="8" w:color="E5FFFF"/>
            </w:tcBorders>
          </w:tcPr>
          <w:p>
            <w:pPr>
              <w:spacing w:after="0" w:line="20" w:lineRule="exact"/>
              <w:rPr>
                <w:sz w:val="1"/>
                <w:szCs w:val="1"/>
                <w:color w:val="auto"/>
              </w:rPr>
            </w:pPr>
          </w:p>
        </w:tc>
        <w:tc>
          <w:tcPr>
            <w:tcW w:w="172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560" w:type="dxa"/>
            <w:vAlign w:val="bottom"/>
            <w:tcBorders>
              <w:bottom w:val="single" w:sz="8" w:color="E5FFFF"/>
            </w:tcBorders>
          </w:tcPr>
          <w:p>
            <w:pPr>
              <w:spacing w:after="0"/>
              <w:rPr>
                <w:sz w:val="15"/>
                <w:szCs w:val="15"/>
                <w:color w:val="auto"/>
              </w:rPr>
            </w:pPr>
          </w:p>
        </w:tc>
        <w:tc>
          <w:tcPr>
            <w:tcW w:w="154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196"/>
        </w:trPr>
        <w:tc>
          <w:tcPr>
            <w:tcW w:w="5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r>
      <w:tr>
        <w:trPr>
          <w:trHeight w:val="216"/>
        </w:trPr>
        <w:tc>
          <w:tcPr>
            <w:tcW w:w="55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15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431</w:t>
            </w:r>
          </w:p>
        </w:tc>
        <w:tc>
          <w:tcPr>
            <w:tcW w:w="30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426</w:t>
            </w:r>
          </w:p>
        </w:tc>
      </w:tr>
      <w:tr>
        <w:trPr>
          <w:trHeight w:val="210"/>
        </w:trPr>
        <w:tc>
          <w:tcPr>
            <w:tcW w:w="5560" w:type="dxa"/>
            <w:vAlign w:val="bottom"/>
            <w:shd w:val="clear" w:color="auto" w:fill="E5FFFF"/>
          </w:tcPr>
          <w:p>
            <w:pPr>
              <w:spacing w:after="0"/>
              <w:rPr>
                <w:sz w:val="18"/>
                <w:szCs w:val="18"/>
                <w:color w:val="auto"/>
              </w:rPr>
            </w:pPr>
          </w:p>
        </w:tc>
        <w:tc>
          <w:tcPr>
            <w:tcW w:w="176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E5FFFF"/>
          </w:tcPr>
          <w:p>
            <w:pPr>
              <w:spacing w:after="0"/>
              <w:rPr>
                <w:sz w:val="18"/>
                <w:szCs w:val="18"/>
                <w:color w:val="auto"/>
              </w:rPr>
            </w:pPr>
          </w:p>
        </w:tc>
        <w:tc>
          <w:tcPr>
            <w:tcW w:w="1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449</w:t>
            </w:r>
          </w:p>
        </w:tc>
      </w:tr>
      <w:tr>
        <w:trPr>
          <w:trHeight w:val="20"/>
        </w:trPr>
        <w:tc>
          <w:tcPr>
            <w:tcW w:w="5560" w:type="dxa"/>
            <w:vAlign w:val="bottom"/>
            <w:tcBorders>
              <w:top w:val="single" w:sz="8" w:color="E5FFFF"/>
            </w:tcBorders>
          </w:tcPr>
          <w:p>
            <w:pPr>
              <w:spacing w:after="0" w:line="20" w:lineRule="exact"/>
              <w:rPr>
                <w:sz w:val="1"/>
                <w:szCs w:val="1"/>
                <w:color w:val="auto"/>
              </w:rPr>
            </w:pPr>
          </w:p>
        </w:tc>
        <w:tc>
          <w:tcPr>
            <w:tcW w:w="15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5560" w:type="dxa"/>
            <w:vAlign w:val="bottom"/>
          </w:tcPr>
          <w:p>
            <w:pPr>
              <w:spacing w:after="0"/>
              <w:rPr>
                <w:sz w:val="20"/>
                <w:szCs w:val="20"/>
                <w:color w:val="auto"/>
              </w:rPr>
            </w:pPr>
            <w:r>
              <w:rPr>
                <w:rFonts w:ascii="Arial" w:cs="Arial" w:eastAsia="Arial" w:hAnsi="Arial"/>
                <w:sz w:val="18"/>
                <w:szCs w:val="18"/>
                <w:color w:val="auto"/>
              </w:rPr>
              <w:t>Accrued liabilities</w:t>
            </w: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292</w:t>
            </w:r>
          </w:p>
        </w:tc>
      </w:tr>
      <w:tr>
        <w:trPr>
          <w:trHeight w:val="216"/>
        </w:trPr>
        <w:tc>
          <w:tcPr>
            <w:tcW w:w="556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15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1,251</w:t>
            </w:r>
          </w:p>
        </w:tc>
      </w:tr>
      <w:tr>
        <w:trPr>
          <w:trHeight w:val="210"/>
        </w:trPr>
        <w:tc>
          <w:tcPr>
            <w:tcW w:w="5560" w:type="dxa"/>
            <w:vAlign w:val="bottom"/>
          </w:tcPr>
          <w:p>
            <w:pPr>
              <w:spacing w:after="0"/>
              <w:rPr>
                <w:sz w:val="18"/>
                <w:szCs w:val="18"/>
                <w:color w:val="auto"/>
              </w:rPr>
            </w:pPr>
          </w:p>
        </w:tc>
        <w:tc>
          <w:tcPr>
            <w:tcW w:w="1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1,544</w:t>
            </w:r>
          </w:p>
        </w:tc>
        <w:tc>
          <w:tcPr>
            <w:tcW w:w="3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1,543</w:t>
            </w:r>
          </w:p>
        </w:tc>
      </w:tr>
      <w:tr>
        <w:trPr>
          <w:trHeight w:val="20"/>
        </w:trPr>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2016 through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Claims processing will continue during this period subject to a defined dispute resolution process. As of March 31, 2016, Honeywell has not made any payments to the NARCO Trust for Annual Contribution Claims.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unsettled claims pending as of the time NARCO filed for bankruptcy protection ($32 million) and for the estimated value of future NARCO asbestos claims expected to be asserted against the NARCO Trust through 2018 ($743 million). In the absence of actual trust experience on which to base the estimate, Honeywell projected the probable value of asbestos related future liabilities, including trust claim handling costs, based on a 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 liability of $743 million to $961 million. We believe that no amount within this range is a better estimate than any other amount and accordingly, we have recorded the minimum amount in the range. In light of the uncertainties inherent in making long-term projections and in connection with the recent implementation of the Trust Distribution Procedures by the NARCO Trust, as well as the stay of all NARCO asbestos claims which remained in place throughout NARCO’s Chapter 11 case, we do not believe that we have a reasonable basis for estimating NARCO asbestos claims beyond 2018.</w:t>
      </w:r>
    </w:p>
    <w:p>
      <w:pPr>
        <w:spacing w:after="0" w:line="19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color w:val="auto"/>
        </w:rPr>
        <w:t>—The following tables present information regarding Bendix related asbestos claims activity: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3"/>
          </w:tcPr>
          <w:p>
            <w:pPr>
              <w:jc w:val="center"/>
              <w:ind w:left="1158"/>
              <w:spacing w:after="0"/>
              <w:rPr>
                <w:sz w:val="20"/>
                <w:szCs w:val="20"/>
                <w:color w:val="auto"/>
              </w:rPr>
            </w:pPr>
            <w:r>
              <w:rPr>
                <w:rFonts w:ascii="Arial" w:cs="Arial" w:eastAsia="Arial" w:hAnsi="Arial"/>
                <w:sz w:val="14"/>
                <w:szCs w:val="14"/>
                <w:b w:val="1"/>
                <w:bCs w:val="1"/>
                <w:color w:val="auto"/>
              </w:rPr>
              <w:t>Years Ended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Claims Activity</w:t>
            </w:r>
          </w:p>
        </w:tc>
        <w:tc>
          <w:tcPr>
            <w:tcW w:w="2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2560" w:type="dxa"/>
            <w:vAlign w:val="bottom"/>
            <w:tcBorders>
              <w:bottom w:val="single" w:sz="8" w:color="auto"/>
            </w:tcBorders>
            <w:gridSpan w:val="3"/>
          </w:tcPr>
          <w:p>
            <w:pPr>
              <w:jc w:val="center"/>
              <w:ind w:left="1158"/>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80" w:type="dxa"/>
            <w:vAlign w:val="bottom"/>
            <w:gridSpan w:val="2"/>
            <w:vMerge w:val="continue"/>
          </w:tcPr>
          <w:p>
            <w:pPr>
              <w:spacing w:after="0"/>
              <w:rPr>
                <w:sz w:val="13"/>
                <w:szCs w:val="13"/>
                <w:color w:val="auto"/>
              </w:rPr>
            </w:pPr>
          </w:p>
        </w:tc>
        <w:tc>
          <w:tcPr>
            <w:tcW w:w="216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840" w:type="dxa"/>
            <w:vAlign w:val="bottom"/>
          </w:tcPr>
          <w:p>
            <w:pPr>
              <w:jc w:val="right"/>
              <w:ind w:right="718"/>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jc w:val="right"/>
              <w:ind w:right="734"/>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1300" w:type="dxa"/>
            <w:vAlign w:val="bottom"/>
            <w:tcBorders>
              <w:top w:val="single" w:sz="8" w:color="auto"/>
              <w:bottom w:val="single" w:sz="8" w:color="E5FFFF"/>
            </w:tcBorders>
          </w:tcPr>
          <w:p>
            <w:pPr>
              <w:spacing w:after="0" w:line="20" w:lineRule="exact"/>
              <w:rPr>
                <w:sz w:val="1"/>
                <w:szCs w:val="1"/>
                <w:color w:val="auto"/>
              </w:rPr>
            </w:pPr>
          </w:p>
        </w:tc>
        <w:tc>
          <w:tcPr>
            <w:tcW w:w="3280" w:type="dxa"/>
            <w:vAlign w:val="bottom"/>
            <w:tcBorders>
              <w:bottom w:val="single" w:sz="8" w:color="E5FF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Claims Unresolved at the beginning of period</w:t>
            </w:r>
          </w:p>
        </w:tc>
        <w:tc>
          <w:tcPr>
            <w:tcW w:w="21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7,779</w:t>
            </w:r>
          </w:p>
        </w:tc>
        <w:tc>
          <w:tcPr>
            <w:tcW w:w="200" w:type="dxa"/>
            <w:vAlign w:val="bottom"/>
            <w:shd w:val="clear" w:color="auto" w:fill="E5FFFF"/>
          </w:tcPr>
          <w:p>
            <w:pPr>
              <w:spacing w:after="0"/>
              <w:rPr>
                <w:sz w:val="17"/>
                <w:szCs w:val="17"/>
                <w:color w:val="auto"/>
              </w:rPr>
            </w:pPr>
          </w:p>
        </w:tc>
        <w:tc>
          <w:tcPr>
            <w:tcW w:w="184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9,267</w:t>
            </w:r>
          </w:p>
        </w:tc>
        <w:tc>
          <w:tcPr>
            <w:tcW w:w="2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Claims Filed</w:t>
            </w:r>
          </w:p>
        </w:tc>
        <w:tc>
          <w:tcPr>
            <w:tcW w:w="21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733</w:t>
            </w:r>
          </w:p>
        </w:tc>
        <w:tc>
          <w:tcPr>
            <w:tcW w:w="200" w:type="dxa"/>
            <w:vAlign w:val="bottom"/>
          </w:tcPr>
          <w:p>
            <w:pPr>
              <w:spacing w:after="0"/>
              <w:rPr>
                <w:sz w:val="17"/>
                <w:szCs w:val="17"/>
                <w:color w:val="auto"/>
              </w:rPr>
            </w:pPr>
          </w:p>
        </w:tc>
        <w:tc>
          <w:tcPr>
            <w:tcW w:w="18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2,862</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57"/>
        </w:trPr>
        <w:tc>
          <w:tcPr>
            <w:tcW w:w="458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 xml:space="preserve">Claims Resolved </w:t>
            </w:r>
            <w:r>
              <w:rPr>
                <w:rFonts w:ascii="Arial" w:cs="Arial" w:eastAsia="Arial" w:hAnsi="Arial"/>
                <w:sz w:val="29"/>
                <w:szCs w:val="29"/>
                <w:color w:val="auto"/>
                <w:vertAlign w:val="superscript"/>
              </w:rPr>
              <w:t>(1)</w:t>
            </w:r>
          </w:p>
        </w:tc>
        <w:tc>
          <w:tcPr>
            <w:tcW w:w="2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E5FFFF"/>
          </w:tcPr>
          <w:p>
            <w:pPr>
              <w:spacing w:after="0"/>
              <w:rPr>
                <w:sz w:val="22"/>
                <w:szCs w:val="22"/>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(4,350)</w:t>
            </w:r>
          </w:p>
        </w:tc>
        <w:tc>
          <w:tcPr>
            <w:tcW w:w="220" w:type="dxa"/>
            <w:vAlign w:val="bottom"/>
            <w:shd w:val="clear" w:color="auto" w:fill="E5FFFF"/>
          </w:tcPr>
          <w:p>
            <w:pPr>
              <w:spacing w:after="0"/>
              <w:rPr>
                <w:sz w:val="22"/>
                <w:szCs w:val="22"/>
                <w:color w:val="auto"/>
              </w:rPr>
            </w:pPr>
          </w:p>
        </w:tc>
        <w:tc>
          <w:tcPr>
            <w:tcW w:w="500" w:type="dxa"/>
            <w:vAlign w:val="bottom"/>
            <w:tcBorders>
              <w:bottom w:val="single" w:sz="8" w:color="auto"/>
            </w:tcBorders>
            <w:shd w:val="clear" w:color="auto" w:fill="E5FFFF"/>
          </w:tcPr>
          <w:p>
            <w:pPr>
              <w:spacing w:after="0"/>
              <w:rPr>
                <w:sz w:val="22"/>
                <w:szCs w:val="22"/>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line="197" w:lineRule="exact"/>
              <w:rPr>
                <w:sz w:val="20"/>
                <w:szCs w:val="20"/>
                <w:color w:val="auto"/>
              </w:rPr>
            </w:pPr>
            <w:r>
              <w:rPr>
                <w:rFonts w:ascii="Arial" w:cs="Arial" w:eastAsia="Arial" w:hAnsi="Arial"/>
                <w:sz w:val="18"/>
                <w:szCs w:val="18"/>
                <w:color w:val="auto"/>
              </w:rPr>
              <w:t>Claims Unresolved at the end of period</w:t>
            </w:r>
          </w:p>
        </w:tc>
        <w:tc>
          <w:tcPr>
            <w:tcW w:w="2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7,750</w:t>
            </w:r>
          </w:p>
        </w:tc>
        <w:tc>
          <w:tcPr>
            <w:tcW w:w="200" w:type="dxa"/>
            <w:vAlign w:val="bottom"/>
          </w:tcPr>
          <w:p>
            <w:pPr>
              <w:spacing w:after="0"/>
              <w:rPr>
                <w:sz w:val="18"/>
                <w:szCs w:val="18"/>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7,779</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resolved in 2014 include 2,110 cancer claims which were determined to have no value. Also, claims resolved in 2015 and 2014 include significantly aged (i.e., pending for more than six years) claims totaling 153 and 1,266.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Disease Distribution of Unresolved Claims</w:t>
            </w:r>
          </w:p>
        </w:tc>
        <w:tc>
          <w:tcPr>
            <w:tcW w:w="1040" w:type="dxa"/>
            <w:vAlign w:val="bottom"/>
          </w:tcPr>
          <w:p>
            <w:pPr>
              <w:spacing w:after="0"/>
              <w:rPr>
                <w:sz w:val="19"/>
                <w:szCs w:val="19"/>
                <w:color w:val="auto"/>
              </w:rPr>
            </w:pPr>
          </w:p>
        </w:tc>
        <w:tc>
          <w:tcPr>
            <w:tcW w:w="1240" w:type="dxa"/>
            <w:vAlign w:val="bottom"/>
          </w:tcPr>
          <w:p>
            <w:pPr>
              <w:jc w:val="center"/>
              <w:ind w:left="428"/>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3"/>
          </w:tcPr>
          <w:p>
            <w:pPr>
              <w:ind w:left="148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20" w:type="dxa"/>
            <w:vAlign w:val="bottom"/>
            <w:tcBorders>
              <w:bottom w:val="single" w:sz="8" w:color="E5FFFF"/>
            </w:tcBorders>
          </w:tcPr>
          <w:p>
            <w:pPr>
              <w:spacing w:after="0"/>
              <w:rPr>
                <w:sz w:val="14"/>
                <w:szCs w:val="14"/>
                <w:color w:val="auto"/>
              </w:rPr>
            </w:pPr>
          </w:p>
        </w:tc>
        <w:tc>
          <w:tcPr>
            <w:tcW w:w="1040" w:type="dxa"/>
            <w:vAlign w:val="bottom"/>
            <w:tcBorders>
              <w:bottom w:val="single" w:sz="8" w:color="E5FF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E5FFFF"/>
            </w:tcBorders>
          </w:tcPr>
          <w:p>
            <w:pPr>
              <w:spacing w:after="0"/>
              <w:rPr>
                <w:sz w:val="14"/>
                <w:szCs w:val="14"/>
                <w:color w:val="auto"/>
              </w:rPr>
            </w:pPr>
          </w:p>
        </w:tc>
        <w:tc>
          <w:tcPr>
            <w:tcW w:w="184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E5FF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240" w:type="dxa"/>
            <w:vAlign w:val="bottom"/>
            <w:shd w:val="clear" w:color="auto" w:fill="E5FFFF"/>
          </w:tcPr>
          <w:p>
            <w:pPr>
              <w:spacing w:after="0"/>
              <w:rPr>
                <w:sz w:val="17"/>
                <w:szCs w:val="17"/>
                <w:color w:val="auto"/>
              </w:rPr>
            </w:pPr>
          </w:p>
        </w:tc>
        <w:tc>
          <w:tcPr>
            <w:tcW w:w="60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3,678</w:t>
            </w:r>
          </w:p>
        </w:tc>
        <w:tc>
          <w:tcPr>
            <w:tcW w:w="320" w:type="dxa"/>
            <w:vAlign w:val="bottom"/>
            <w:shd w:val="clear" w:color="auto" w:fill="E5FFFF"/>
          </w:tcPr>
          <w:p>
            <w:pPr>
              <w:spacing w:after="0"/>
              <w:rPr>
                <w:sz w:val="17"/>
                <w:szCs w:val="17"/>
                <w:color w:val="auto"/>
              </w:rPr>
            </w:pPr>
          </w:p>
        </w:tc>
        <w:tc>
          <w:tcPr>
            <w:tcW w:w="184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3,772</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3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Nonmalignant Claims</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4,072</w:t>
            </w:r>
          </w:p>
        </w:tc>
        <w:tc>
          <w:tcPr>
            <w:tcW w:w="320" w:type="dxa"/>
            <w:vAlign w:val="bottom"/>
            <w:tcBorders>
              <w:bottom w:val="single" w:sz="8" w:color="E5FFFF"/>
            </w:tcBorders>
          </w:tcPr>
          <w:p>
            <w:pPr>
              <w:spacing w:after="0"/>
              <w:rPr>
                <w:sz w:val="18"/>
                <w:szCs w:val="18"/>
                <w:color w:val="auto"/>
              </w:rPr>
            </w:pPr>
          </w:p>
        </w:tc>
        <w:tc>
          <w:tcPr>
            <w:tcW w:w="1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4,007</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E5FFFF"/>
            </w:tcBorders>
            <w:gridSpan w:val="2"/>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Claims</w:t>
            </w:r>
          </w:p>
        </w:tc>
        <w:tc>
          <w:tcPr>
            <w:tcW w:w="1240" w:type="dxa"/>
            <w:vAlign w:val="bottom"/>
            <w:tcBorders>
              <w:bottom w:val="single" w:sz="8" w:color="auto"/>
            </w:tcBorders>
            <w:shd w:val="clear" w:color="auto" w:fill="E5FFFF"/>
          </w:tcPr>
          <w:p>
            <w:pPr>
              <w:spacing w:after="0"/>
              <w:rPr>
                <w:sz w:val="18"/>
                <w:szCs w:val="18"/>
                <w:color w:val="auto"/>
              </w:rPr>
            </w:pPr>
          </w:p>
        </w:tc>
        <w:tc>
          <w:tcPr>
            <w:tcW w:w="60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7,750</w:t>
            </w:r>
          </w:p>
        </w:tc>
        <w:tc>
          <w:tcPr>
            <w:tcW w:w="320" w:type="dxa"/>
            <w:vAlign w:val="bottom"/>
            <w:tcBorders>
              <w:bottom w:val="single" w:sz="8" w:color="E5FFFF"/>
            </w:tcBorders>
            <w:shd w:val="clear" w:color="auto" w:fill="E5FFFF"/>
          </w:tcPr>
          <w:p>
            <w:pPr>
              <w:spacing w:after="0"/>
              <w:rPr>
                <w:sz w:val="18"/>
                <w:szCs w:val="18"/>
                <w:color w:val="auto"/>
              </w:rPr>
            </w:pPr>
          </w:p>
        </w:tc>
        <w:tc>
          <w:tcPr>
            <w:tcW w:w="184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7,779</w:t>
            </w:r>
          </w:p>
        </w:tc>
        <w:tc>
          <w:tcPr>
            <w:tcW w:w="320" w:type="dxa"/>
            <w:vAlign w:val="bottom"/>
            <w:tcBorders>
              <w:bottom w:val="single" w:sz="8" w:color="E5FFFF"/>
            </w:tcBorders>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684145"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60007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69"/>
        </w:trPr>
        <w:tc>
          <w:tcPr>
            <w:tcW w:w="4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2011</w:t>
            </w:r>
          </w:p>
        </w:tc>
      </w:tr>
      <w:tr>
        <w:trPr>
          <w:trHeight w:val="156"/>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60" w:type="dxa"/>
            <w:vAlign w:val="bottom"/>
            <w:gridSpan w:val="2"/>
          </w:tcPr>
          <w:p>
            <w:pPr>
              <w:jc w:val="right"/>
              <w:ind w:right="256"/>
              <w:spacing w:after="0" w:line="155" w:lineRule="exact"/>
              <w:rPr>
                <w:sz w:val="20"/>
                <w:szCs w:val="20"/>
                <w:color w:val="auto"/>
              </w:rPr>
            </w:pPr>
            <w:r>
              <w:rPr>
                <w:rFonts w:ascii="Arial" w:cs="Arial" w:eastAsia="Arial" w:hAnsi="Arial"/>
                <w:sz w:val="14"/>
                <w:szCs w:val="14"/>
                <w:b w:val="1"/>
                <w:bCs w:val="1"/>
                <w:color w:val="auto"/>
              </w:rPr>
              <w:t>(in whole dollars)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4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Malignant claims</w:t>
            </w: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96"/>
              <w:spacing w:after="0" w:line="202" w:lineRule="exact"/>
              <w:rPr>
                <w:sz w:val="20"/>
                <w:szCs w:val="20"/>
                <w:color w:val="auto"/>
              </w:rPr>
            </w:pPr>
            <w:r>
              <w:rPr>
                <w:rFonts w:ascii="Arial" w:cs="Arial" w:eastAsia="Arial" w:hAnsi="Arial"/>
                <w:sz w:val="18"/>
                <w:szCs w:val="18"/>
                <w:color w:val="auto"/>
              </w:rPr>
              <w:t>44,000</w:t>
            </w:r>
          </w:p>
        </w:tc>
        <w:tc>
          <w:tcPr>
            <w:tcW w:w="42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ind w:right="59"/>
              <w:spacing w:after="0" w:line="202" w:lineRule="exact"/>
              <w:rPr>
                <w:sz w:val="20"/>
                <w:szCs w:val="20"/>
                <w:color w:val="auto"/>
              </w:rPr>
            </w:pPr>
            <w:r>
              <w:rPr>
                <w:rFonts w:ascii="Arial" w:cs="Arial" w:eastAsia="Arial" w:hAnsi="Arial"/>
                <w:sz w:val="18"/>
                <w:szCs w:val="18"/>
                <w:color w:val="auto"/>
              </w:rPr>
              <w:t>53,500</w:t>
            </w:r>
          </w:p>
        </w:tc>
        <w:tc>
          <w:tcPr>
            <w:tcW w:w="480" w:type="dxa"/>
            <w:vAlign w:val="bottom"/>
            <w:shd w:val="clear" w:color="auto" w:fill="E5FF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216"/>
              <w:spacing w:after="0" w:line="202" w:lineRule="exact"/>
              <w:rPr>
                <w:sz w:val="20"/>
                <w:szCs w:val="20"/>
                <w:color w:val="auto"/>
              </w:rPr>
            </w:pPr>
            <w:r>
              <w:rPr>
                <w:rFonts w:ascii="Arial" w:cs="Arial" w:eastAsia="Arial" w:hAnsi="Arial"/>
                <w:sz w:val="18"/>
                <w:szCs w:val="18"/>
                <w:color w:val="auto"/>
              </w:rPr>
              <w:t>51,000</w:t>
            </w:r>
          </w:p>
        </w:tc>
        <w:tc>
          <w:tcPr>
            <w:tcW w:w="28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E5FFFF"/>
          </w:tcPr>
          <w:p>
            <w:pPr>
              <w:jc w:val="right"/>
              <w:ind w:right="76"/>
              <w:spacing w:after="0" w:line="202" w:lineRule="exact"/>
              <w:rPr>
                <w:sz w:val="20"/>
                <w:szCs w:val="20"/>
                <w:color w:val="auto"/>
              </w:rPr>
            </w:pPr>
            <w:r>
              <w:rPr>
                <w:rFonts w:ascii="Arial" w:cs="Arial" w:eastAsia="Arial" w:hAnsi="Arial"/>
                <w:sz w:val="18"/>
                <w:szCs w:val="18"/>
                <w:color w:val="auto"/>
              </w:rPr>
              <w:t>49,000</w:t>
            </w:r>
          </w:p>
        </w:tc>
        <w:tc>
          <w:tcPr>
            <w:tcW w:w="42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48,000</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120</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6"/>
              <w:spacing w:after="0"/>
              <w:rPr>
                <w:sz w:val="20"/>
                <w:szCs w:val="20"/>
                <w:color w:val="auto"/>
              </w:rPr>
            </w:pPr>
            <w:r>
              <w:rPr>
                <w:rFonts w:ascii="Arial" w:cs="Arial" w:eastAsia="Arial" w:hAnsi="Arial"/>
                <w:sz w:val="18"/>
                <w:szCs w:val="18"/>
                <w:color w:val="auto"/>
              </w:rPr>
              <w:t>850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-377190</wp:posOffset>
            </wp:positionV>
            <wp:extent cx="4562475"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62475" cy="368935"/>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believes it has sufficient insurance coverage and reserves to cover all pending Bendix-related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Tackett </w:t>
      </w:r>
      <w:r>
        <w:rPr>
          <w:rFonts w:ascii="Arial" w:cs="Arial" w:eastAsia="Arial" w:hAnsi="Arial"/>
          <w:sz w:val="18"/>
          <w:szCs w:val="18"/>
          <w:color w:val="auto"/>
        </w:rPr>
        <w:t>case. In a ruling on January 26, 2015, the Supreme Court held that retiree health insurance benefits provided in collective bargaining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do not carry an inference that they are vested or guaranteed to continue for life and that the “vesting” issue must be decided pursuant to ordinary principles of contract law. The stay of the proceedings has been lifted and the case is again proceeding.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$176 million, reflecting the estimated value of these CAPS.</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$110 million, reflecting the estimated value of these CAPS.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Given the uncertainty inherent in litigation and investigations (including the specific matters referenced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380" w:type="dxa"/>
            <w:vAlign w:val="bottom"/>
          </w:tcPr>
          <w:p>
            <w:pPr>
              <w:spacing w:after="0"/>
              <w:rPr>
                <w:sz w:val="17"/>
                <w:szCs w:val="17"/>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000" w:type="dxa"/>
            <w:vAlign w:val="bottom"/>
          </w:tcPr>
          <w:p>
            <w:pPr>
              <w:spacing w:after="0"/>
              <w:rPr>
                <w:sz w:val="17"/>
                <w:szCs w:val="17"/>
                <w:color w:val="auto"/>
              </w:rPr>
            </w:pPr>
          </w:p>
        </w:tc>
        <w:tc>
          <w:tcPr>
            <w:tcW w:w="6960" w:type="dxa"/>
            <w:vAlign w:val="bottom"/>
            <w:gridSpan w:val="2"/>
          </w:tcPr>
          <w:p>
            <w:pPr>
              <w:jc w:val="center"/>
              <w:ind w:left="129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7"/>
        </w:trPr>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months ended March 31, 2016. The financial information as of March 31, 2016 should be read in conjunction with the financial statements for the year ended December 31, 2015 contained in our 2015 Annual Report on Form 10-K.</w:t>
      </w:r>
    </w:p>
    <w:p>
      <w:pPr>
        <w:spacing w:after="0" w:line="166" w:lineRule="exact"/>
        <w:rPr>
          <w:sz w:val="20"/>
          <w:szCs w:val="20"/>
          <w:color w:val="auto"/>
        </w:rPr>
      </w:pPr>
    </w:p>
    <w:p>
      <w:pPr>
        <w:ind w:right="1220" w:firstLine="8"/>
        <w:spacing w:after="0" w:line="475"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months ended March 31, 2016 compared with the three months ended March 31, 2015 </w:t>
      </w:r>
      <w:r>
        <w:rPr>
          <w:rFonts w:ascii="Arial" w:cs="Arial" w:eastAsia="Arial" w:hAnsi="Arial"/>
          <w:sz w:val="18"/>
          <w:szCs w:val="18"/>
          <w:b w:val="1"/>
          <w:bCs w:val="1"/>
          <w:color w:val="auto"/>
        </w:rPr>
        <w:t>Net Sales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r>
      <w:tr>
        <w:trPr>
          <w:trHeight w:val="169"/>
        </w:trPr>
        <w:tc>
          <w:tcPr>
            <w:tcW w:w="572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r>
      <w:tr>
        <w:trPr>
          <w:trHeight w:val="196"/>
        </w:trPr>
        <w:tc>
          <w:tcPr>
            <w:tcW w:w="5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81"/>
              <w:spacing w:after="0" w:line="196" w:lineRule="exact"/>
              <w:rPr>
                <w:sz w:val="20"/>
                <w:szCs w:val="20"/>
                <w:color w:val="auto"/>
              </w:rPr>
            </w:pPr>
            <w:r>
              <w:rPr>
                <w:rFonts w:ascii="Arial" w:cs="Arial" w:eastAsia="Arial" w:hAnsi="Arial"/>
                <w:sz w:val="18"/>
                <w:szCs w:val="18"/>
                <w:color w:val="auto"/>
              </w:rPr>
              <w:t>9,522</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9,213</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-616585</wp:posOffset>
            </wp:positionV>
            <wp:extent cx="5068570" cy="608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68570" cy="60896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126365</wp:posOffset>
            </wp:positionV>
            <wp:extent cx="14605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050" cy="248920"/>
                    </a:xfrm>
                    <a:prstGeom prst="rect">
                      <a:avLst/>
                    </a:prstGeom>
                    <a:noFill/>
                  </pic:spPr>
                </pic:pic>
              </a:graphicData>
            </a:graphic>
          </wp:anchor>
        </w:drawing>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226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w:t>
            </w:r>
          </w:p>
        </w:tc>
      </w:tr>
      <w:tr>
        <w:trPr>
          <w:trHeight w:val="196"/>
        </w:trPr>
        <w:tc>
          <w:tcPr>
            <w:tcW w:w="57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Foreign Exchange</w:t>
            </w:r>
          </w:p>
        </w:tc>
        <w:tc>
          <w:tcPr>
            <w:tcW w:w="1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1160" w:type="dxa"/>
            <w:vAlign w:val="bottom"/>
            <w:tcBorders>
              <w:top w:val="single" w:sz="8" w:color="E5FFFF"/>
            </w:tcBorders>
            <w:shd w:val="clear" w:color="auto" w:fill="E5FFFF"/>
          </w:tcPr>
          <w:p>
            <w:pPr>
              <w:spacing w:after="0"/>
              <w:rPr>
                <w:sz w:val="17"/>
                <w:szCs w:val="17"/>
                <w:color w:val="auto"/>
              </w:rPr>
            </w:pPr>
          </w:p>
        </w:tc>
      </w:tr>
      <w:tr>
        <w:trPr>
          <w:trHeight w:val="216"/>
        </w:trPr>
        <w:tc>
          <w:tcPr>
            <w:tcW w:w="57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Acquisitions/Divestitures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E5FFFF"/>
            </w:tcBorders>
          </w:tcPr>
          <w:p>
            <w:pPr>
              <w:spacing w:after="0"/>
              <w:rPr>
                <w:sz w:val="18"/>
                <w:szCs w:val="18"/>
                <w:color w:val="auto"/>
              </w:rPr>
            </w:pPr>
          </w:p>
        </w:tc>
      </w:tr>
      <w:tr>
        <w:trPr>
          <w:trHeight w:val="223"/>
        </w:trPr>
        <w:tc>
          <w:tcPr>
            <w:tcW w:w="5720" w:type="dxa"/>
            <w:vAlign w:val="bottom"/>
            <w:tcBorders>
              <w:bottom w:val="single" w:sz="8" w:color="E5FFFF"/>
            </w:tcBorders>
            <w:shd w:val="clear" w:color="auto" w:fill="E5FFFF"/>
          </w:tcPr>
          <w:p>
            <w:pPr>
              <w:spacing w:after="0"/>
              <w:rPr>
                <w:sz w:val="19"/>
                <w:szCs w:val="19"/>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E5FFFF"/>
            </w:tcBorders>
            <w:shd w:val="clear" w:color="auto" w:fill="E5FF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-454025</wp:posOffset>
            </wp:positionV>
            <wp:extent cx="5918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820" cy="13716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-179705</wp:posOffset>
            </wp:positionV>
            <wp:extent cx="73723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7235" cy="16319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See Note 1 Basis of Presentation of Notes to Financial Statements for further discussion, including the estimated impact from additional reporting days in the current year period resulting from our normal quarterly closing procedures.</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is principally driven by the weakening of the Euro and Canadian Dollar against the U.S. Dollar.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center"/>
              <w:ind w:right="296"/>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50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65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6,547</w:t>
            </w: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6,362</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22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31.2%</w:t>
            </w: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30.9%</w:t>
            </w: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increased principally due to an increase in direct material and labor costs of approximately $220 million (driven primarily by acquisitions, partially offset by the favorable impact from productivity and foreign currency translation) and increased amortization and depreciation expense of approximately $35 million, partially offset by higher pension and other postretirement income of approximately $55 million.</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Gross margin percentage increased primarily due to higher segment gross margin in Aerospace and Performance Materials and Technologies (PMT) (approximately 0.6 percentage point impact collectively) and increased pension and other postretirement benefits income allocated to cost of products and services sold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 w:name="page23"/>
    <w:bookmarkEnd w:id="22"/>
    <w:p>
      <w:pPr>
        <w:jc w:val="both"/>
        <w:spacing w:after="0" w:line="246" w:lineRule="auto"/>
        <w:rPr>
          <w:sz w:val="20"/>
          <w:szCs w:val="20"/>
          <w:color w:val="auto"/>
        </w:rPr>
      </w:pPr>
      <w:r>
        <w:rPr>
          <w:rFonts w:ascii="Arial" w:cs="Arial" w:eastAsia="Arial" w:hAnsi="Arial"/>
          <w:sz w:val="18"/>
          <w:szCs w:val="18"/>
          <w:color w:val="auto"/>
        </w:rPr>
        <w:t>(approximately 0.5 percentage point impact), partially offset by lower segment gross margin in Automation and Control Solutions (ACS) (approximately 0.8 percentage point impact), principally attributed to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center"/>
              <w:ind w:right="296"/>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50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65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81"/>
              <w:spacing w:after="0" w:line="196" w:lineRule="exact"/>
              <w:rPr>
                <w:sz w:val="20"/>
                <w:szCs w:val="20"/>
                <w:color w:val="auto"/>
              </w:rPr>
            </w:pPr>
            <w:r>
              <w:rPr>
                <w:rFonts w:ascii="Arial" w:cs="Arial" w:eastAsia="Arial" w:hAnsi="Arial"/>
                <w:sz w:val="18"/>
                <w:szCs w:val="18"/>
                <w:color w:val="auto"/>
              </w:rPr>
              <w:t>1,280</w:t>
            </w: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1,230</w:t>
            </w:r>
          </w:p>
        </w:tc>
      </w:tr>
      <w:tr>
        <w:trPr>
          <w:trHeight w:val="217"/>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 of sales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-608965</wp:posOffset>
            </wp:positionV>
            <wp:extent cx="5797550" cy="600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600075"/>
                    </a:xfrm>
                    <a:prstGeom prst="rect">
                      <a:avLst/>
                    </a:prstGeom>
                    <a:noFill/>
                  </pic:spPr>
                </pic:pic>
              </a:graphicData>
            </a:graphic>
          </wp:anchor>
        </w:drawing>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general and administrative expenses increased primarily driven by an increase in labor costs (principally attributed to acquisitions and merit increases, partially offset by a reduction in incentive compensation), partially offset by the favorable impact from foreign currency translation.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center"/>
              <w:ind w:right="29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Tax expense</w:t>
            </w:r>
          </w:p>
        </w:tc>
        <w:tc>
          <w:tcPr>
            <w:tcW w:w="28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81"/>
              <w:spacing w:after="0" w:line="202" w:lineRule="exact"/>
              <w:rPr>
                <w:sz w:val="20"/>
                <w:szCs w:val="20"/>
                <w:color w:val="auto"/>
              </w:rPr>
            </w:pPr>
            <w:r>
              <w:rPr>
                <w:rFonts w:ascii="Arial" w:cs="Arial" w:eastAsia="Arial" w:hAnsi="Arial"/>
                <w:sz w:val="18"/>
                <w:szCs w:val="18"/>
                <w:color w:val="auto"/>
              </w:rPr>
              <w:t>432</w:t>
            </w:r>
          </w:p>
        </w:tc>
        <w:tc>
          <w:tcPr>
            <w:tcW w:w="50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76"/>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Effective tax rate</w:t>
            </w: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-746125</wp:posOffset>
            </wp:positionV>
            <wp:extent cx="5797550" cy="737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737235"/>
                    </a:xfrm>
                    <a:prstGeom prst="rect">
                      <a:avLst/>
                    </a:prstGeom>
                    <a:noFill/>
                  </pic:spPr>
                </pic:pic>
              </a:graphicData>
            </a:graphic>
          </wp:anchor>
        </w:drawing>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rates for the three months ended in 2016 and 2015 were lower than the U.S. federal statutory rate of 35% due, in part, to non-U.S. earnings taxed at lower rates, the vast majority of which we intend to permanently reinvest outside the United States, and benefits from manufacturing incentives.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currently expects the effective tax rate for 2016 to be approximately 26.5%. The effective tax rate can vary from quarter to quarter due to unusual or infrequently occurring items, the resolution of income tax audits, changes in tax laws or other items such as pension mark-to-market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 attributable to Honeywell</w:t>
            </w:r>
          </w:p>
        </w:tc>
        <w:tc>
          <w:tcPr>
            <w:tcW w:w="13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
              <w:spacing w:after="0" w:line="202" w:lineRule="exact"/>
              <w:rPr>
                <w:sz w:val="20"/>
                <w:szCs w:val="20"/>
                <w:color w:val="auto"/>
              </w:rPr>
            </w:pPr>
            <w:r>
              <w:rPr>
                <w:rFonts w:ascii="Arial" w:cs="Arial" w:eastAsia="Arial" w:hAnsi="Arial"/>
                <w:sz w:val="18"/>
                <w:szCs w:val="18"/>
                <w:color w:val="auto"/>
              </w:rPr>
              <w:t>1,186</w:t>
            </w:r>
          </w:p>
        </w:tc>
        <w:tc>
          <w:tcPr>
            <w:tcW w:w="52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1.53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-882650</wp:posOffset>
            </wp:positionV>
            <wp:extent cx="5797550" cy="875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875030"/>
                    </a:xfrm>
                    <a:prstGeom prst="rect">
                      <a:avLst/>
                    </a:prstGeom>
                    <a:noFill/>
                  </pic:spPr>
                </pic:pic>
              </a:graphicData>
            </a:graphic>
          </wp:anchor>
        </w:drawing>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Earnings per share of common stock – assuming dilution increased primarily due to increased segment profit in Aerospace and ACS, offset by decreased segment profit in PMT, higher pension and other postretirement income and a decrease in the weighted average shares outstanding.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Review of Business Segments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2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20" w:type="dxa"/>
            <w:vAlign w:val="bottom"/>
            <w:gridSpan w:val="6"/>
            <w:shd w:val="clear" w:color="auto" w:fill="E5FFFF"/>
          </w:tcPr>
          <w:p>
            <w:pPr>
              <w:spacing w:after="0" w:line="189" w:lineRule="exact"/>
              <w:rPr>
                <w:sz w:val="20"/>
                <w:szCs w:val="20"/>
                <w:color w:val="auto"/>
              </w:rPr>
            </w:pPr>
            <w:r>
              <w:rPr>
                <w:rFonts w:ascii="Arial" w:cs="Arial" w:eastAsia="Arial" w:hAnsi="Arial"/>
                <w:sz w:val="18"/>
                <w:szCs w:val="18"/>
                <w:color w:val="auto"/>
              </w:rPr>
              <w:t>Aerospace Sales</w:t>
            </w:r>
          </w:p>
        </w:tc>
        <w:tc>
          <w:tcPr>
            <w:tcW w:w="2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20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20" w:type="dxa"/>
            <w:vAlign w:val="bottom"/>
            <w:shd w:val="clear" w:color="auto" w:fill="E5FFFF"/>
          </w:tcPr>
          <w:p>
            <w:pPr>
              <w:spacing w:after="0"/>
              <w:rPr>
                <w:sz w:val="2"/>
                <w:szCs w:val="2"/>
                <w:color w:val="auto"/>
              </w:rPr>
            </w:pPr>
          </w:p>
        </w:tc>
        <w:tc>
          <w:tcPr>
            <w:tcW w:w="80" w:type="dxa"/>
            <w:vAlign w:val="bottom"/>
            <w:shd w:val="clear" w:color="auto" w:fill="E5FFFF"/>
          </w:tcPr>
          <w:p>
            <w:pPr>
              <w:spacing w:after="0"/>
              <w:rPr>
                <w:sz w:val="2"/>
                <w:szCs w:val="2"/>
                <w:color w:val="auto"/>
              </w:rPr>
            </w:pPr>
          </w:p>
        </w:tc>
        <w:tc>
          <w:tcPr>
            <w:tcW w:w="310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260" w:type="dxa"/>
            <w:vAlign w:val="bottom"/>
            <w:shd w:val="clear" w:color="auto" w:fill="E5FFFF"/>
          </w:tcPr>
          <w:p>
            <w:pPr>
              <w:spacing w:after="0"/>
              <w:rPr>
                <w:sz w:val="2"/>
                <w:szCs w:val="2"/>
                <w:color w:val="auto"/>
              </w:rPr>
            </w:pPr>
          </w:p>
        </w:tc>
        <w:tc>
          <w:tcPr>
            <w:tcW w:w="112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4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112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120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Commercial Aviation Original Equipment</w:t>
            </w:r>
          </w:p>
        </w:tc>
        <w:tc>
          <w:tcPr>
            <w:tcW w:w="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701</w:t>
            </w:r>
          </w:p>
        </w:tc>
        <w:tc>
          <w:tcPr>
            <w:tcW w:w="5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683</w:t>
            </w:r>
          </w:p>
        </w:tc>
        <w:tc>
          <w:tcPr>
            <w:tcW w:w="20" w:type="dxa"/>
            <w:vAlign w:val="bottom"/>
          </w:tcPr>
          <w:p>
            <w:pPr>
              <w:spacing w:after="0"/>
              <w:rPr>
                <w:sz w:val="17"/>
                <w:szCs w:val="17"/>
                <w:color w:val="auto"/>
              </w:rPr>
            </w:pPr>
          </w:p>
        </w:tc>
        <w:tc>
          <w:tcPr>
            <w:tcW w:w="1520" w:type="dxa"/>
            <w:vAlign w:val="bottom"/>
            <w:gridSpan w:val="2"/>
          </w:tcPr>
          <w:p>
            <w:pPr>
              <w:jc w:val="center"/>
              <w:ind w:left="413"/>
              <w:spacing w:after="0" w:line="202" w:lineRule="exact"/>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6"/>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Aviation Aftermarket</w:t>
            </w: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55"/>
              <w:spacing w:after="0" w:line="202" w:lineRule="exact"/>
              <w:rPr>
                <w:sz w:val="20"/>
                <w:szCs w:val="20"/>
                <w:color w:val="auto"/>
              </w:rPr>
            </w:pPr>
            <w:r>
              <w:rPr>
                <w:rFonts w:ascii="Arial" w:cs="Arial" w:eastAsia="Arial" w:hAnsi="Arial"/>
                <w:sz w:val="18"/>
                <w:szCs w:val="18"/>
                <w:color w:val="auto"/>
              </w:rPr>
              <w:t>1,148</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1,082</w:t>
            </w:r>
          </w:p>
        </w:tc>
        <w:tc>
          <w:tcPr>
            <w:tcW w:w="2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left="413"/>
              <w:spacing w:after="0" w:line="202" w:lineRule="exact"/>
              <w:rPr>
                <w:sz w:val="20"/>
                <w:szCs w:val="20"/>
                <w:color w:val="auto"/>
              </w:rPr>
            </w:pPr>
            <w:r>
              <w:rPr>
                <w:rFonts w:ascii="Arial" w:cs="Arial" w:eastAsia="Arial" w:hAnsi="Arial"/>
                <w:sz w:val="18"/>
                <w:szCs w:val="18"/>
                <w:color w:val="auto"/>
                <w:w w:val="99"/>
              </w:rPr>
              <w:t>6%</w:t>
            </w: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Defense and Space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1,069</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1,075</w:t>
            </w:r>
          </w:p>
        </w:tc>
        <w:tc>
          <w:tcPr>
            <w:tcW w:w="20" w:type="dxa"/>
            <w:vAlign w:val="bottom"/>
          </w:tcPr>
          <w:p>
            <w:pPr>
              <w:spacing w:after="0"/>
              <w:rPr>
                <w:sz w:val="17"/>
                <w:szCs w:val="17"/>
                <w:color w:val="auto"/>
              </w:rPr>
            </w:pPr>
          </w:p>
        </w:tc>
        <w:tc>
          <w:tcPr>
            <w:tcW w:w="1520" w:type="dxa"/>
            <w:vAlign w:val="bottom"/>
            <w:gridSpan w:val="2"/>
          </w:tcPr>
          <w:p>
            <w:pPr>
              <w:jc w:val="center"/>
              <w:ind w:left="413"/>
              <w:spacing w:after="0" w:line="202" w:lineRule="exact"/>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6"/>
            <w:shd w:val="clear" w:color="auto" w:fill="E5FFFF"/>
          </w:tcPr>
          <w:p>
            <w:pPr>
              <w:ind w:left="160"/>
              <w:spacing w:after="0"/>
              <w:rPr>
                <w:sz w:val="20"/>
                <w:szCs w:val="20"/>
                <w:color w:val="auto"/>
              </w:rPr>
            </w:pPr>
            <w:r>
              <w:rPr>
                <w:rFonts w:ascii="Arial" w:cs="Arial" w:eastAsia="Arial" w:hAnsi="Arial"/>
                <w:sz w:val="18"/>
                <w:szCs w:val="18"/>
                <w:color w:val="auto"/>
              </w:rPr>
              <w:t>Transportation Systems</w:t>
            </w:r>
          </w:p>
        </w:tc>
        <w:tc>
          <w:tcPr>
            <w:tcW w:w="20" w:type="dxa"/>
            <w:vAlign w:val="bottom"/>
            <w:tcBorders>
              <w:bottom w:val="single" w:sz="8" w:color="auto"/>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55"/>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767</w:t>
            </w:r>
          </w:p>
        </w:tc>
        <w:tc>
          <w:tcPr>
            <w:tcW w:w="20" w:type="dxa"/>
            <w:vAlign w:val="bottom"/>
            <w:tcBorders>
              <w:bottom w:val="single" w:sz="8" w:color="auto"/>
            </w:tcBorders>
            <w:shd w:val="clear" w:color="auto" w:fill="E5FFFF"/>
          </w:tcPr>
          <w:p>
            <w:pPr>
              <w:spacing w:after="0"/>
              <w:rPr>
                <w:sz w:val="18"/>
                <w:szCs w:val="18"/>
                <w:color w:val="auto"/>
              </w:rPr>
            </w:pPr>
          </w:p>
        </w:tc>
        <w:tc>
          <w:tcPr>
            <w:tcW w:w="1520" w:type="dxa"/>
            <w:vAlign w:val="bottom"/>
            <w:gridSpan w:val="2"/>
            <w:shd w:val="clear" w:color="auto" w:fill="E5FFFF"/>
          </w:tcPr>
          <w:p>
            <w:pPr>
              <w:jc w:val="center"/>
              <w:ind w:left="413"/>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6"/>
          </w:tcPr>
          <w:p>
            <w:pPr>
              <w:ind w:left="340"/>
              <w:spacing w:after="0"/>
              <w:rPr>
                <w:sz w:val="20"/>
                <w:szCs w:val="20"/>
                <w:color w:val="auto"/>
              </w:rPr>
            </w:pPr>
            <w:r>
              <w:rPr>
                <w:rFonts w:ascii="Arial" w:cs="Arial" w:eastAsia="Arial" w:hAnsi="Arial"/>
                <w:sz w:val="18"/>
                <w:szCs w:val="18"/>
                <w:color w:val="auto"/>
              </w:rPr>
              <w:t>Total Aerospace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3,705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3,607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6"/>
            <w:shd w:val="clear" w:color="auto" w:fill="E5FFFF"/>
          </w:tcPr>
          <w:p>
            <w:pPr>
              <w:spacing w:after="0" w:line="189" w:lineRule="exact"/>
              <w:rPr>
                <w:sz w:val="20"/>
                <w:szCs w:val="20"/>
                <w:color w:val="auto"/>
              </w:rPr>
            </w:pPr>
            <w:r>
              <w:rPr>
                <w:rFonts w:ascii="Arial" w:cs="Arial" w:eastAsia="Arial" w:hAnsi="Arial"/>
                <w:sz w:val="18"/>
                <w:szCs w:val="18"/>
                <w:color w:val="auto"/>
              </w:rPr>
              <w:t>Automation and Control Solutions Sales</w:t>
            </w: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top w:val="single" w:sz="8" w:color="auto"/>
            </w:tcBorders>
            <w:gridSpan w:val="3"/>
          </w:tcPr>
          <w:p>
            <w:pPr>
              <w:ind w:left="160"/>
              <w:spacing w:after="0" w:line="202" w:lineRule="exact"/>
              <w:rPr>
                <w:sz w:val="20"/>
                <w:szCs w:val="20"/>
                <w:color w:val="auto"/>
              </w:rPr>
            </w:pPr>
            <w:r>
              <w:rPr>
                <w:rFonts w:ascii="Arial" w:cs="Arial" w:eastAsia="Arial" w:hAnsi="Arial"/>
                <w:sz w:val="18"/>
                <w:szCs w:val="18"/>
                <w:color w:val="auto"/>
              </w:rPr>
              <w:t>Energy Safety &amp; Security</w:t>
            </w:r>
          </w:p>
        </w:tc>
        <w:tc>
          <w:tcPr>
            <w:tcW w:w="3460" w:type="dxa"/>
            <w:vAlign w:val="bottom"/>
            <w:tcBorders>
              <w:top w:val="single" w:sz="8" w:color="E5FFFF"/>
            </w:tcBorders>
            <w:gridSpan w:val="3"/>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260" w:type="dxa"/>
            <w:vAlign w:val="bottom"/>
            <w:tcBorders>
              <w:top w:val="single" w:sz="8" w:color="E5FFFF"/>
            </w:tcBorders>
          </w:tcPr>
          <w:p>
            <w:pPr>
              <w:spacing w:after="0"/>
              <w:rPr>
                <w:sz w:val="17"/>
                <w:szCs w:val="17"/>
                <w:color w:val="auto"/>
              </w:rPr>
            </w:pPr>
          </w:p>
        </w:tc>
        <w:tc>
          <w:tcPr>
            <w:tcW w:w="1120" w:type="dxa"/>
            <w:vAlign w:val="bottom"/>
            <w:tcBorders>
              <w:top w:val="single" w:sz="8" w:color="E5FFFF"/>
            </w:tcBorders>
          </w:tcPr>
          <w:p>
            <w:pPr>
              <w:jc w:val="right"/>
              <w:ind w:right="55"/>
              <w:spacing w:after="0" w:line="202" w:lineRule="exact"/>
              <w:rPr>
                <w:sz w:val="20"/>
                <w:szCs w:val="20"/>
                <w:color w:val="auto"/>
              </w:rPr>
            </w:pPr>
            <w:r>
              <w:rPr>
                <w:rFonts w:ascii="Arial" w:cs="Arial" w:eastAsia="Arial" w:hAnsi="Arial"/>
                <w:sz w:val="18"/>
                <w:szCs w:val="18"/>
                <w:color w:val="auto"/>
              </w:rPr>
              <w:t>2,598</w:t>
            </w:r>
          </w:p>
        </w:tc>
        <w:tc>
          <w:tcPr>
            <w:tcW w:w="300" w:type="dxa"/>
            <w:vAlign w:val="bottom"/>
            <w:tcBorders>
              <w:top w:val="single" w:sz="8" w:color="E5FFFF"/>
            </w:tcBorders>
          </w:tcPr>
          <w:p>
            <w:pPr>
              <w:spacing w:after="0"/>
              <w:rPr>
                <w:sz w:val="17"/>
                <w:szCs w:val="17"/>
                <w:color w:val="auto"/>
              </w:rPr>
            </w:pPr>
          </w:p>
        </w:tc>
        <w:tc>
          <w:tcPr>
            <w:tcW w:w="4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1120" w:type="dxa"/>
            <w:vAlign w:val="bottom"/>
            <w:tcBorders>
              <w:top w:val="single" w:sz="8" w:color="E5FFFF"/>
            </w:tcBorders>
          </w:tcPr>
          <w:p>
            <w:pPr>
              <w:jc w:val="right"/>
              <w:ind w:right="13"/>
              <w:spacing w:after="0" w:line="202" w:lineRule="exact"/>
              <w:rPr>
                <w:sz w:val="20"/>
                <w:szCs w:val="20"/>
                <w:color w:val="auto"/>
              </w:rPr>
            </w:pPr>
            <w:r>
              <w:rPr>
                <w:rFonts w:ascii="Arial" w:cs="Arial" w:eastAsia="Arial" w:hAnsi="Arial"/>
                <w:sz w:val="18"/>
                <w:szCs w:val="18"/>
                <w:color w:val="auto"/>
              </w:rPr>
              <w:t>2,234</w:t>
            </w:r>
          </w:p>
        </w:tc>
        <w:tc>
          <w:tcPr>
            <w:tcW w:w="20" w:type="dxa"/>
            <w:vAlign w:val="bottom"/>
            <w:tcBorders>
              <w:top w:val="single" w:sz="8" w:color="E5FFFF"/>
            </w:tcBorders>
          </w:tcPr>
          <w:p>
            <w:pPr>
              <w:spacing w:after="0"/>
              <w:rPr>
                <w:sz w:val="17"/>
                <w:szCs w:val="17"/>
                <w:color w:val="auto"/>
              </w:rPr>
            </w:pPr>
          </w:p>
        </w:tc>
        <w:tc>
          <w:tcPr>
            <w:tcW w:w="1520" w:type="dxa"/>
            <w:vAlign w:val="bottom"/>
            <w:tcBorders>
              <w:top w:val="single" w:sz="8" w:color="E5FFFF"/>
            </w:tcBorders>
            <w:gridSpan w:val="2"/>
          </w:tcPr>
          <w:p>
            <w:pPr>
              <w:jc w:val="center"/>
              <w:ind w:left="393"/>
              <w:spacing w:after="0" w:line="202" w:lineRule="exact"/>
              <w:rPr>
                <w:sz w:val="20"/>
                <w:szCs w:val="20"/>
                <w:color w:val="auto"/>
              </w:rPr>
            </w:pPr>
            <w:r>
              <w:rPr>
                <w:rFonts w:ascii="Arial" w:cs="Arial" w:eastAsia="Arial" w:hAnsi="Arial"/>
                <w:sz w:val="18"/>
                <w:szCs w:val="18"/>
                <w:color w:val="auto"/>
                <w:w w:val="99"/>
              </w:rPr>
              <w:t>16%</w:t>
            </w:r>
          </w:p>
        </w:tc>
        <w:tc>
          <w:tcPr>
            <w:tcW w:w="160" w:type="dxa"/>
            <w:vAlign w:val="bottom"/>
            <w:tcBorders>
              <w:top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6"/>
            <w:shd w:val="clear" w:color="auto" w:fill="E5FFFF"/>
          </w:tcPr>
          <w:p>
            <w:pPr>
              <w:ind w:left="160"/>
              <w:spacing w:after="0"/>
              <w:rPr>
                <w:sz w:val="20"/>
                <w:szCs w:val="20"/>
                <w:color w:val="auto"/>
              </w:rPr>
            </w:pPr>
            <w:r>
              <w:rPr>
                <w:rFonts w:ascii="Arial" w:cs="Arial" w:eastAsia="Arial" w:hAnsi="Arial"/>
                <w:sz w:val="18"/>
                <w:szCs w:val="18"/>
                <w:color w:val="auto"/>
              </w:rPr>
              <w:t>Building Solutions &amp; Distribution</w:t>
            </w:r>
          </w:p>
        </w:tc>
        <w:tc>
          <w:tcPr>
            <w:tcW w:w="20" w:type="dxa"/>
            <w:vAlign w:val="bottom"/>
            <w:tcBorders>
              <w:bottom w:val="single" w:sz="8" w:color="auto"/>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55"/>
              <w:spacing w:after="0"/>
              <w:rPr>
                <w:sz w:val="20"/>
                <w:szCs w:val="20"/>
                <w:color w:val="auto"/>
              </w:rPr>
            </w:pPr>
            <w:r>
              <w:rPr>
                <w:rFonts w:ascii="Arial" w:cs="Arial" w:eastAsia="Arial" w:hAnsi="Arial"/>
                <w:sz w:val="18"/>
                <w:szCs w:val="18"/>
                <w:color w:val="auto"/>
              </w:rPr>
              <w:t>1,079</w:t>
            </w: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1,030</w:t>
            </w:r>
          </w:p>
        </w:tc>
        <w:tc>
          <w:tcPr>
            <w:tcW w:w="20" w:type="dxa"/>
            <w:vAlign w:val="bottom"/>
            <w:tcBorders>
              <w:bottom w:val="single" w:sz="8" w:color="auto"/>
            </w:tcBorders>
            <w:shd w:val="clear" w:color="auto" w:fill="E5FFFF"/>
          </w:tcPr>
          <w:p>
            <w:pPr>
              <w:spacing w:after="0"/>
              <w:rPr>
                <w:sz w:val="18"/>
                <w:szCs w:val="18"/>
                <w:color w:val="auto"/>
              </w:rPr>
            </w:pPr>
          </w:p>
        </w:tc>
        <w:tc>
          <w:tcPr>
            <w:tcW w:w="1520" w:type="dxa"/>
            <w:vAlign w:val="bottom"/>
            <w:gridSpan w:val="2"/>
            <w:shd w:val="clear" w:color="auto" w:fill="E5FFFF"/>
          </w:tcPr>
          <w:p>
            <w:pPr>
              <w:jc w:val="center"/>
              <w:ind w:left="413"/>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6"/>
          </w:tcPr>
          <w:p>
            <w:pPr>
              <w:ind w:left="340"/>
              <w:spacing w:after="0"/>
              <w:rPr>
                <w:sz w:val="20"/>
                <w:szCs w:val="20"/>
                <w:color w:val="auto"/>
              </w:rPr>
            </w:pPr>
            <w:r>
              <w:rPr>
                <w:rFonts w:ascii="Arial" w:cs="Arial" w:eastAsia="Arial" w:hAnsi="Arial"/>
                <w:sz w:val="18"/>
                <w:szCs w:val="18"/>
                <w:color w:val="auto"/>
              </w:rPr>
              <w:t>Total Automation and Control Solution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3,677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6"/>
            <w:shd w:val="clear" w:color="auto" w:fill="E5FFFF"/>
          </w:tcPr>
          <w:p>
            <w:pPr>
              <w:spacing w:after="0" w:line="189" w:lineRule="exact"/>
              <w:rPr>
                <w:sz w:val="20"/>
                <w:szCs w:val="20"/>
                <w:color w:val="auto"/>
              </w:rPr>
            </w:pPr>
            <w:r>
              <w:rPr>
                <w:rFonts w:ascii="Arial" w:cs="Arial" w:eastAsia="Arial" w:hAnsi="Arial"/>
                <w:sz w:val="18"/>
                <w:szCs w:val="18"/>
                <w:color w:val="auto"/>
              </w:rPr>
              <w:t>Performance Materials and Technologies</w:t>
            </w: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Borders>
              <w:top w:val="single" w:sz="8" w:color="auto"/>
            </w:tcBorders>
            <w:gridSpan w:val="4"/>
          </w:tcPr>
          <w:p>
            <w:pPr>
              <w:ind w:left="160"/>
              <w:spacing w:after="0" w:line="202" w:lineRule="exact"/>
              <w:rPr>
                <w:sz w:val="20"/>
                <w:szCs w:val="20"/>
                <w:color w:val="auto"/>
              </w:rPr>
            </w:pPr>
            <w:r>
              <w:rPr>
                <w:rFonts w:ascii="Arial" w:cs="Arial" w:eastAsia="Arial" w:hAnsi="Arial"/>
                <w:sz w:val="18"/>
                <w:szCs w:val="18"/>
                <w:color w:val="auto"/>
              </w:rPr>
              <w:t>UOP</w:t>
            </w:r>
          </w:p>
        </w:tc>
        <w:tc>
          <w:tcPr>
            <w:tcW w:w="3380" w:type="dxa"/>
            <w:vAlign w:val="bottom"/>
            <w:tcBorders>
              <w:top w:val="single" w:sz="8" w:color="E5FFFF"/>
            </w:tcBorders>
            <w:gridSpan w:val="2"/>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260" w:type="dxa"/>
            <w:vAlign w:val="bottom"/>
            <w:tcBorders>
              <w:top w:val="single" w:sz="8" w:color="E5FFFF"/>
            </w:tcBorders>
          </w:tcPr>
          <w:p>
            <w:pPr>
              <w:spacing w:after="0"/>
              <w:rPr>
                <w:sz w:val="17"/>
                <w:szCs w:val="17"/>
                <w:color w:val="auto"/>
              </w:rPr>
            </w:pPr>
          </w:p>
        </w:tc>
        <w:tc>
          <w:tcPr>
            <w:tcW w:w="1120" w:type="dxa"/>
            <w:vAlign w:val="bottom"/>
            <w:tcBorders>
              <w:top w:val="single" w:sz="8" w:color="E5FFFF"/>
            </w:tcBorders>
          </w:tcPr>
          <w:p>
            <w:pPr>
              <w:jc w:val="right"/>
              <w:ind w:right="55"/>
              <w:spacing w:after="0" w:line="202" w:lineRule="exact"/>
              <w:rPr>
                <w:sz w:val="20"/>
                <w:szCs w:val="20"/>
                <w:color w:val="auto"/>
              </w:rPr>
            </w:pPr>
            <w:r>
              <w:rPr>
                <w:rFonts w:ascii="Arial" w:cs="Arial" w:eastAsia="Arial" w:hAnsi="Arial"/>
                <w:sz w:val="18"/>
                <w:szCs w:val="18"/>
                <w:color w:val="auto"/>
              </w:rPr>
              <w:t>568</w:t>
            </w:r>
          </w:p>
        </w:tc>
        <w:tc>
          <w:tcPr>
            <w:tcW w:w="300" w:type="dxa"/>
            <w:vAlign w:val="bottom"/>
            <w:tcBorders>
              <w:top w:val="single" w:sz="8" w:color="E5FFFF"/>
            </w:tcBorders>
          </w:tcPr>
          <w:p>
            <w:pPr>
              <w:spacing w:after="0"/>
              <w:rPr>
                <w:sz w:val="17"/>
                <w:szCs w:val="17"/>
                <w:color w:val="auto"/>
              </w:rPr>
            </w:pPr>
          </w:p>
        </w:tc>
        <w:tc>
          <w:tcPr>
            <w:tcW w:w="40" w:type="dxa"/>
            <w:vAlign w:val="bottom"/>
            <w:tcBorders>
              <w:top w:val="single" w:sz="8" w:color="E5FFFF"/>
            </w:tcBorders>
          </w:tcPr>
          <w:p>
            <w:pPr>
              <w:spacing w:after="0"/>
              <w:rPr>
                <w:sz w:val="17"/>
                <w:szCs w:val="17"/>
                <w:color w:val="auto"/>
              </w:rPr>
            </w:pPr>
          </w:p>
        </w:tc>
        <w:tc>
          <w:tcPr>
            <w:tcW w:w="220" w:type="dxa"/>
            <w:vAlign w:val="bottom"/>
            <w:tcBorders>
              <w:top w:val="single" w:sz="8" w:color="E5FFFF"/>
            </w:tcBorders>
          </w:tcPr>
          <w:p>
            <w:pPr>
              <w:spacing w:after="0"/>
              <w:rPr>
                <w:sz w:val="17"/>
                <w:szCs w:val="17"/>
                <w:color w:val="auto"/>
              </w:rPr>
            </w:pPr>
          </w:p>
        </w:tc>
        <w:tc>
          <w:tcPr>
            <w:tcW w:w="1120" w:type="dxa"/>
            <w:vAlign w:val="bottom"/>
            <w:tcBorders>
              <w:top w:val="single" w:sz="8" w:color="E5FFFF"/>
            </w:tcBorders>
          </w:tcPr>
          <w:p>
            <w:pPr>
              <w:jc w:val="right"/>
              <w:ind w:right="13"/>
              <w:spacing w:after="0" w:line="202" w:lineRule="exact"/>
              <w:rPr>
                <w:sz w:val="20"/>
                <w:szCs w:val="20"/>
                <w:color w:val="auto"/>
              </w:rPr>
            </w:pPr>
            <w:r>
              <w:rPr>
                <w:rFonts w:ascii="Arial" w:cs="Arial" w:eastAsia="Arial" w:hAnsi="Arial"/>
                <w:sz w:val="18"/>
                <w:szCs w:val="18"/>
                <w:color w:val="auto"/>
              </w:rPr>
              <w:t>914</w:t>
            </w:r>
          </w:p>
        </w:tc>
        <w:tc>
          <w:tcPr>
            <w:tcW w:w="20" w:type="dxa"/>
            <w:vAlign w:val="bottom"/>
            <w:tcBorders>
              <w:top w:val="single" w:sz="8" w:color="E5FFFF"/>
            </w:tcBorders>
          </w:tcPr>
          <w:p>
            <w:pPr>
              <w:spacing w:after="0"/>
              <w:rPr>
                <w:sz w:val="17"/>
                <w:szCs w:val="17"/>
                <w:color w:val="auto"/>
              </w:rPr>
            </w:pPr>
          </w:p>
        </w:tc>
        <w:tc>
          <w:tcPr>
            <w:tcW w:w="1520" w:type="dxa"/>
            <w:vAlign w:val="bottom"/>
            <w:tcBorders>
              <w:top w:val="single" w:sz="8" w:color="E5FFFF"/>
            </w:tcBorders>
            <w:gridSpan w:val="2"/>
          </w:tcPr>
          <w:p>
            <w:pPr>
              <w:jc w:val="center"/>
              <w:ind w:left="393"/>
              <w:spacing w:after="0" w:line="202" w:lineRule="exact"/>
              <w:rPr>
                <w:sz w:val="20"/>
                <w:szCs w:val="20"/>
                <w:color w:val="auto"/>
              </w:rPr>
            </w:pPr>
            <w:r>
              <w:rPr>
                <w:rFonts w:ascii="Arial" w:cs="Arial" w:eastAsia="Arial" w:hAnsi="Arial"/>
                <w:sz w:val="18"/>
                <w:szCs w:val="18"/>
                <w:color w:val="auto"/>
                <w:w w:val="99"/>
              </w:rPr>
              <w:t>(38)%</w:t>
            </w:r>
          </w:p>
        </w:tc>
        <w:tc>
          <w:tcPr>
            <w:tcW w:w="160" w:type="dxa"/>
            <w:vAlign w:val="bottom"/>
            <w:tcBorders>
              <w:top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6"/>
            <w:shd w:val="clear" w:color="auto" w:fill="E5FFFF"/>
          </w:tcPr>
          <w:p>
            <w:pPr>
              <w:ind w:left="160"/>
              <w:spacing w:after="0" w:line="202" w:lineRule="exact"/>
              <w:rPr>
                <w:sz w:val="20"/>
                <w:szCs w:val="20"/>
                <w:color w:val="auto"/>
              </w:rPr>
            </w:pPr>
            <w:r>
              <w:rPr>
                <w:rFonts w:ascii="Arial" w:cs="Arial" w:eastAsia="Arial" w:hAnsi="Arial"/>
                <w:sz w:val="18"/>
                <w:szCs w:val="18"/>
                <w:color w:val="auto"/>
              </w:rPr>
              <w:t>Process Solutions</w:t>
            </w: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55"/>
              <w:spacing w:after="0" w:line="202" w:lineRule="exact"/>
              <w:rPr>
                <w:sz w:val="20"/>
                <w:szCs w:val="20"/>
                <w:color w:val="auto"/>
              </w:rPr>
            </w:pPr>
            <w:r>
              <w:rPr>
                <w:rFonts w:ascii="Arial" w:cs="Arial" w:eastAsia="Arial" w:hAnsi="Arial"/>
                <w:sz w:val="18"/>
                <w:szCs w:val="18"/>
                <w:color w:val="auto"/>
              </w:rPr>
              <w:t>696</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632</w:t>
            </w:r>
          </w:p>
        </w:tc>
        <w:tc>
          <w:tcPr>
            <w:tcW w:w="2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left="393"/>
              <w:spacing w:after="0" w:line="202" w:lineRule="exact"/>
              <w:rPr>
                <w:sz w:val="20"/>
                <w:szCs w:val="20"/>
                <w:color w:val="auto"/>
              </w:rPr>
            </w:pPr>
            <w:r>
              <w:rPr>
                <w:rFonts w:ascii="Arial" w:cs="Arial" w:eastAsia="Arial" w:hAnsi="Arial"/>
                <w:sz w:val="18"/>
                <w:szCs w:val="18"/>
                <w:color w:val="auto"/>
                <w:w w:val="99"/>
              </w:rPr>
              <w:t>10%</w:t>
            </w: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E5FFFF"/>
            </w:tcBorders>
            <w:gridSpan w:val="6"/>
          </w:tcPr>
          <w:p>
            <w:pPr>
              <w:ind w:left="160"/>
              <w:spacing w:after="0"/>
              <w:rPr>
                <w:sz w:val="20"/>
                <w:szCs w:val="20"/>
                <w:color w:val="auto"/>
              </w:rPr>
            </w:pPr>
            <w:r>
              <w:rPr>
                <w:rFonts w:ascii="Arial" w:cs="Arial" w:eastAsia="Arial" w:hAnsi="Arial"/>
                <w:sz w:val="18"/>
                <w:szCs w:val="18"/>
                <w:color w:val="auto"/>
              </w:rPr>
              <w:t>Advanced Materials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876</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796</w:t>
            </w: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E5FFFF"/>
            </w:tcBorders>
            <w:gridSpan w:val="2"/>
          </w:tcPr>
          <w:p>
            <w:pPr>
              <w:jc w:val="center"/>
              <w:ind w:left="393"/>
              <w:spacing w:after="0"/>
              <w:rPr>
                <w:sz w:val="20"/>
                <w:szCs w:val="20"/>
                <w:color w:val="auto"/>
              </w:rPr>
            </w:pPr>
            <w:r>
              <w:rPr>
                <w:rFonts w:ascii="Arial" w:cs="Arial" w:eastAsia="Arial" w:hAnsi="Arial"/>
                <w:sz w:val="18"/>
                <w:szCs w:val="18"/>
                <w:color w:val="auto"/>
                <w:w w:val="99"/>
              </w:rPr>
              <w:t>10%</w:t>
            </w:r>
          </w:p>
        </w:tc>
        <w:tc>
          <w:tcPr>
            <w:tcW w:w="16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6"/>
            <w:shd w:val="clear" w:color="auto" w:fill="E5FFFF"/>
          </w:tcPr>
          <w:p>
            <w:pPr>
              <w:ind w:left="340"/>
              <w:spacing w:after="0"/>
              <w:rPr>
                <w:sz w:val="20"/>
                <w:szCs w:val="20"/>
                <w:color w:val="auto"/>
              </w:rPr>
            </w:pPr>
            <w:r>
              <w:rPr>
                <w:rFonts w:ascii="Arial" w:cs="Arial" w:eastAsia="Arial" w:hAnsi="Arial"/>
                <w:sz w:val="18"/>
                <w:szCs w:val="18"/>
                <w:color w:val="auto"/>
              </w:rPr>
              <w:t>Total Performance Materials and Technologies Sales</w:t>
            </w:r>
          </w:p>
        </w:tc>
        <w:tc>
          <w:tcPr>
            <w:tcW w:w="20" w:type="dxa"/>
            <w:vAlign w:val="bottom"/>
            <w:tcBorders>
              <w:bottom w:val="single" w:sz="8" w:color="auto"/>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55"/>
              <w:spacing w:after="0"/>
              <w:rPr>
                <w:sz w:val="20"/>
                <w:szCs w:val="20"/>
                <w:color w:val="auto"/>
              </w:rPr>
            </w:pPr>
            <w:r>
              <w:rPr>
                <w:rFonts w:ascii="Arial" w:cs="Arial" w:eastAsia="Arial" w:hAnsi="Arial"/>
                <w:sz w:val="18"/>
                <w:szCs w:val="18"/>
                <w:color w:val="auto"/>
              </w:rPr>
              <w:t>2,140</w:t>
            </w: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2,342</w:t>
            </w:r>
          </w:p>
        </w:tc>
        <w:tc>
          <w:tcPr>
            <w:tcW w:w="20" w:type="dxa"/>
            <w:vAlign w:val="bottom"/>
            <w:tcBorders>
              <w:bottom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7"/>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9,522</w:t>
            </w: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Aerospace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40" w:type="dxa"/>
            <w:vAlign w:val="bottom"/>
            <w:gridSpan w:val="7"/>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gridSpan w:val="5"/>
          </w:tcPr>
          <w:p>
            <w:pPr>
              <w:jc w:val="center"/>
              <w:ind w:left="7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2"/>
          </w:tcPr>
          <w:p>
            <w:pPr>
              <w:jc w:val="center"/>
              <w:ind w:left="293"/>
              <w:spacing w:after="0" w:line="143"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gridSpan w:val="6"/>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55"/>
              <w:spacing w:after="0" w:line="202" w:lineRule="exact"/>
              <w:rPr>
                <w:sz w:val="20"/>
                <w:szCs w:val="20"/>
                <w:color w:val="auto"/>
              </w:rPr>
            </w:pPr>
            <w:r>
              <w:rPr>
                <w:rFonts w:ascii="Arial" w:cs="Arial" w:eastAsia="Arial" w:hAnsi="Arial"/>
                <w:sz w:val="18"/>
                <w:szCs w:val="18"/>
                <w:color w:val="auto"/>
              </w:rPr>
              <w:t>3,705</w:t>
            </w:r>
          </w:p>
        </w:tc>
        <w:tc>
          <w:tcPr>
            <w:tcW w:w="560" w:type="dxa"/>
            <w:vAlign w:val="bottom"/>
            <w:gridSpan w:val="3"/>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3,607</w:t>
            </w:r>
          </w:p>
        </w:tc>
        <w:tc>
          <w:tcPr>
            <w:tcW w:w="2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center"/>
              <w:ind w:left="413"/>
              <w:spacing w:after="0" w:line="202" w:lineRule="exact"/>
              <w:rPr>
                <w:sz w:val="20"/>
                <w:szCs w:val="20"/>
                <w:color w:val="auto"/>
              </w:rPr>
            </w:pPr>
            <w:r>
              <w:rPr>
                <w:rFonts w:ascii="Arial" w:cs="Arial" w:eastAsia="Arial" w:hAnsi="Arial"/>
                <w:sz w:val="18"/>
                <w:szCs w:val="18"/>
                <w:color w:val="auto"/>
                <w:w w:val="99"/>
              </w:rPr>
              <w:t>3%</w:t>
            </w: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6"/>
          </w:tcPr>
          <w:p>
            <w:pPr>
              <w:ind w:left="160"/>
              <w:spacing w:after="0"/>
              <w:rPr>
                <w:sz w:val="20"/>
                <w:szCs w:val="20"/>
                <w:color w:val="auto"/>
              </w:rPr>
            </w:pPr>
            <w:r>
              <w:rPr>
                <w:rFonts w:ascii="Arial" w:cs="Arial" w:eastAsia="Arial" w:hAnsi="Arial"/>
                <w:sz w:val="18"/>
                <w:szCs w:val="18"/>
                <w:color w:val="auto"/>
              </w:rPr>
              <w:t>Cost of products and service sold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2,682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6"/>
            <w:shd w:val="clear" w:color="auto" w:fill="E5FF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2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161</w:t>
            </w: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Borders>
              <w:bottom w:val="single" w:sz="8" w:color="E5FFFF"/>
            </w:tcBorders>
            <w:gridSpan w:val="6"/>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E5FFFF"/>
            </w:tcBorders>
          </w:tcPr>
          <w:p>
            <w:pPr>
              <w:spacing w:after="0"/>
              <w:rPr>
                <w:sz w:val="19"/>
                <w:szCs w:val="19"/>
                <w:color w:val="auto"/>
              </w:rPr>
            </w:pPr>
          </w:p>
        </w:tc>
        <w:tc>
          <w:tcPr>
            <w:tcW w:w="4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E5FFFF"/>
            </w:tcBorders>
          </w:tcPr>
          <w:p>
            <w:pPr>
              <w:spacing w:after="0"/>
              <w:rPr>
                <w:sz w:val="19"/>
                <w:szCs w:val="19"/>
                <w:color w:val="auto"/>
              </w:rPr>
            </w:pPr>
          </w:p>
        </w:tc>
        <w:tc>
          <w:tcPr>
            <w:tcW w:w="1200" w:type="dxa"/>
            <w:vAlign w:val="bottom"/>
            <w:tcBorders>
              <w:bottom w:val="single" w:sz="8" w:color="E5FFFF"/>
            </w:tcBorders>
          </w:tcPr>
          <w:p>
            <w:pPr>
              <w:spacing w:after="0"/>
              <w:rPr>
                <w:sz w:val="19"/>
                <w:szCs w:val="19"/>
                <w:color w:val="auto"/>
              </w:rPr>
            </w:pPr>
          </w:p>
        </w:tc>
        <w:tc>
          <w:tcPr>
            <w:tcW w:w="1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6"/>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80" w:type="dxa"/>
            <w:vAlign w:val="bottom"/>
            <w:tcBorders>
              <w:bottom w:val="single" w:sz="8" w:color="auto"/>
            </w:tcBorders>
            <w:gridSpan w:val="2"/>
            <w:shd w:val="clear" w:color="auto" w:fill="E5FFFF"/>
          </w:tcPr>
          <w:p>
            <w:pPr>
              <w:jc w:val="right"/>
              <w:ind w:right="18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55"/>
              <w:spacing w:after="0" w:line="196" w:lineRule="exact"/>
              <w:rPr>
                <w:sz w:val="20"/>
                <w:szCs w:val="20"/>
                <w:color w:val="auto"/>
              </w:rPr>
            </w:pPr>
            <w:r>
              <w:rPr>
                <w:rFonts w:ascii="Arial" w:cs="Arial" w:eastAsia="Arial" w:hAnsi="Arial"/>
                <w:sz w:val="18"/>
                <w:szCs w:val="18"/>
                <w:color w:val="auto"/>
              </w:rPr>
              <w:t>798</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752</w:t>
            </w:r>
          </w:p>
        </w:tc>
        <w:tc>
          <w:tcPr>
            <w:tcW w:w="20" w:type="dxa"/>
            <w:vAlign w:val="bottom"/>
            <w:tcBorders>
              <w:bottom w:val="single" w:sz="8" w:color="auto"/>
            </w:tcBorders>
            <w:shd w:val="clear" w:color="auto" w:fill="E5FFFF"/>
          </w:tcPr>
          <w:p>
            <w:pPr>
              <w:spacing w:after="0"/>
              <w:rPr>
                <w:sz w:val="17"/>
                <w:szCs w:val="17"/>
                <w:color w:val="auto"/>
              </w:rPr>
            </w:pPr>
          </w:p>
        </w:tc>
        <w:tc>
          <w:tcPr>
            <w:tcW w:w="1520" w:type="dxa"/>
            <w:vAlign w:val="bottom"/>
            <w:gridSpan w:val="2"/>
            <w:shd w:val="clear" w:color="auto" w:fill="E5FFFF"/>
          </w:tcPr>
          <w:p>
            <w:pPr>
              <w:jc w:val="center"/>
              <w:ind w:left="413"/>
              <w:spacing w:after="0" w:line="196" w:lineRule="exact"/>
              <w:rPr>
                <w:sz w:val="20"/>
                <w:szCs w:val="20"/>
                <w:color w:val="auto"/>
              </w:rPr>
            </w:pPr>
            <w:r>
              <w:rPr>
                <w:rFonts w:ascii="Arial" w:cs="Arial" w:eastAsia="Arial" w:hAnsi="Arial"/>
                <w:sz w:val="18"/>
                <w:szCs w:val="18"/>
                <w:color w:val="auto"/>
                <w:w w:val="99"/>
              </w:rPr>
              <w:t>6%</w:t>
            </w: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b w:val="1"/>
                <w:bCs w:val="1"/>
                <w:color w:val="auto"/>
              </w:rPr>
              <w:t>2016 vs. 2015</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5"/>
          </w:tcPr>
          <w:p>
            <w:pPr>
              <w:jc w:val="center"/>
              <w:ind w:right="413"/>
              <w:spacing w:after="0" w:line="156" w:lineRule="exact"/>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Factors Contributing to Year-Over-Year Change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313"/>
              <w:spacing w:after="0" w:line="143"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Sales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Profit</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00" w:type="dxa"/>
            <w:vAlign w:val="bottom"/>
            <w:tcBorders>
              <w:top w:val="single" w:sz="8" w:color="auto"/>
            </w:tcBorders>
            <w:gridSpan w:val="4"/>
            <w:shd w:val="clear" w:color="auto" w:fill="E5FFFF"/>
          </w:tcPr>
          <w:p>
            <w:pPr>
              <w:ind w:left="40"/>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3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E5FFFF"/>
            </w:tcBorders>
            <w:shd w:val="clear" w:color="auto" w:fill="E5FF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5"/>
          </w:tcPr>
          <w:p>
            <w:pPr>
              <w:ind w:left="40"/>
              <w:spacing w:after="0"/>
              <w:rPr>
                <w:sz w:val="20"/>
                <w:szCs w:val="20"/>
                <w:color w:val="auto"/>
              </w:rPr>
            </w:pPr>
            <w:r>
              <w:rPr>
                <w:rFonts w:ascii="Arial" w:cs="Arial" w:eastAsia="Arial" w:hAnsi="Arial"/>
                <w:sz w:val="18"/>
                <w:szCs w:val="18"/>
                <w:color w:val="auto"/>
              </w:rPr>
              <w:t>Foreign exchange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5"/>
            <w:shd w:val="clear" w:color="auto" w:fill="E5FFFF"/>
          </w:tcPr>
          <w:p>
            <w:pPr>
              <w:ind w:left="40"/>
              <w:spacing w:after="0"/>
              <w:rPr>
                <w:sz w:val="20"/>
                <w:szCs w:val="20"/>
                <w:color w:val="auto"/>
              </w:rPr>
            </w:pPr>
            <w:r>
              <w:rPr>
                <w:rFonts w:ascii="Arial" w:cs="Arial" w:eastAsia="Arial" w:hAnsi="Arial"/>
                <w:sz w:val="18"/>
                <w:szCs w:val="18"/>
                <w:color w:val="auto"/>
              </w:rPr>
              <w:t>Acquisitions and divestitures, net</w:t>
            </w:r>
          </w:p>
        </w:tc>
        <w:tc>
          <w:tcPr>
            <w:tcW w:w="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53"/>
              <w:spacing w:after="0"/>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5"/>
          </w:tcPr>
          <w:p>
            <w:pPr>
              <w:ind w:left="40"/>
              <w:spacing w:after="0" w:line="197" w:lineRule="exact"/>
              <w:rPr>
                <w:sz w:val="20"/>
                <w:szCs w:val="20"/>
                <w:color w:val="auto"/>
              </w:rPr>
            </w:pPr>
            <w:r>
              <w:rPr>
                <w:rFonts w:ascii="Arial" w:cs="Arial" w:eastAsia="Arial" w:hAnsi="Arial"/>
                <w:sz w:val="18"/>
                <w:szCs w:val="18"/>
                <w:color w:val="auto"/>
              </w:rPr>
              <w:t>Total % Change</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-1131570</wp:posOffset>
            </wp:positionV>
            <wp:extent cx="977900" cy="685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0" cy="68580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-307975</wp:posOffset>
            </wp:positionV>
            <wp:extent cx="9779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13716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Aerospace sales increased primarily driven by growth from organic sales and acquisitions, net of divestitures, partially offset by the unfavorable impact of foreign currency translation.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4" w:name="page25"/>
    <w:bookmarkEnd w:id="24"/>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Aviation Original Equipment sales increased by 3% (increased 4% organic) driven primarily by higher business and general aviation engine shipments and demand from air transport and regional customers, partially offset by higher incentives to air transport and regional original equipment manufacturers (OEM Incentives).</w:t>
      </w:r>
    </w:p>
    <w:p>
      <w:pPr>
        <w:spacing w:after="0" w:line="202"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Aviation Aftermarket sales increased by 6% (increased 6% organic) driven primarily by higher repair and overhaul activities and increased spares shipments to air transport and regional customers.</w:t>
      </w:r>
    </w:p>
    <w:p>
      <w:pPr>
        <w:spacing w:after="0" w:line="196"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Defense and Space sales decreased by 1% (decreased 2% organic) primarily due to declines in international programs and lower U.S. government services revenue, partially offset by sales from the COM DEV acquisition.</w:t>
      </w:r>
    </w:p>
    <w:p>
      <w:pPr>
        <w:spacing w:after="0" w:line="196"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Systems sales increased by 3% (increased 6% organic) driven primarily by growth from new platform launches and higher global turbo penetration, partially offset by the unfavorable impact from foreign currency translation.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segment profit increased primarily due to an increase in operational segment profit, partially offset by the unfavorable impact from foreign currency translation. The increase in operational segment profit is driven primarily by productivity, net of inflation, and favorable pricing, partially offset by continued investments for growth. Cost of products and services sold increased primarily due to higher organic sales volumes, partially offset by productivity, net of inflation, and foreign currency translation.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Automation and Control Solutions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66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69"/>
        </w:trPr>
        <w:tc>
          <w:tcPr>
            <w:tcW w:w="66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66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800" w:type="dxa"/>
            <w:vAlign w:val="bottom"/>
            <w:tcBorders>
              <w:top w:val="single" w:sz="8" w:color="auto"/>
            </w:tcBorders>
            <w:shd w:val="clear" w:color="auto" w:fill="E5FFFF"/>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97"/>
              </w:rPr>
              <w:t>3,677</w:t>
            </w:r>
          </w:p>
        </w:tc>
        <w:tc>
          <w:tcPr>
            <w:tcW w:w="34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7"/>
              </w:rPr>
              <w:t>3,264</w:t>
            </w:r>
          </w:p>
        </w:tc>
        <w:tc>
          <w:tcPr>
            <w:tcW w:w="3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ind w:right="419"/>
              <w:spacing w:after="0" w:line="196" w:lineRule="exact"/>
              <w:rPr>
                <w:sz w:val="20"/>
                <w:szCs w:val="20"/>
                <w:color w:val="auto"/>
              </w:rPr>
            </w:pPr>
            <w:r>
              <w:rPr>
                <w:rFonts w:ascii="Arial" w:cs="Arial" w:eastAsia="Arial" w:hAnsi="Arial"/>
                <w:sz w:val="18"/>
                <w:szCs w:val="18"/>
                <w:color w:val="auto"/>
              </w:rPr>
              <w:t>13%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8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2,445</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2,089</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6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E5FFFF"/>
          </w:tcPr>
          <w:p>
            <w:pPr>
              <w:spacing w:after="0"/>
              <w:rPr>
                <w:sz w:val="18"/>
                <w:szCs w:val="18"/>
                <w:color w:val="auto"/>
              </w:rPr>
            </w:pPr>
          </w:p>
        </w:tc>
        <w:tc>
          <w:tcPr>
            <w:tcW w:w="60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623</w:t>
            </w:r>
          </w:p>
        </w:tc>
        <w:tc>
          <w:tcPr>
            <w:tcW w:w="3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5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587</w:t>
            </w:r>
          </w:p>
        </w:tc>
        <w:tc>
          <w:tcPr>
            <w:tcW w:w="32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r>
      <w:tr>
        <w:trPr>
          <w:trHeight w:val="230"/>
        </w:trPr>
        <w:tc>
          <w:tcPr>
            <w:tcW w:w="66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E5FF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E5FFFF"/>
            </w:tcBorders>
          </w:tcPr>
          <w:p>
            <w:pPr>
              <w:spacing w:after="0"/>
              <w:rPr>
                <w:sz w:val="19"/>
                <w:szCs w:val="19"/>
                <w:color w:val="auto"/>
              </w:rPr>
            </w:pPr>
          </w:p>
        </w:tc>
        <w:tc>
          <w:tcPr>
            <w:tcW w:w="1360" w:type="dxa"/>
            <w:vAlign w:val="bottom"/>
            <w:tcBorders>
              <w:bottom w:val="single" w:sz="8" w:color="E5FFFF"/>
            </w:tcBorders>
          </w:tcPr>
          <w:p>
            <w:pPr>
              <w:spacing w:after="0"/>
              <w:rPr>
                <w:sz w:val="19"/>
                <w:szCs w:val="19"/>
                <w:color w:val="auto"/>
              </w:rPr>
            </w:pPr>
          </w:p>
        </w:tc>
      </w:tr>
      <w:tr>
        <w:trPr>
          <w:trHeight w:val="196"/>
        </w:trPr>
        <w:tc>
          <w:tcPr>
            <w:tcW w:w="66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800" w:type="dxa"/>
            <w:vAlign w:val="bottom"/>
            <w:tcBorders>
              <w:bottom w:val="single" w:sz="8" w:color="auto"/>
            </w:tcBorders>
            <w:shd w:val="clear" w:color="auto" w:fill="E5FFFF"/>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rPr>
              <w:t>530</w:t>
            </w:r>
          </w:p>
        </w:tc>
        <w:tc>
          <w:tcPr>
            <w:tcW w:w="34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516</w:t>
            </w:r>
          </w:p>
        </w:tc>
        <w:tc>
          <w:tcPr>
            <w:tcW w:w="1680" w:type="dxa"/>
            <w:vAlign w:val="bottom"/>
            <w:gridSpan w:val="2"/>
            <w:shd w:val="clear" w:color="auto" w:fill="E5FFFF"/>
          </w:tcPr>
          <w:p>
            <w:pPr>
              <w:jc w:val="right"/>
              <w:ind w:right="459"/>
              <w:spacing w:after="0" w:line="196" w:lineRule="exact"/>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137160</wp:posOffset>
            </wp:positionV>
            <wp:extent cx="197485" cy="685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485" cy="685800"/>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4"/>
                <w:szCs w:val="14"/>
                <w:b w:val="1"/>
                <w:bCs w:val="1"/>
                <w:color w:val="auto"/>
              </w:rPr>
              <w:t>2016 vs. 2015</w:t>
            </w:r>
          </w:p>
        </w:tc>
        <w:tc>
          <w:tcPr>
            <w:tcW w:w="112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60" w:type="dxa"/>
            <w:vAlign w:val="bottom"/>
            <w:gridSpan w:val="4"/>
          </w:tcPr>
          <w:p>
            <w:pPr>
              <w:jc w:val="center"/>
              <w:ind w:right="156"/>
              <w:spacing w:after="0" w:line="156" w:lineRule="exact"/>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316"/>
              <w:spacing w:after="0" w:line="143" w:lineRule="exact"/>
              <w:rPr>
                <w:sz w:val="20"/>
                <w:szCs w:val="20"/>
                <w:color w:val="auto"/>
              </w:rPr>
            </w:pPr>
            <w:r>
              <w:rPr>
                <w:rFonts w:ascii="Arial" w:cs="Arial" w:eastAsia="Arial" w:hAnsi="Arial"/>
                <w:sz w:val="14"/>
                <w:szCs w:val="14"/>
                <w:b w:val="1"/>
                <w:bCs w:val="1"/>
                <w:color w:val="auto"/>
              </w:rPr>
              <w:t>Segment</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00" w:type="dxa"/>
            <w:vAlign w:val="bottom"/>
            <w:gridSpan w:val="2"/>
            <w:vMerge w:val="continue"/>
          </w:tcPr>
          <w:p>
            <w:pPr>
              <w:spacing w:after="0"/>
              <w:rPr>
                <w:sz w:val="15"/>
                <w:szCs w:val="15"/>
                <w:color w:val="auto"/>
              </w:rPr>
            </w:pPr>
          </w:p>
        </w:tc>
        <w:tc>
          <w:tcPr>
            <w:tcW w:w="1940" w:type="dxa"/>
            <w:vAlign w:val="bottom"/>
            <w:gridSpan w:val="3"/>
          </w:tcPr>
          <w:p>
            <w:pPr>
              <w:ind w:left="440"/>
              <w:spacing w:after="0"/>
              <w:rPr>
                <w:sz w:val="20"/>
                <w:szCs w:val="20"/>
                <w:color w:val="auto"/>
              </w:rPr>
            </w:pPr>
            <w:r>
              <w:rPr>
                <w:rFonts w:ascii="Arial" w:cs="Arial" w:eastAsia="Arial" w:hAnsi="Arial"/>
                <w:sz w:val="14"/>
                <w:szCs w:val="14"/>
                <w:b w:val="1"/>
                <w:bCs w:val="1"/>
                <w:color w:val="auto"/>
              </w:rPr>
              <w:t>Sales</w:t>
            </w:r>
          </w:p>
        </w:tc>
        <w:tc>
          <w:tcPr>
            <w:tcW w:w="266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3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15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Acquisitions and divestitures, net</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5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line="197" w:lineRule="exact"/>
              <w:rPr>
                <w:sz w:val="20"/>
                <w:szCs w:val="20"/>
                <w:color w:val="auto"/>
              </w:rPr>
            </w:pPr>
            <w:r>
              <w:rPr>
                <w:rFonts w:ascii="Arial" w:cs="Arial" w:eastAsia="Arial" w:hAnsi="Arial"/>
                <w:sz w:val="18"/>
                <w:szCs w:val="18"/>
                <w:color w:val="auto"/>
              </w:rPr>
              <w:t>Total % Change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-1019810</wp:posOffset>
            </wp:positionV>
            <wp:extent cx="780415" cy="574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0415" cy="57467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-307975</wp:posOffset>
            </wp:positionV>
            <wp:extent cx="97790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77900" cy="137160"/>
                    </a:xfrm>
                    <a:prstGeom prst="rect">
                      <a:avLst/>
                    </a:prstGeom>
                    <a:noFill/>
                  </pic:spPr>
                </pic:pic>
              </a:graphicData>
            </a:graphic>
          </wp:anchor>
        </w:drawing>
      </w:r>
    </w:p>
    <w:p>
      <w:pPr>
        <w:spacing w:after="0" w:line="18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ACS sales increased primarily due to growth from acquisitions and organic sales growth, partially offset by the unfavorable impact of foreign currency translation.</w:t>
      </w:r>
    </w:p>
    <w:p>
      <w:pPr>
        <w:spacing w:after="0" w:line="183" w:lineRule="exact"/>
        <w:rPr>
          <w:sz w:val="20"/>
          <w:szCs w:val="20"/>
          <w:color w:val="auto"/>
        </w:rPr>
      </w:pPr>
    </w:p>
    <w:p>
      <w:pPr>
        <w:jc w:val="both"/>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Energy, Safety &amp; Security increased by 16% (flat organic) principally due to the Elster acquisition partially offset by the unfavorable impact of foreign currency translation. Flat organic sales were primarily the result of increased sales volumes in Security and Fire across all regions offset by decreased sales volumes in Sensing &amp; Productivity Solutions.</w:t>
      </w:r>
    </w:p>
    <w:p>
      <w:pPr>
        <w:spacing w:after="0" w:line="202" w:lineRule="exact"/>
        <w:rPr>
          <w:rFonts w:ascii="Arial" w:cs="Arial" w:eastAsia="Arial" w:hAnsi="Arial"/>
          <w:sz w:val="18"/>
          <w:szCs w:val="18"/>
          <w:color w:val="auto"/>
        </w:rPr>
      </w:pPr>
    </w:p>
    <w:p>
      <w:pPr>
        <w:jc w:val="both"/>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Building Solutions &amp; Distribution increased by 5% (increased 11% organic) principally due to increased sales volume in the Americas Distribution business and growth in the project installation and services businesses, partially offset by the unfavorable impact of foreign currency translation.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5" w:name="page26"/>
    <w:bookmarkEnd w:id="25"/>
    <w:p>
      <w:pPr>
        <w:jc w:val="both"/>
        <w:ind w:firstLine="648"/>
        <w:spacing w:after="0" w:line="239" w:lineRule="auto"/>
        <w:rPr>
          <w:sz w:val="20"/>
          <w:szCs w:val="20"/>
          <w:color w:val="auto"/>
        </w:rPr>
      </w:pPr>
      <w:r>
        <w:rPr>
          <w:rFonts w:ascii="Arial" w:cs="Arial" w:eastAsia="Arial" w:hAnsi="Arial"/>
          <w:sz w:val="18"/>
          <w:szCs w:val="18"/>
          <w:color w:val="auto"/>
        </w:rPr>
        <w:t>ACS segment profit increased due to higher operational segment profit and acquisitions, partially offset by the unfavorable impact of foreign currency translation. The increase in operational segment profit is primarily due to the positive impact of price and productivity net of inflation, partially offset by continued investments for growth. Cost of products and services sold increased primarily due to acquisitions and higher sales volume partially offset by the favorable impact of foreign currency translation and productivity net of inflation.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66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69"/>
        </w:trPr>
        <w:tc>
          <w:tcPr>
            <w:tcW w:w="66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66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800" w:type="dxa"/>
            <w:vAlign w:val="bottom"/>
            <w:tcBorders>
              <w:top w:val="single" w:sz="8" w:color="auto"/>
            </w:tcBorders>
            <w:shd w:val="clear" w:color="auto" w:fill="E5FFFF"/>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97"/>
              </w:rPr>
              <w:t>2,140</w:t>
            </w:r>
          </w:p>
        </w:tc>
        <w:tc>
          <w:tcPr>
            <w:tcW w:w="34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7"/>
              </w:rPr>
              <w:t>2,342</w:t>
            </w:r>
          </w:p>
        </w:tc>
        <w:tc>
          <w:tcPr>
            <w:tcW w:w="3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ind w:right="399"/>
              <w:spacing w:after="0" w:line="196" w:lineRule="exact"/>
              <w:rPr>
                <w:sz w:val="20"/>
                <w:szCs w:val="20"/>
                <w:color w:val="auto"/>
              </w:rPr>
            </w:pPr>
            <w:r>
              <w:rPr>
                <w:rFonts w:ascii="Arial" w:cs="Arial" w:eastAsia="Arial" w:hAnsi="Arial"/>
                <w:sz w:val="18"/>
                <w:szCs w:val="18"/>
                <w:color w:val="auto"/>
              </w:rPr>
              <w:t>(9)%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80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1,430</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1,582</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6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E5FFFF"/>
          </w:tcPr>
          <w:p>
            <w:pPr>
              <w:spacing w:after="0"/>
              <w:rPr>
                <w:sz w:val="18"/>
                <w:szCs w:val="18"/>
                <w:color w:val="auto"/>
              </w:rPr>
            </w:pPr>
          </w:p>
        </w:tc>
        <w:tc>
          <w:tcPr>
            <w:tcW w:w="60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232</w:t>
            </w:r>
          </w:p>
        </w:tc>
        <w:tc>
          <w:tcPr>
            <w:tcW w:w="3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5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r>
      <w:tr>
        <w:trPr>
          <w:trHeight w:val="230"/>
        </w:trPr>
        <w:tc>
          <w:tcPr>
            <w:tcW w:w="66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E5FF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E5FFFF"/>
            </w:tcBorders>
          </w:tcPr>
          <w:p>
            <w:pPr>
              <w:spacing w:after="0"/>
              <w:rPr>
                <w:sz w:val="19"/>
                <w:szCs w:val="19"/>
                <w:color w:val="auto"/>
              </w:rPr>
            </w:pPr>
          </w:p>
        </w:tc>
        <w:tc>
          <w:tcPr>
            <w:tcW w:w="1360" w:type="dxa"/>
            <w:vAlign w:val="bottom"/>
            <w:tcBorders>
              <w:bottom w:val="single" w:sz="8" w:color="E5FFFF"/>
            </w:tcBorders>
          </w:tcPr>
          <w:p>
            <w:pPr>
              <w:spacing w:after="0"/>
              <w:rPr>
                <w:sz w:val="19"/>
                <w:szCs w:val="19"/>
                <w:color w:val="auto"/>
              </w:rPr>
            </w:pPr>
          </w:p>
        </w:tc>
      </w:tr>
      <w:tr>
        <w:trPr>
          <w:trHeight w:val="196"/>
        </w:trPr>
        <w:tc>
          <w:tcPr>
            <w:tcW w:w="66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800" w:type="dxa"/>
            <w:vAlign w:val="bottom"/>
            <w:tcBorders>
              <w:bottom w:val="single" w:sz="8" w:color="auto"/>
            </w:tcBorders>
            <w:shd w:val="clear" w:color="auto" w:fill="E5FFFF"/>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rPr>
              <w:t>441</w:t>
            </w:r>
          </w:p>
        </w:tc>
        <w:tc>
          <w:tcPr>
            <w:tcW w:w="34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503</w:t>
            </w:r>
          </w:p>
        </w:tc>
        <w:tc>
          <w:tcPr>
            <w:tcW w:w="1680" w:type="dxa"/>
            <w:vAlign w:val="bottom"/>
            <w:gridSpan w:val="2"/>
            <w:shd w:val="clear" w:color="auto" w:fill="E5FFFF"/>
          </w:tcPr>
          <w:p>
            <w:pPr>
              <w:jc w:val="right"/>
              <w:ind w:right="359"/>
              <w:spacing w:after="0" w:line="196" w:lineRule="exact"/>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137160</wp:posOffset>
            </wp:positionV>
            <wp:extent cx="197485" cy="591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485" cy="591820"/>
                    </a:xfrm>
                    <a:prstGeom prst="rect">
                      <a:avLst/>
                    </a:prstGeom>
                    <a:noFill/>
                  </pic:spPr>
                </pic:pic>
              </a:graphicData>
            </a:graphic>
          </wp:anchor>
        </w:drawing>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0" w:type="dxa"/>
            <w:vAlign w:val="bottom"/>
            <w:gridSpan w:val="5"/>
          </w:tcPr>
          <w:p>
            <w:pPr>
              <w:jc w:val="center"/>
              <w:ind w:right="176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60" w:type="dxa"/>
            <w:vAlign w:val="bottom"/>
            <w:tcBorders>
              <w:top w:val="single" w:sz="8" w:color="auto"/>
            </w:tcBorders>
            <w:gridSpan w:val="4"/>
          </w:tcPr>
          <w:p>
            <w:pPr>
              <w:jc w:val="center"/>
              <w:ind w:right="154"/>
              <w:spacing w:after="0" w:line="156" w:lineRule="exact"/>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00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76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gridSpan w:val="2"/>
            <w:vMerge w:val="continue"/>
          </w:tcPr>
          <w:p>
            <w:pPr>
              <w:spacing w:after="0"/>
              <w:rPr>
                <w:sz w:val="14"/>
                <w:szCs w:val="14"/>
                <w:color w:val="auto"/>
              </w:rPr>
            </w:pPr>
          </w:p>
        </w:tc>
        <w:tc>
          <w:tcPr>
            <w:tcW w:w="1760" w:type="dxa"/>
            <w:vAlign w:val="bottom"/>
            <w:gridSpan w:val="3"/>
          </w:tcPr>
          <w:p>
            <w:pPr>
              <w:ind w:left="440"/>
              <w:spacing w:after="0"/>
              <w:rPr>
                <w:sz w:val="20"/>
                <w:szCs w:val="20"/>
                <w:color w:val="auto"/>
              </w:rPr>
            </w:pPr>
            <w:r>
              <w:rPr>
                <w:rFonts w:ascii="Arial" w:cs="Arial" w:eastAsia="Arial" w:hAnsi="Arial"/>
                <w:sz w:val="14"/>
                <w:szCs w:val="14"/>
                <w:b w:val="1"/>
                <w:bCs w:val="1"/>
                <w:color w:val="auto"/>
              </w:rPr>
              <w:t>Sales</w:t>
            </w:r>
          </w:p>
        </w:tc>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Segment Profit</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w:t>
            </w:r>
          </w:p>
        </w:tc>
        <w:tc>
          <w:tcPr>
            <w:tcW w:w="30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w:t>
            </w:r>
          </w:p>
        </w:tc>
        <w:tc>
          <w:tcPr>
            <w:tcW w:w="15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Acquisitions and divestitures, net</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E5FFFF"/>
          </w:tcPr>
          <w:p>
            <w:pPr>
              <w:spacing w:after="0"/>
              <w:rPr>
                <w:sz w:val="18"/>
                <w:szCs w:val="18"/>
                <w:color w:val="auto"/>
              </w:rPr>
            </w:pPr>
          </w:p>
        </w:tc>
        <w:tc>
          <w:tcPr>
            <w:tcW w:w="80" w:type="dxa"/>
            <w:vAlign w:val="bottom"/>
            <w:tcBorders>
              <w:bottom w:val="single" w:sz="8" w:color="auto"/>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5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00" w:type="dxa"/>
            <w:vAlign w:val="bottom"/>
            <w:gridSpan w:val="2"/>
          </w:tcPr>
          <w:p>
            <w:pPr>
              <w:spacing w:after="0" w:line="196" w:lineRule="exact"/>
              <w:rPr>
                <w:sz w:val="20"/>
                <w:szCs w:val="20"/>
                <w:color w:val="auto"/>
              </w:rPr>
            </w:pPr>
            <w:r>
              <w:rPr>
                <w:rFonts w:ascii="Arial" w:cs="Arial" w:eastAsia="Arial" w:hAnsi="Arial"/>
                <w:sz w:val="18"/>
                <w:szCs w:val="18"/>
                <w:color w:val="auto"/>
              </w:rPr>
              <w:t>Total % Change</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-899795</wp:posOffset>
            </wp:positionV>
            <wp:extent cx="780415"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0415" cy="48006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-282575</wp:posOffset>
            </wp:positionV>
            <wp:extent cx="97790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900" cy="137160"/>
                    </a:xfrm>
                    <a:prstGeom prst="rect">
                      <a:avLst/>
                    </a:prstGeom>
                    <a:noFill/>
                  </pic:spPr>
                </pic:pic>
              </a:graphicData>
            </a:graphic>
          </wp:anchor>
        </w:drawing>
      </w:r>
    </w:p>
    <w:p>
      <w:pPr>
        <w:spacing w:after="0" w:line="18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PMT sales decreased due to a decrease in organic sales volumes and the unfavorable impact of foreign currency translation, partially offset by growth from acquisitions.</w:t>
      </w:r>
    </w:p>
    <w:p>
      <w:pPr>
        <w:spacing w:after="0" w:line="183" w:lineRule="exact"/>
        <w:rPr>
          <w:sz w:val="20"/>
          <w:szCs w:val="20"/>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decreased 38% (decreased 37% organic) driven primarily by lower gas processing revenues due to a significant slowdown in customer projects, which is expected to continue, decreased catalyst volumes, which are expected to moderate during the year, and decreased equipment sales.</w:t>
      </w:r>
    </w:p>
    <w:p>
      <w:pPr>
        <w:spacing w:after="0" w:line="20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Solutions sales increased 10% (increased 9% organic) driven primarily by higher revenues in projects and increased volumes in field products driven by the Elster acquisition, partially offset by the unfavorable impact of foreign currency translation.</w:t>
      </w:r>
    </w:p>
    <w:p>
      <w:pPr>
        <w:spacing w:after="0" w:line="196"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increased 10% (increased 7% organic) primarily driven by increased volumes in Fluorine Products and Specialty Products, partially offset by lower raw material pass-through pricing in Resins and Chemicals.</w:t>
      </w:r>
    </w:p>
    <w:p>
      <w:pPr>
        <w:spacing w:after="0" w:line="19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PMT segment profit decreased due to a decrease in operational segment profit and the unfavorable impact of foreign currency translation, partially offset by acquisitions. The decrease in operational segment profit is primarily due to lower organic sales volume, particularly in UOP as described above. Cost of products and services sold decreased primarily due to the favorable impacts of lower organic sales volumes, foreign currency translation, productivity and inflation, partially offset by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Charges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repositioning actions are expected to generate incremental pretax savings of $175 million to $200 million in 2016 compared with 2015 principally from planned workforce reductions. Cash spending related to our repositioning actions was $54 million in the three months ended March 31, 2016 and was funded through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6" w:name="page27"/>
    <w:bookmarkEnd w:id="26"/>
    <w:p>
      <w:pPr>
        <w:jc w:val="both"/>
        <w:spacing w:after="0" w:line="246" w:lineRule="auto"/>
        <w:rPr>
          <w:sz w:val="20"/>
          <w:szCs w:val="20"/>
          <w:color w:val="auto"/>
        </w:rPr>
      </w:pPr>
      <w:r>
        <w:rPr>
          <w:rFonts w:ascii="Arial" w:cs="Arial" w:eastAsia="Arial" w:hAnsi="Arial"/>
          <w:sz w:val="18"/>
          <w:szCs w:val="18"/>
          <w:color w:val="auto"/>
        </w:rPr>
        <w:t>operating cash flows. In 2016, we expect cash spending for repositioning actions to be approximately $175 million and to be funded through operating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8" w:lineRule="exact"/>
        <w:rPr>
          <w:sz w:val="20"/>
          <w:szCs w:val="20"/>
          <w:color w:val="auto"/>
        </w:rPr>
      </w:pPr>
    </w:p>
    <w:tbl>
      <w:tblPr>
        <w:tblLayout w:type="fixed"/>
        <w:tblInd w:w="104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r>
      <w:tr>
        <w:trPr>
          <w:trHeight w:val="169"/>
        </w:trPr>
        <w:tc>
          <w:tcPr>
            <w:tcW w:w="5560" w:type="dxa"/>
            <w:vAlign w:val="bottom"/>
            <w:tcBorders>
              <w:bottom w:val="single" w:sz="8" w:color="E5FFFF"/>
            </w:tcBorders>
          </w:tcPr>
          <w:p>
            <w:pPr>
              <w:spacing w:after="0"/>
              <w:rPr>
                <w:sz w:val="14"/>
                <w:szCs w:val="14"/>
                <w:color w:val="auto"/>
              </w:rPr>
            </w:pPr>
          </w:p>
        </w:tc>
        <w:tc>
          <w:tcPr>
            <w:tcW w:w="128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E5FFFF"/>
            </w:tcBorders>
          </w:tcPr>
          <w:p>
            <w:pPr>
              <w:spacing w:after="0"/>
              <w:rPr>
                <w:sz w:val="14"/>
                <w:szCs w:val="14"/>
                <w:color w:val="auto"/>
              </w:rPr>
            </w:pPr>
          </w:p>
        </w:tc>
        <w:tc>
          <w:tcPr>
            <w:tcW w:w="2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196"/>
        </w:trPr>
        <w:tc>
          <w:tcPr>
            <w:tcW w:w="5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260" w:type="dxa"/>
            <w:vAlign w:val="bottom"/>
          </w:tcPr>
          <w:p>
            <w:pPr>
              <w:spacing w:after="0"/>
              <w:rPr>
                <w:sz w:val="17"/>
                <w:szCs w:val="17"/>
                <w:color w:val="auto"/>
              </w:rPr>
            </w:pPr>
          </w:p>
        </w:tc>
        <w:tc>
          <w:tcPr>
            <w:tcW w:w="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421</w:t>
            </w:r>
          </w:p>
        </w:tc>
      </w:tr>
      <w:tr>
        <w:trPr>
          <w:trHeight w:val="203"/>
        </w:trPr>
        <w:tc>
          <w:tcPr>
            <w:tcW w:w="55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(1,196)</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(920)</w:t>
            </w: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367</w:t>
            </w:r>
          </w:p>
        </w:tc>
      </w:tr>
      <w:tr>
        <w:trPr>
          <w:trHeight w:val="216"/>
        </w:trPr>
        <w:tc>
          <w:tcPr>
            <w:tcW w:w="55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(252)</w:t>
            </w:r>
          </w:p>
        </w:tc>
      </w:tr>
      <w:tr>
        <w:trPr>
          <w:trHeight w:val="210"/>
        </w:trPr>
        <w:tc>
          <w:tcPr>
            <w:tcW w:w="5560" w:type="dxa"/>
            <w:vAlign w:val="bottom"/>
          </w:tcPr>
          <w:p>
            <w:pPr>
              <w:spacing w:after="0" w:line="197" w:lineRule="exact"/>
              <w:rPr>
                <w:sz w:val="20"/>
                <w:szCs w:val="20"/>
                <w:color w:val="auto"/>
              </w:rPr>
            </w:pPr>
            <w:r>
              <w:rPr>
                <w:rFonts w:ascii="Arial" w:cs="Arial" w:eastAsia="Arial" w:hAnsi="Arial"/>
                <w:sz w:val="18"/>
                <w:szCs w:val="18"/>
                <w:color w:val="auto"/>
              </w:rPr>
              <w:t>Net (decrease) increase in cash and cash equivalents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(982)</w:t>
            </w:r>
          </w:p>
        </w:tc>
        <w:tc>
          <w:tcPr>
            <w:tcW w:w="2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5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provided by operating activities decreased by $164 million primarily due to increased cash tax payments of $202 million, partially offset by the absence of $151 million in OEM incentive payments in 2015.</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used for investing activities increased by $ 276 million primarily due to an increase in cash paid for acquisitions of $871 million most significantly Xtralis International Holdings Limited and COM DEV International, partially offset by a net $439 million decrease in investments, primarily short term marketable securities and a decrease of $187 million in settlement payments of foreign currency exchange contracts used as economic hedges on certain non-functional currency denominated monetary assets and liabilities.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used for financing activities increased by $528 million primarily due to (i) an increase in net repurchases of common stock of $766 million, (ii) the acquisition of the remaining 30% noncontrolling interest of UOP Russell LLC for $238 million and (iii) an increase in cash dividends paid of $84 million including amounts paid to former UOP Russell LLC noncontrolling shareholder, partially offset by an increase in the net proceeds from debt issuances of $559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2016, we are not required to make contributions to our U.S. pension plans. We plan to make contributions of cash and/or marketable securities of approximately $160 million ($106 million of marketable securities were contributed in January 2016) to our non-U.S. plans to satisfy regulatory funding requirements.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three months ended March 31, 2016, the Company repurchased $1,156 million of outstanding shares. Under the Company’s previously reported $5 billion share repurchase program, $1.0 billion remained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7" w:name="page28"/>
    <w:bookmarkEnd w:id="27"/>
    <w:p>
      <w:pPr>
        <w:jc w:val="both"/>
        <w:spacing w:after="0" w:line="239" w:lineRule="auto"/>
        <w:rPr>
          <w:sz w:val="20"/>
          <w:szCs w:val="20"/>
          <w:color w:val="auto"/>
        </w:rPr>
      </w:pPr>
      <w:r>
        <w:rPr>
          <w:rFonts w:ascii="Arial" w:cs="Arial" w:eastAsia="Arial" w:hAnsi="Arial"/>
          <w:sz w:val="18"/>
          <w:szCs w:val="18"/>
          <w:color w:val="auto"/>
        </w:rPr>
        <w:t>available as of March 31, 2016 for additional share repurchases. Honeywell presently expects to repurchase outstanding shares from time to time to offset the dilutive impact over the long-term of employee stock 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3 Acquisitions and Note 8 Long-term Debt and Credit Agreements of Notes to Financial Statements for additional discussion of items impacting our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13 Commitments and Contingencies of Notes to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financial information as of March 31, 2016 should be read in conjunction with the financial statements for the year ended December 31, 2015 contained in our 2015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See Note 2 Recent Accounting Pronouncements of Notes to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2015 Annual Report on Form 10-K. As of March 31, 2016,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CEO, our CFO,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13 Commitments and Contingencies of Notes to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Honeywell purchased 11,156,747 shares of its common stock, par value $ 1 per share, in the quarter ended March 31, 2016. The following table summarizes Honeywell’s purchase of its common stock for the quarter ended March 31, 2016:</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20" w:type="dxa"/>
            <w:vAlign w:val="bottom"/>
            <w:gridSpan w:val="6"/>
          </w:tcPr>
          <w:p>
            <w:pPr>
              <w:ind w:left="80"/>
              <w:spacing w:after="0"/>
              <w:rPr>
                <w:sz w:val="20"/>
                <w:szCs w:val="20"/>
                <w:color w:val="auto"/>
              </w:rPr>
            </w:pPr>
            <w:r>
              <w:rPr>
                <w:rFonts w:ascii="Arial" w:cs="Arial" w:eastAsia="Arial" w:hAnsi="Arial"/>
                <w:sz w:val="14"/>
                <w:szCs w:val="14"/>
                <w:b w:val="1"/>
                <w:bCs w:val="1"/>
                <w:color w:val="auto"/>
              </w:rPr>
              <w:t>Issuer Purchases of Equity Securities</w:t>
            </w:r>
          </w:p>
        </w:tc>
        <w:tc>
          <w:tcPr>
            <w:tcW w:w="260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(b)</w:t>
            </w:r>
          </w:p>
        </w:tc>
        <w:tc>
          <w:tcPr>
            <w:tcW w:w="2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 )</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 Number</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of Shares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Purchased as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Part of Publicly</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1620" w:type="dxa"/>
            <w:vAlign w:val="bottom"/>
            <w:gridSpan w:val="3"/>
          </w:tcPr>
          <w:p>
            <w:pPr>
              <w:ind w:left="260"/>
              <w:spacing w:after="0"/>
              <w:rPr>
                <w:sz w:val="20"/>
                <w:szCs w:val="20"/>
                <w:color w:val="auto"/>
              </w:rPr>
            </w:pPr>
            <w:r>
              <w:rPr>
                <w:rFonts w:ascii="Arial" w:cs="Arial" w:eastAsia="Arial" w:hAnsi="Arial"/>
                <w:sz w:val="14"/>
                <w:szCs w:val="14"/>
                <w:b w:val="1"/>
                <w:bCs w:val="1"/>
                <w:color w:val="auto"/>
              </w:rPr>
              <w:t>Price Paid</w:t>
            </w: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Announced Plans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740" w:type="dxa"/>
            <w:vAlign w:val="bottom"/>
            <w:gridSpan w:val="2"/>
          </w:tcPr>
          <w:p>
            <w:pPr>
              <w:ind w:left="96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5"/>
                <w:szCs w:val="15"/>
                <w:color w:val="auto"/>
              </w:rPr>
            </w:pPr>
          </w:p>
        </w:tc>
        <w:tc>
          <w:tcPr>
            <w:tcW w:w="1620" w:type="dxa"/>
            <w:vAlign w:val="bottom"/>
            <w:gridSpan w:val="3"/>
          </w:tcPr>
          <w:p>
            <w:pPr>
              <w:ind w:left="280"/>
              <w:spacing w:after="0"/>
              <w:rPr>
                <w:sz w:val="20"/>
                <w:szCs w:val="20"/>
                <w:color w:val="auto"/>
              </w:rPr>
            </w:pPr>
            <w:r>
              <w:rPr>
                <w:rFonts w:ascii="Arial" w:cs="Arial" w:eastAsia="Arial" w:hAnsi="Arial"/>
                <w:sz w:val="14"/>
                <w:szCs w:val="14"/>
                <w:b w:val="1"/>
                <w:bCs w:val="1"/>
                <w:color w:val="auto"/>
              </w:rPr>
              <w:t>per Share</w:t>
            </w:r>
          </w:p>
        </w:tc>
        <w:tc>
          <w:tcPr>
            <w:tcW w:w="2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or Programs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210"/>
        </w:trPr>
        <w:tc>
          <w:tcPr>
            <w:tcW w:w="2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r>
      <w:tr>
        <w:trPr>
          <w:trHeight w:val="216"/>
        </w:trPr>
        <w:tc>
          <w:tcPr>
            <w:tcW w:w="2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January 2016</w:t>
            </w:r>
          </w:p>
        </w:tc>
        <w:tc>
          <w:tcPr>
            <w:tcW w:w="12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1,402,596</w:t>
            </w:r>
          </w:p>
        </w:tc>
        <w:tc>
          <w:tcPr>
            <w:tcW w:w="740" w:type="dxa"/>
            <w:vAlign w:val="bottom"/>
            <w:gridSpan w:val="2"/>
            <w:shd w:val="clear" w:color="auto" w:fill="E5FF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274"/>
              <w:spacing w:after="0"/>
              <w:rPr>
                <w:sz w:val="20"/>
                <w:szCs w:val="20"/>
                <w:color w:val="auto"/>
              </w:rPr>
            </w:pPr>
            <w:r>
              <w:rPr>
                <w:rFonts w:ascii="Arial" w:cs="Arial" w:eastAsia="Arial" w:hAnsi="Arial"/>
                <w:sz w:val="18"/>
                <w:szCs w:val="18"/>
                <w:color w:val="auto"/>
              </w:rPr>
              <w:t>96.04</w:t>
            </w:r>
          </w:p>
        </w:tc>
        <w:tc>
          <w:tcPr>
            <w:tcW w:w="320" w:type="dxa"/>
            <w:vAlign w:val="bottom"/>
            <w:shd w:val="clear" w:color="auto" w:fill="E5FFFF"/>
          </w:tcPr>
          <w:p>
            <w:pPr>
              <w:spacing w:after="0"/>
              <w:rPr>
                <w:sz w:val="18"/>
                <w:szCs w:val="18"/>
                <w:color w:val="auto"/>
              </w:rPr>
            </w:pPr>
          </w:p>
        </w:tc>
        <w:tc>
          <w:tcPr>
            <w:tcW w:w="1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1,402,596</w:t>
            </w:r>
          </w:p>
        </w:tc>
        <w:tc>
          <w:tcPr>
            <w:tcW w:w="320" w:type="dxa"/>
            <w:vAlign w:val="bottom"/>
            <w:shd w:val="clear" w:color="auto" w:fill="E5FFFF"/>
          </w:tcPr>
          <w:p>
            <w:pPr>
              <w:spacing w:after="0"/>
              <w:rPr>
                <w:sz w:val="18"/>
                <w:szCs w:val="18"/>
                <w:color w:val="auto"/>
              </w:rPr>
            </w:pPr>
          </w:p>
        </w:tc>
        <w:tc>
          <w:tcPr>
            <w:tcW w:w="260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$2,057</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February 2016</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8,754,151</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w w:val="94"/>
              </w:rPr>
              <w:t>104.96</w:t>
            </w:r>
          </w:p>
        </w:tc>
        <w:tc>
          <w:tcPr>
            <w:tcW w:w="3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8,754,151</w:t>
            </w:r>
          </w:p>
        </w:tc>
        <w:tc>
          <w:tcPr>
            <w:tcW w:w="3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rPr>
              <w:t>$1,138</w:t>
            </w:r>
          </w:p>
        </w:tc>
      </w:tr>
      <w:tr>
        <w:trPr>
          <w:trHeight w:val="216"/>
        </w:trPr>
        <w:tc>
          <w:tcPr>
            <w:tcW w:w="274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March 2016</w:t>
            </w:r>
          </w:p>
        </w:tc>
        <w:tc>
          <w:tcPr>
            <w:tcW w:w="12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1,000,000</w:t>
            </w:r>
          </w:p>
        </w:tc>
        <w:tc>
          <w:tcPr>
            <w:tcW w:w="740" w:type="dxa"/>
            <w:vAlign w:val="bottom"/>
            <w:gridSpan w:val="2"/>
            <w:shd w:val="clear" w:color="auto" w:fill="E5FF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274"/>
              <w:spacing w:after="0"/>
              <w:rPr>
                <w:sz w:val="20"/>
                <w:szCs w:val="20"/>
                <w:color w:val="auto"/>
              </w:rPr>
            </w:pPr>
            <w:r>
              <w:rPr>
                <w:rFonts w:ascii="Arial" w:cs="Arial" w:eastAsia="Arial" w:hAnsi="Arial"/>
                <w:sz w:val="18"/>
                <w:szCs w:val="18"/>
                <w:color w:val="auto"/>
                <w:w w:val="94"/>
              </w:rPr>
              <w:t>102.52</w:t>
            </w:r>
          </w:p>
        </w:tc>
        <w:tc>
          <w:tcPr>
            <w:tcW w:w="320" w:type="dxa"/>
            <w:vAlign w:val="bottom"/>
            <w:shd w:val="clear" w:color="auto" w:fill="E5FFFF"/>
          </w:tcPr>
          <w:p>
            <w:pPr>
              <w:spacing w:after="0"/>
              <w:rPr>
                <w:sz w:val="18"/>
                <w:szCs w:val="18"/>
                <w:color w:val="auto"/>
              </w:rPr>
            </w:pPr>
          </w:p>
        </w:tc>
        <w:tc>
          <w:tcPr>
            <w:tcW w:w="19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1,000,000</w:t>
            </w:r>
          </w:p>
        </w:tc>
        <w:tc>
          <w:tcPr>
            <w:tcW w:w="320" w:type="dxa"/>
            <w:vAlign w:val="bottom"/>
            <w:shd w:val="clear" w:color="auto" w:fill="E5FFFF"/>
          </w:tcPr>
          <w:p>
            <w:pPr>
              <w:spacing w:after="0"/>
              <w:rPr>
                <w:sz w:val="18"/>
                <w:szCs w:val="18"/>
                <w:color w:val="auto"/>
              </w:rPr>
            </w:pPr>
          </w:p>
        </w:tc>
        <w:tc>
          <w:tcPr>
            <w:tcW w:w="260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$1,036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660" w:hanging="4964"/>
        <w:spacing w:after="0" w:line="481" w:lineRule="auto"/>
        <w:tabs>
          <w:tab w:leader="none" w:pos="986"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the Exhibit Index on page 31 of this Quarterly Report on Form 10-Q.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7800" w:type="dxa"/>
            <w:vAlign w:val="bottom"/>
            <w:gridSpan w:val="3"/>
          </w:tcPr>
          <w:p>
            <w:pPr>
              <w:ind w:left="3420"/>
              <w:spacing w:after="0"/>
              <w:rPr>
                <w:sz w:val="20"/>
                <w:szCs w:val="20"/>
                <w:color w:val="auto"/>
              </w:rPr>
            </w:pPr>
            <w:r>
              <w:rPr>
                <w:rFonts w:ascii="Arial" w:cs="Arial" w:eastAsia="Arial" w:hAnsi="Arial"/>
                <w:sz w:val="18"/>
                <w:szCs w:val="18"/>
                <w:color w:val="auto"/>
              </w:rPr>
              <w:t>Honeywell International Inc.</w:t>
            </w:r>
          </w:p>
        </w:tc>
      </w:tr>
      <w:tr>
        <w:trPr>
          <w:trHeight w:val="392"/>
        </w:trPr>
        <w:tc>
          <w:tcPr>
            <w:tcW w:w="3620" w:type="dxa"/>
            <w:vAlign w:val="bottom"/>
          </w:tcPr>
          <w:p>
            <w:pPr>
              <w:spacing w:after="0"/>
              <w:rPr>
                <w:sz w:val="20"/>
                <w:szCs w:val="20"/>
                <w:color w:val="auto"/>
              </w:rPr>
            </w:pPr>
            <w:r>
              <w:rPr>
                <w:rFonts w:ascii="Arial" w:cs="Arial" w:eastAsia="Arial" w:hAnsi="Arial"/>
                <w:sz w:val="18"/>
                <w:szCs w:val="18"/>
                <w:color w:val="auto"/>
              </w:rPr>
              <w:t>Date: April 22, 2016</w:t>
            </w:r>
          </w:p>
        </w:tc>
        <w:tc>
          <w:tcPr>
            <w:tcW w:w="7800" w:type="dxa"/>
            <w:vAlign w:val="bottom"/>
            <w:gridSpan w:val="3"/>
          </w:tcPr>
          <w:p>
            <w:pPr>
              <w:ind w:left="3240"/>
              <w:spacing w:after="0"/>
              <w:rPr>
                <w:sz w:val="20"/>
                <w:szCs w:val="20"/>
                <w:color w:val="auto"/>
              </w:rPr>
            </w:pPr>
            <w:r>
              <w:rPr>
                <w:rFonts w:ascii="Arial" w:cs="Arial" w:eastAsia="Arial" w:hAnsi="Arial"/>
                <w:sz w:val="18"/>
                <w:szCs w:val="18"/>
                <w:color w:val="auto"/>
              </w:rPr>
              <w:t>By:  /s/ Adam M. Matteo</w:t>
            </w:r>
          </w:p>
        </w:tc>
      </w:tr>
      <w:tr>
        <w:trPr>
          <w:trHeight w:val="182"/>
        </w:trPr>
        <w:tc>
          <w:tcPr>
            <w:tcW w:w="36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Adam M. Matteo</w:t>
            </w:r>
          </w:p>
        </w:tc>
        <w:tc>
          <w:tcPr>
            <w:tcW w:w="2540" w:type="dxa"/>
            <w:vAlign w:val="bottom"/>
          </w:tcPr>
          <w:p>
            <w:pPr>
              <w:spacing w:after="0"/>
              <w:rPr>
                <w:sz w:val="15"/>
                <w:szCs w:val="15"/>
                <w:color w:val="auto"/>
              </w:rPr>
            </w:pPr>
          </w:p>
        </w:tc>
      </w:tr>
      <w:tr>
        <w:trPr>
          <w:trHeight w:val="203"/>
        </w:trPr>
        <w:tc>
          <w:tcPr>
            <w:tcW w:w="3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6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620" w:type="dxa"/>
            <w:vAlign w:val="bottom"/>
          </w:tcPr>
          <w:p>
            <w:pPr>
              <w:spacing w:after="0"/>
              <w:rPr>
                <w:sz w:val="24"/>
                <w:szCs w:val="24"/>
                <w:color w:val="auto"/>
              </w:rPr>
            </w:pPr>
          </w:p>
        </w:tc>
        <w:tc>
          <w:tcPr>
            <w:tcW w:w="3700" w:type="dxa"/>
            <w:vAlign w:val="bottom"/>
          </w:tcPr>
          <w:p>
            <w:pPr>
              <w:jc w:val="right"/>
              <w:ind w:right="1410"/>
              <w:spacing w:after="0"/>
              <w:rPr>
                <w:sz w:val="20"/>
                <w:szCs w:val="20"/>
                <w:color w:val="auto"/>
              </w:rPr>
            </w:pPr>
            <w:r>
              <w:rPr>
                <w:rFonts w:ascii="Arial" w:cs="Arial" w:eastAsia="Arial" w:hAnsi="Arial"/>
                <w:sz w:val="18"/>
                <w:szCs w:val="18"/>
                <w:color w:val="auto"/>
              </w:rPr>
              <w:t>30</w:t>
            </w: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7"/>
        </w:trPr>
        <w:tc>
          <w:tcPr>
            <w:tcW w:w="3620" w:type="dxa"/>
            <w:vAlign w:val="bottom"/>
            <w:tcBorders>
              <w:bottom w:val="single" w:sz="8" w:color="C0C0C0"/>
            </w:tcBorders>
          </w:tcPr>
          <w:p>
            <w:pPr>
              <w:spacing w:after="0"/>
              <w:rPr>
                <w:sz w:val="20"/>
                <w:szCs w:val="20"/>
                <w:color w:val="auto"/>
              </w:rPr>
            </w:pPr>
          </w:p>
        </w:tc>
        <w:tc>
          <w:tcPr>
            <w:tcW w:w="370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w:t>
            </w:r>
          </w:p>
        </w:tc>
        <w:tc>
          <w:tcPr>
            <w:tcW w:w="340" w:type="dxa"/>
            <w:vAlign w:val="bottom"/>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20" w:type="dxa"/>
            <w:vAlign w:val="bottom"/>
          </w:tcPr>
          <w:p>
            <w:pPr>
              <w:spacing w:after="0"/>
              <w:rPr>
                <w:sz w:val="18"/>
                <w:szCs w:val="18"/>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0"/>
              </w:rPr>
              <w:t>10.1*</w:t>
            </w:r>
          </w:p>
        </w:tc>
        <w:tc>
          <w:tcPr>
            <w:tcW w:w="3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Letter Agreement dated February 24, 2012 between Honeywell and Darius Adamczyk (filed herewith)</w:t>
            </w:r>
          </w:p>
        </w:tc>
      </w:tr>
    </w:tbl>
    <w:p>
      <w:pPr>
        <w:spacing w:after="0" w:line="157"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Computation of Per Share Earnings</w:t>
      </w:r>
      <w:r>
        <w:rPr>
          <w:rFonts w:ascii="Arial" w:cs="Arial" w:eastAsia="Arial" w:hAnsi="Arial"/>
          <w:sz w:val="30"/>
          <w:szCs w:val="30"/>
          <w:color w:val="auto"/>
          <w:vertAlign w:val="superscript"/>
        </w:rPr>
        <w:t>(1)</w:t>
      </w:r>
    </w:p>
    <w:p>
      <w:pPr>
        <w:spacing w:after="0" w:line="62" w:lineRule="exact"/>
        <w:rPr>
          <w:rFonts w:ascii="Arial" w:cs="Arial" w:eastAsia="Arial" w:hAnsi="Arial"/>
          <w:sz w:val="36"/>
          <w:szCs w:val="36"/>
          <w:color w:val="auto"/>
          <w:vertAlign w:val="superscript"/>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26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tcPr>
          <w:p>
            <w:pPr>
              <w:ind w:left="260"/>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required is provided in Note 5, Earnings Per Share, of Notes to Financial Statements.</w:t>
      </w:r>
    </w:p>
    <w:p>
      <w:pPr>
        <w:spacing w:after="0" w:line="198" w:lineRule="exact"/>
        <w:rPr>
          <w:sz w:val="20"/>
          <w:szCs w:val="20"/>
          <w:color w:val="auto"/>
        </w:rPr>
      </w:pPr>
    </w:p>
    <w:p>
      <w:pPr>
        <w:ind w:left="5620" w:right="2020" w:hanging="5605"/>
        <w:spacing w:after="0" w:line="465" w:lineRule="auto"/>
        <w:rPr>
          <w:sz w:val="20"/>
          <w:szCs w:val="20"/>
          <w:color w:val="auto"/>
        </w:rPr>
      </w:pPr>
      <w:r>
        <w:rPr>
          <w:rFonts w:ascii="Arial" w:cs="Arial" w:eastAsia="Arial" w:hAnsi="Arial"/>
          <w:sz w:val="18"/>
          <w:szCs w:val="18"/>
          <w:color w:val="auto"/>
        </w:rPr>
        <w:t>*The Exhibits identified above with an asterisk (*) are management contracts or compensatory plans or arrangements.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154940</wp:posOffset>
            </wp:positionV>
            <wp:extent cx="1106170"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0617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20"/>
                <w:szCs w:val="20"/>
                <w:color w:val="auto"/>
              </w:rPr>
            </w:pPr>
            <w:r>
              <w:rPr>
                <w:rFonts w:ascii="Arial" w:cs="Arial" w:eastAsia="Arial" w:hAnsi="Arial"/>
                <w:sz w:val="15"/>
                <w:szCs w:val="15"/>
                <w:b w:val="1"/>
                <w:bCs w:val="1"/>
                <w:color w:val="auto"/>
              </w:rPr>
              <w:t>David M. Cote</w:t>
            </w:r>
          </w:p>
        </w:tc>
        <w:tc>
          <w:tcPr>
            <w:tcW w:w="3920" w:type="dxa"/>
            <w:vAlign w:val="bottom"/>
          </w:tcPr>
          <w:p>
            <w:pPr>
              <w:ind w:left="1160"/>
              <w:spacing w:after="0"/>
              <w:rPr>
                <w:sz w:val="20"/>
                <w:szCs w:val="20"/>
                <w:color w:val="auto"/>
              </w:rPr>
            </w:pPr>
            <w:r>
              <w:rPr>
                <w:rFonts w:ascii="Arial" w:cs="Arial" w:eastAsia="Arial" w:hAnsi="Arial"/>
                <w:sz w:val="15"/>
                <w:szCs w:val="15"/>
                <w:color w:val="auto"/>
              </w:rPr>
              <w:t>Honeywell</w:t>
            </w:r>
          </w:p>
        </w:tc>
        <w:tc>
          <w:tcPr>
            <w:tcW w:w="2680" w:type="dxa"/>
            <w:vAlign w:val="bottom"/>
          </w:tcPr>
          <w:p>
            <w:pPr>
              <w:ind w:left="1000"/>
              <w:spacing w:after="0"/>
              <w:rPr>
                <w:sz w:val="20"/>
                <w:szCs w:val="20"/>
                <w:color w:val="auto"/>
              </w:rPr>
            </w:pPr>
            <w:r>
              <w:rPr>
                <w:rFonts w:ascii="Arial" w:cs="Arial" w:eastAsia="Arial" w:hAnsi="Arial"/>
                <w:sz w:val="15"/>
                <w:szCs w:val="15"/>
                <w:color w:val="auto"/>
              </w:rPr>
              <w:t>973 455-6768</w:t>
            </w:r>
          </w:p>
        </w:tc>
      </w:tr>
      <w:tr>
        <w:trPr>
          <w:trHeight w:val="162"/>
        </w:trPr>
        <w:tc>
          <w:tcPr>
            <w:tcW w:w="2620" w:type="dxa"/>
            <w:vAlign w:val="bottom"/>
          </w:tcPr>
          <w:p>
            <w:pPr>
              <w:spacing w:after="0" w:line="162" w:lineRule="exact"/>
              <w:rPr>
                <w:sz w:val="20"/>
                <w:szCs w:val="20"/>
                <w:color w:val="auto"/>
              </w:rPr>
            </w:pPr>
            <w:r>
              <w:rPr>
                <w:rFonts w:ascii="Arial" w:cs="Arial" w:eastAsia="Arial" w:hAnsi="Arial"/>
                <w:sz w:val="15"/>
                <w:szCs w:val="15"/>
                <w:color w:val="auto"/>
              </w:rPr>
              <w:t>Chairman and</w:t>
            </w:r>
          </w:p>
        </w:tc>
        <w:tc>
          <w:tcPr>
            <w:tcW w:w="3920" w:type="dxa"/>
            <w:vAlign w:val="bottom"/>
          </w:tcPr>
          <w:p>
            <w:pPr>
              <w:ind w:left="1160"/>
              <w:spacing w:after="0" w:line="162" w:lineRule="exact"/>
              <w:rPr>
                <w:sz w:val="20"/>
                <w:szCs w:val="20"/>
                <w:color w:val="auto"/>
              </w:rPr>
            </w:pPr>
            <w:r>
              <w:rPr>
                <w:rFonts w:ascii="Arial" w:cs="Arial" w:eastAsia="Arial" w:hAnsi="Arial"/>
                <w:sz w:val="15"/>
                <w:szCs w:val="15"/>
                <w:color w:val="auto"/>
              </w:rPr>
              <w:t>P.O. Box 3000</w:t>
            </w:r>
          </w:p>
        </w:tc>
        <w:tc>
          <w:tcPr>
            <w:tcW w:w="2680" w:type="dxa"/>
            <w:vAlign w:val="bottom"/>
          </w:tcPr>
          <w:p>
            <w:pPr>
              <w:ind w:left="1000"/>
              <w:spacing w:after="0" w:line="162" w:lineRule="exact"/>
              <w:rPr>
                <w:sz w:val="20"/>
                <w:szCs w:val="20"/>
                <w:color w:val="auto"/>
              </w:rPr>
            </w:pPr>
            <w:r>
              <w:rPr>
                <w:rFonts w:ascii="Arial" w:cs="Arial" w:eastAsia="Arial" w:hAnsi="Arial"/>
                <w:sz w:val="15"/>
                <w:szCs w:val="15"/>
                <w:color w:val="auto"/>
              </w:rPr>
              <w:t>973 455-4002 Fax</w:t>
            </w:r>
          </w:p>
        </w:tc>
      </w:tr>
      <w:tr>
        <w:trPr>
          <w:trHeight w:val="195"/>
        </w:trPr>
        <w:tc>
          <w:tcPr>
            <w:tcW w:w="2620" w:type="dxa"/>
            <w:vAlign w:val="bottom"/>
          </w:tcPr>
          <w:p>
            <w:pPr>
              <w:spacing w:after="0"/>
              <w:rPr>
                <w:sz w:val="20"/>
                <w:szCs w:val="20"/>
                <w:color w:val="auto"/>
              </w:rPr>
            </w:pPr>
            <w:r>
              <w:rPr>
                <w:rFonts w:ascii="Arial" w:cs="Arial" w:eastAsia="Arial" w:hAnsi="Arial"/>
                <w:sz w:val="15"/>
                <w:szCs w:val="15"/>
                <w:color w:val="auto"/>
              </w:rPr>
              <w:t>Chief Executive Officer</w:t>
            </w:r>
          </w:p>
        </w:tc>
        <w:tc>
          <w:tcPr>
            <w:tcW w:w="3920" w:type="dxa"/>
            <w:vAlign w:val="bottom"/>
          </w:tcPr>
          <w:p>
            <w:pPr>
              <w:ind w:left="1160"/>
              <w:spacing w:after="0"/>
              <w:rPr>
                <w:sz w:val="20"/>
                <w:szCs w:val="20"/>
                <w:color w:val="auto"/>
              </w:rPr>
            </w:pPr>
            <w:r>
              <w:rPr>
                <w:rFonts w:ascii="Arial" w:cs="Arial" w:eastAsia="Arial" w:hAnsi="Arial"/>
                <w:sz w:val="15"/>
                <w:szCs w:val="15"/>
                <w:color w:val="auto"/>
              </w:rPr>
              <w:t>Morristown, NJ 07962-2496</w:t>
            </w:r>
          </w:p>
        </w:tc>
        <w:tc>
          <w:tcPr>
            <w:tcW w:w="2680" w:type="dxa"/>
            <w:vAlign w:val="bottom"/>
          </w:tcPr>
          <w:p>
            <w:pPr>
              <w:ind w:left="1000"/>
              <w:spacing w:after="0"/>
              <w:rPr>
                <w:sz w:val="20"/>
                <w:szCs w:val="20"/>
                <w:color w:val="auto"/>
              </w:rPr>
            </w:pPr>
            <w:r>
              <w:rPr>
                <w:rFonts w:ascii="Arial" w:cs="Arial" w:eastAsia="Arial" w:hAnsi="Arial"/>
                <w:sz w:val="15"/>
                <w:szCs w:val="15"/>
                <w:color w:val="auto"/>
                <w:w w:val="92"/>
              </w:rPr>
              <w:t>dave.cote@honeywell.com</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February 24, 2012</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Darius Adamczyk</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11729 Egrets Point Drive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Charlotte, NC 28278</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Dear Darius: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I am pleased to confirm your promotion to President of Honeywell Process Solutions (Band 6), located in either Bracknell, U.K. or Houston Texas, reporting to Roger Fradin. Your promotion will be effective on the date (which date will be within the next ninety (90) days) mutually agreed upon between you and Roger, in writing (the “Effective Date”).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Base Salary: </w:t>
      </w:r>
      <w:r>
        <w:rPr>
          <w:rFonts w:ascii="Arial" w:cs="Arial" w:eastAsia="Arial" w:hAnsi="Arial"/>
          <w:sz w:val="21"/>
          <w:szCs w:val="21"/>
          <w:color w:val="auto"/>
        </w:rPr>
        <w:t>As of the Effective Date, your annual base salary will be increased to $525,000.00. Base salary reviews occur annually and</w:t>
      </w:r>
      <w:r>
        <w:rPr>
          <w:rFonts w:ascii="Arial" w:cs="Arial" w:eastAsia="Arial" w:hAnsi="Arial"/>
          <w:sz w:val="21"/>
          <w:szCs w:val="21"/>
          <w:b w:val="1"/>
          <w:bCs w:val="1"/>
          <w:color w:val="auto"/>
        </w:rPr>
        <w:t xml:space="preserve"> </w:t>
      </w:r>
      <w:r>
        <w:rPr>
          <w:rFonts w:ascii="Arial" w:cs="Arial" w:eastAsia="Arial" w:hAnsi="Arial"/>
          <w:sz w:val="21"/>
          <w:szCs w:val="21"/>
          <w:color w:val="auto"/>
        </w:rPr>
        <w:t>any adjustments are generally at the end of the first quarter of the calendar year. Adjustments are based on your performance and other relevant factors. You will next be eligible for a merit increase in March 2013.</w:t>
      </w:r>
    </w:p>
    <w:p>
      <w:pPr>
        <w:spacing w:after="0" w:line="17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Annual Incentive Compensation: </w:t>
      </w:r>
      <w:r>
        <w:rPr>
          <w:rFonts w:ascii="Arial" w:cs="Arial" w:eastAsia="Arial" w:hAnsi="Arial"/>
          <w:sz w:val="18"/>
          <w:szCs w:val="18"/>
          <w:color w:val="auto"/>
        </w:rPr>
        <w:t>As of the Effective Date, your target incentive compensation opportunity will be increased to 60%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annual cash base salary earnings during the year. Incentive compensation awards are paid in the first quarter of the following year. For 2012, your incentive compensation shall be pro-rated to reflect the portion of the year that your incentive target was 60% versus 50%.</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Long Term Incentive Awards: </w:t>
      </w:r>
      <w:r>
        <w:rPr>
          <w:rFonts w:ascii="Arial" w:cs="Arial" w:eastAsia="Arial" w:hAnsi="Arial"/>
          <w:sz w:val="20"/>
          <w:szCs w:val="20"/>
          <w:color w:val="auto"/>
        </w:rPr>
        <w:t>You will continue to be eligible for annual long-term incentive awards consisting of stock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or cash awards, or some combination thereof, as determined by the Company in its discretion. The actual grant sizes, if any, will be determined by your performance and future career potential with Honeywell. The terms of all long-term incentive awards are governed by the terms of the applicable stock plan and the relevant award agreements.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EXECUTIVE BENEFITS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You will continue to be entitled to the following Executive Benefits:</w:t>
      </w:r>
    </w:p>
    <w:p>
      <w:pPr>
        <w:spacing w:after="0" w:line="1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Vacation</w:t>
      </w:r>
      <w:r>
        <w:rPr>
          <w:rFonts w:ascii="Arial" w:cs="Arial" w:eastAsia="Arial" w:hAnsi="Arial"/>
          <w:sz w:val="21"/>
          <w:szCs w:val="21"/>
          <w:color w:val="auto"/>
        </w:rPr>
        <w:t>: You will be eligible for four (4) weeks’ vacation.</w:t>
      </w:r>
    </w:p>
    <w:p>
      <w:pPr>
        <w:spacing w:after="0" w:line="1" w:lineRule="exact"/>
        <w:rPr>
          <w:rFonts w:ascii="Arial" w:cs="Arial" w:eastAsia="Arial" w:hAnsi="Arial"/>
          <w:sz w:val="21"/>
          <w:szCs w:val="21"/>
          <w:color w:val="auto"/>
        </w:rPr>
      </w:pPr>
    </w:p>
    <w:p>
      <w:pPr>
        <w:ind w:left="660" w:right="20" w:hanging="328"/>
        <w:spacing w:after="0" w:line="241" w:lineRule="auto"/>
        <w:tabs>
          <w:tab w:leader="none" w:pos="660"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Excess Liability Insurance</w:t>
      </w:r>
      <w:r>
        <w:rPr>
          <w:rFonts w:ascii="Arial" w:cs="Arial" w:eastAsia="Arial" w:hAnsi="Arial"/>
          <w:sz w:val="21"/>
          <w:szCs w:val="21"/>
          <w:color w:val="auto"/>
        </w:rPr>
        <w:t>: Honeywell will pay the annual premium for an Excess Liability Insurance policy that provides</w:t>
      </w:r>
      <w:r>
        <w:rPr>
          <w:rFonts w:ascii="Arial" w:cs="Arial" w:eastAsia="Arial" w:hAnsi="Arial"/>
          <w:sz w:val="21"/>
          <w:szCs w:val="21"/>
          <w:i w:val="1"/>
          <w:iCs w:val="1"/>
          <w:color w:val="auto"/>
        </w:rPr>
        <w:t xml:space="preserve"> </w:t>
      </w:r>
      <w:r>
        <w:rPr>
          <w:rFonts w:ascii="Arial" w:cs="Arial" w:eastAsia="Arial" w:hAnsi="Arial"/>
          <w:sz w:val="21"/>
          <w:szCs w:val="21"/>
          <w:color w:val="auto"/>
        </w:rPr>
        <w:t>$5,000,000 of coverage per occurrence.</w:t>
      </w:r>
    </w:p>
    <w:p>
      <w:pPr>
        <w:spacing w:after="0" w:line="1" w:lineRule="exact"/>
        <w:rPr>
          <w:rFonts w:ascii="Arial" w:cs="Arial" w:eastAsia="Arial" w:hAnsi="Arial"/>
          <w:sz w:val="21"/>
          <w:szCs w:val="21"/>
          <w:color w:val="auto"/>
        </w:rPr>
      </w:pPr>
    </w:p>
    <w:p>
      <w:pPr>
        <w:jc w:val="both"/>
        <w:ind w:left="660" w:hanging="328"/>
        <w:spacing w:after="0" w:line="241" w:lineRule="auto"/>
        <w:tabs>
          <w:tab w:leader="none" w:pos="660"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Executive Severance</w:t>
      </w:r>
      <w:r>
        <w:rPr>
          <w:rFonts w:ascii="Arial" w:cs="Arial" w:eastAsia="Arial" w:hAnsi="Arial"/>
          <w:sz w:val="21"/>
          <w:szCs w:val="21"/>
          <w:color w:val="auto"/>
        </w:rPr>
        <w:t>: You will be covered under the Severance Pay Plan for Designated Employees of Honeywell International</w:t>
      </w:r>
      <w:r>
        <w:rPr>
          <w:rFonts w:ascii="Arial" w:cs="Arial" w:eastAsia="Arial" w:hAnsi="Arial"/>
          <w:sz w:val="21"/>
          <w:szCs w:val="21"/>
          <w:i w:val="1"/>
          <w:iCs w:val="1"/>
          <w:color w:val="auto"/>
        </w:rPr>
        <w:t xml:space="preserve"> </w:t>
      </w:r>
      <w:r>
        <w:rPr>
          <w:rFonts w:ascii="Arial" w:cs="Arial" w:eastAsia="Arial" w:hAnsi="Arial"/>
          <w:sz w:val="21"/>
          <w:szCs w:val="21"/>
          <w:color w:val="auto"/>
        </w:rPr>
        <w:t>Inc. (Career Band 6) (the “Severance Plan”). Under the current terms of the Severance Plan, Honeywell will provide you with 12 months of base salary continuation if your employment is involuntary terminated (other than for “Cause,” as defined under the Severance Plan). You will be required to execute a release of claims in favor of Honeywell and its affiliates, and you may be required to agree to certain non-solicitation, non-disclosure and non-competition covenants, as a condition of receiving executive severance benefits.</w:t>
      </w:r>
    </w:p>
    <w:p>
      <w:pPr>
        <w:spacing w:after="0" w:line="3" w:lineRule="exact"/>
        <w:rPr>
          <w:rFonts w:ascii="Arial" w:cs="Arial" w:eastAsia="Arial" w:hAnsi="Arial"/>
          <w:sz w:val="21"/>
          <w:szCs w:val="21"/>
          <w:color w:val="auto"/>
        </w:rPr>
      </w:pPr>
    </w:p>
    <w:p>
      <w:pPr>
        <w:ind w:left="660" w:hanging="328"/>
        <w:spacing w:after="0" w:line="243" w:lineRule="auto"/>
        <w:tabs>
          <w:tab w:leader="none" w:pos="660" w:val="left"/>
        </w:tabs>
        <w:numPr>
          <w:ilvl w:val="0"/>
          <w:numId w:val="12"/>
        </w:numPr>
        <w:rPr>
          <w:rFonts w:ascii="Arial" w:cs="Arial" w:eastAsia="Arial" w:hAnsi="Arial"/>
          <w:sz w:val="21"/>
          <w:szCs w:val="21"/>
          <w:color w:val="auto"/>
        </w:rPr>
      </w:pPr>
      <w:r>
        <w:rPr>
          <w:rFonts w:ascii="Arial" w:cs="Arial" w:eastAsia="Arial" w:hAnsi="Arial"/>
          <w:sz w:val="21"/>
          <w:szCs w:val="21"/>
          <w:i w:val="1"/>
          <w:iCs w:val="1"/>
          <w:color w:val="auto"/>
        </w:rPr>
        <w:t>Flexible Perquisite Allowance</w:t>
      </w:r>
      <w:r>
        <w:rPr>
          <w:rFonts w:ascii="Arial" w:cs="Arial" w:eastAsia="Arial" w:hAnsi="Arial"/>
          <w:sz w:val="21"/>
          <w:szCs w:val="21"/>
          <w:color w:val="auto"/>
        </w:rPr>
        <w:t>: Honeywell provides a $25,000 Flexible Perquisite Allowance that is paid in installments at the</w:t>
      </w:r>
      <w:r>
        <w:rPr>
          <w:rFonts w:ascii="Arial" w:cs="Arial" w:eastAsia="Arial" w:hAnsi="Arial"/>
          <w:sz w:val="21"/>
          <w:szCs w:val="21"/>
          <w:i w:val="1"/>
          <w:iCs w:val="1"/>
          <w:color w:val="auto"/>
        </w:rPr>
        <w:t xml:space="preserve"> </w:t>
      </w:r>
      <w:r>
        <w:rPr>
          <w:rFonts w:ascii="Arial" w:cs="Arial" w:eastAsia="Arial" w:hAnsi="Arial"/>
          <w:sz w:val="21"/>
          <w:szCs w:val="21"/>
          <w:color w:val="auto"/>
        </w:rPr>
        <w:t>beginning of each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Darius Adamczyk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CONSIDERATION</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You shall also be entitled to the following special long term incentive grants. However, because all equity grants made in the first quarter of 2012 are subject to the review and approval of the Management Development and Compensation Committee of the Board of Directors (“MDCC”) at a meeting currently scheduled for February 29, 2012, these terms and conditions shall not be deemed final until the MDCC approves them on such date. Moreover, if you have not accepted this offer by February 28, 2012, neither the stock option nor the restricted unit grants detailed below shall be made unless, or until, the MDCC approves such grants at its next regularly scheduled meeting, in which case that approval date, rather than February 29, 2012, shall be the grant date for all purposes.</w:t>
      </w:r>
    </w:p>
    <w:p>
      <w:pPr>
        <w:spacing w:after="0" w:line="153" w:lineRule="exact"/>
        <w:rPr>
          <w:sz w:val="20"/>
          <w:szCs w:val="20"/>
          <w:color w:val="auto"/>
        </w:rPr>
      </w:pPr>
    </w:p>
    <w:p>
      <w:pPr>
        <w:jc w:val="both"/>
        <w:ind w:left="660" w:hanging="328"/>
        <w:spacing w:after="0" w:line="247" w:lineRule="auto"/>
        <w:tabs>
          <w:tab w:leader="none" w:pos="660" w:val="left"/>
        </w:tabs>
        <w:numPr>
          <w:ilvl w:val="0"/>
          <w:numId w:val="13"/>
        </w:numPr>
        <w:rPr>
          <w:rFonts w:ascii="Arial" w:cs="Arial" w:eastAsia="Arial" w:hAnsi="Arial"/>
          <w:sz w:val="21"/>
          <w:szCs w:val="21"/>
          <w:color w:val="auto"/>
        </w:rPr>
      </w:pPr>
      <w:r>
        <w:rPr>
          <w:rFonts w:ascii="Arial" w:cs="Arial" w:eastAsia="Arial" w:hAnsi="Arial"/>
          <w:sz w:val="21"/>
          <w:szCs w:val="21"/>
          <w:i w:val="1"/>
          <w:iCs w:val="1"/>
          <w:color w:val="auto"/>
        </w:rPr>
        <w:t>Restricted Units</w:t>
      </w:r>
      <w:r>
        <w:rPr>
          <w:rFonts w:ascii="Arial" w:cs="Arial" w:eastAsia="Arial" w:hAnsi="Arial"/>
          <w:sz w:val="21"/>
          <w:szCs w:val="21"/>
          <w:color w:val="auto"/>
        </w:rPr>
        <w:t>. You shall receive a grant of one hundred thousand (100,000) restricted units (“Special Grant RUs”). These</w:t>
      </w:r>
      <w:r>
        <w:rPr>
          <w:rFonts w:ascii="Arial" w:cs="Arial" w:eastAsia="Arial" w:hAnsi="Arial"/>
          <w:sz w:val="21"/>
          <w:szCs w:val="21"/>
          <w:i w:val="1"/>
          <w:iCs w:val="1"/>
          <w:color w:val="auto"/>
        </w:rPr>
        <w:t xml:space="preserve"> </w:t>
      </w:r>
      <w:r>
        <w:rPr>
          <w:rFonts w:ascii="Arial" w:cs="Arial" w:eastAsia="Arial" w:hAnsi="Arial"/>
          <w:sz w:val="21"/>
          <w:szCs w:val="21"/>
          <w:color w:val="auto"/>
        </w:rPr>
        <w:t>Special Grant RUs shall be in lieu of your annual 2012 restricted unit grant and shall vest in one third increments on the third, fifth and seventh anniversaries of their grant date.</w:t>
      </w:r>
    </w:p>
    <w:p>
      <w:pPr>
        <w:spacing w:after="0" w:line="1" w:lineRule="exact"/>
        <w:rPr>
          <w:rFonts w:ascii="Arial" w:cs="Arial" w:eastAsia="Arial" w:hAnsi="Arial"/>
          <w:sz w:val="21"/>
          <w:szCs w:val="21"/>
          <w:color w:val="auto"/>
        </w:rPr>
      </w:pPr>
    </w:p>
    <w:p>
      <w:pPr>
        <w:jc w:val="both"/>
        <w:ind w:left="660" w:hanging="328"/>
        <w:spacing w:after="0" w:line="241" w:lineRule="auto"/>
        <w:tabs>
          <w:tab w:leader="none" w:pos="660" w:val="left"/>
        </w:tabs>
        <w:numPr>
          <w:ilvl w:val="0"/>
          <w:numId w:val="13"/>
        </w:numPr>
        <w:rPr>
          <w:rFonts w:ascii="Arial" w:cs="Arial" w:eastAsia="Arial" w:hAnsi="Arial"/>
          <w:sz w:val="21"/>
          <w:szCs w:val="21"/>
          <w:color w:val="auto"/>
        </w:rPr>
      </w:pPr>
      <w:r>
        <w:rPr>
          <w:rFonts w:ascii="Arial" w:cs="Arial" w:eastAsia="Arial" w:hAnsi="Arial"/>
          <w:sz w:val="21"/>
          <w:szCs w:val="21"/>
          <w:i w:val="1"/>
          <w:iCs w:val="1"/>
          <w:color w:val="auto"/>
        </w:rPr>
        <w:t>Stock Options</w:t>
      </w:r>
      <w:r>
        <w:rPr>
          <w:rFonts w:ascii="Arial" w:cs="Arial" w:eastAsia="Arial" w:hAnsi="Arial"/>
          <w:sz w:val="21"/>
          <w:szCs w:val="21"/>
          <w:color w:val="auto"/>
        </w:rPr>
        <w:t>. You shall receive a grant of one hundred thousand (100,000) stock options (“Special Option Grant”). This Special</w:t>
      </w:r>
      <w:r>
        <w:rPr>
          <w:rFonts w:ascii="Arial" w:cs="Arial" w:eastAsia="Arial" w:hAnsi="Arial"/>
          <w:sz w:val="21"/>
          <w:szCs w:val="21"/>
          <w:i w:val="1"/>
          <w:iCs w:val="1"/>
          <w:color w:val="auto"/>
        </w:rPr>
        <w:t xml:space="preserve"> </w:t>
      </w:r>
      <w:r>
        <w:rPr>
          <w:rFonts w:ascii="Arial" w:cs="Arial" w:eastAsia="Arial" w:hAnsi="Arial"/>
          <w:sz w:val="21"/>
          <w:szCs w:val="21"/>
          <w:color w:val="auto"/>
        </w:rPr>
        <w:t>Option Grant shall be in lieu of your annual 2012 stock option grant. Options granted under the Special Option Grant shall vest ratably (25% per year) on the first, second, third and fourth anniversaries of their grant date.</w:t>
      </w:r>
    </w:p>
    <w:p>
      <w:pPr>
        <w:spacing w:after="0" w:line="1" w:lineRule="exact"/>
        <w:rPr>
          <w:rFonts w:ascii="Arial" w:cs="Arial" w:eastAsia="Arial" w:hAnsi="Arial"/>
          <w:sz w:val="21"/>
          <w:szCs w:val="21"/>
          <w:color w:val="auto"/>
        </w:rPr>
      </w:pPr>
    </w:p>
    <w:p>
      <w:pPr>
        <w:ind w:left="660" w:hanging="328"/>
        <w:spacing w:after="0" w:line="243" w:lineRule="auto"/>
        <w:tabs>
          <w:tab w:leader="none" w:pos="660" w:val="left"/>
        </w:tabs>
        <w:numPr>
          <w:ilvl w:val="0"/>
          <w:numId w:val="13"/>
        </w:numPr>
        <w:rPr>
          <w:rFonts w:ascii="Arial" w:cs="Arial" w:eastAsia="Arial" w:hAnsi="Arial"/>
          <w:sz w:val="21"/>
          <w:szCs w:val="21"/>
          <w:color w:val="auto"/>
        </w:rPr>
      </w:pPr>
      <w:r>
        <w:rPr>
          <w:rFonts w:ascii="Arial" w:cs="Arial" w:eastAsia="Arial" w:hAnsi="Arial"/>
          <w:sz w:val="21"/>
          <w:szCs w:val="21"/>
          <w:i w:val="1"/>
          <w:iCs w:val="1"/>
          <w:color w:val="auto"/>
        </w:rPr>
        <w:t>Growth Plan Units</w:t>
      </w:r>
      <w:r>
        <w:rPr>
          <w:rFonts w:ascii="Arial" w:cs="Arial" w:eastAsia="Arial" w:hAnsi="Arial"/>
          <w:sz w:val="21"/>
          <w:szCs w:val="21"/>
          <w:color w:val="auto"/>
        </w:rPr>
        <w:t>. You shall receive seven thousand (7,000) growth plan units (“GPUs”) for the 2012-2013 performance cycle.</w:t>
      </w:r>
      <w:r>
        <w:rPr>
          <w:rFonts w:ascii="Arial" w:cs="Arial" w:eastAsia="Arial" w:hAnsi="Arial"/>
          <w:sz w:val="21"/>
          <w:szCs w:val="21"/>
          <w:i w:val="1"/>
          <w:iCs w:val="1"/>
          <w:color w:val="auto"/>
        </w:rPr>
        <w:t xml:space="preserve"> </w:t>
      </w:r>
      <w:r>
        <w:rPr>
          <w:rFonts w:ascii="Arial" w:cs="Arial" w:eastAsia="Arial" w:hAnsi="Arial"/>
          <w:sz w:val="21"/>
          <w:szCs w:val="21"/>
          <w:color w:val="auto"/>
        </w:rPr>
        <w:t>This GPU grant will be in lieu of any other grant for the 2012-2013 performance cycle.</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In the event you are terminated involuntarily other than for Cause (as that term is defined in the 2011 Stock Incentive Plan), you shall be entitled to vest, immediately as of your last day of employment, in the next tranche of restricted units and stock options granted under the Special Grant RUs and Special Option Grant,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RELOCATION</w:t>
      </w:r>
    </w:p>
    <w:p>
      <w:pPr>
        <w:spacing w:after="0" w:line="224"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As part of your offer, you are eligible for the relocation program that applies to the circumstances of your particular situation (i.e., either an expatriate assignment or a domestic relocation). The details of the applicable program, including provisions related to tax gross-ups, tax equalization, clawbacks for voluntary termination, etc., will be forthcoming when the location of your position has been agreed upon.</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addition, however, an exception to policy has been granted should you experience a loss on sale of your primary residence based on current market conditions. This loss on sale will be allocated 100% to Honeywell (rather than the $20,000.00 standard policy amount). Should you elect to leave Honeywell prior to the first/second anniversary of the Effective Date, you will be required to reimburse Honeywell 100%/70% of the actual amount reimbursed hereunder, including any tax gross-ups.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PENSION PROVISION</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As of the Effective Date, you will become eligible to participate in the Honeywell Retirement Earnings Plan (“REP”), which provides a benefit, expressed as an immediate lump sum, equal to 6% of final average pay times years of service. You can consult the REP’s Summary Plan Description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Darius Adamczyk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In addition, you shall be eligible for a supplemental benefit (“SERP”) in an amount equal to the benefit to which you would have been entitled (A)(i) had you commenced participation in the REP as of July 2, 2008, and (ii) if the IRS limitations on benefits and compensation did not apply, offset by (B) your actual earned REP benefit.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INTELLECTUAL PROPERTY AGREEMENTS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As a condition of the employment offer described herein, you are required to execute the enclosed copies of (i) Honeywell’s “Employee Agreement Relating to Trade Secrets, Proprietary and Confidential Information” (the “IP Agreement”), and (ii) Honeywell’s Noncompete Agreement for Senior Executives, along with the Addendum thereto (“Noncompete Agreement”).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 ACCEPTANCE</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Please indicate your acceptance of this offer by signing this letter in the space provided and returning it, along with an executed copy of the IP Agreement and Noncompete Agreement, to Mark James.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Darius, I very much look forward to continue working with you as we grow the business.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If you have any questions or need any further information about our offer, please contact me directly.</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Congratulations,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917575"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75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Dave Cote</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Chairman and CEO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Honeywell International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40" w:type="dxa"/>
            <w:vAlign w:val="bottom"/>
            <w:gridSpan w:val="3"/>
          </w:tcPr>
          <w:p>
            <w:pPr>
              <w:spacing w:after="0"/>
              <w:rPr>
                <w:sz w:val="20"/>
                <w:szCs w:val="20"/>
                <w:color w:val="auto"/>
              </w:rPr>
            </w:pPr>
            <w:r>
              <w:rPr>
                <w:rFonts w:ascii="Arial" w:cs="Arial" w:eastAsia="Arial" w:hAnsi="Arial"/>
                <w:sz w:val="21"/>
                <w:szCs w:val="21"/>
                <w:color w:val="auto"/>
              </w:rPr>
              <w:t>Read and Accepted:</w:t>
            </w:r>
          </w:p>
        </w:tc>
        <w:tc>
          <w:tcPr>
            <w:tcW w:w="2840" w:type="dxa"/>
            <w:vAlign w:val="bottom"/>
          </w:tcPr>
          <w:p>
            <w:pPr>
              <w:spacing w:after="0"/>
              <w:rPr>
                <w:sz w:val="22"/>
                <w:szCs w:val="22"/>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21"/>
                <w:szCs w:val="21"/>
                <w:color w:val="auto"/>
              </w:rPr>
              <w:t>/s/ Darius Adamczyk</w:t>
            </w:r>
          </w:p>
        </w:tc>
        <w:tc>
          <w:tcPr>
            <w:tcW w:w="2840" w:type="dxa"/>
            <w:vAlign w:val="bottom"/>
          </w:tcPr>
          <w:p>
            <w:pPr>
              <w:spacing w:after="0"/>
              <w:rPr>
                <w:sz w:val="20"/>
                <w:szCs w:val="20"/>
                <w:color w:val="auto"/>
              </w:rPr>
            </w:pPr>
            <w:r>
              <w:rPr>
                <w:rFonts w:ascii="Arial" w:cs="Arial" w:eastAsia="Arial" w:hAnsi="Arial"/>
                <w:sz w:val="21"/>
                <w:szCs w:val="21"/>
                <w:color w:val="auto"/>
              </w:rPr>
              <w:t>Feb. 27, 2012</w:t>
            </w:r>
          </w:p>
        </w:tc>
      </w:tr>
      <w:tr>
        <w:trPr>
          <w:trHeight w:val="254"/>
        </w:trPr>
        <w:tc>
          <w:tcPr>
            <w:tcW w:w="20" w:type="dxa"/>
            <w:vAlign w:val="bottom"/>
          </w:tcPr>
          <w:p>
            <w:pPr>
              <w:spacing w:after="0"/>
              <w:rPr>
                <w:sz w:val="22"/>
                <w:szCs w:val="22"/>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Signature</w:t>
            </w:r>
          </w:p>
        </w:tc>
        <w:tc>
          <w:tcPr>
            <w:tcW w:w="2860" w:type="dxa"/>
            <w:vAlign w:val="bottom"/>
          </w:tcPr>
          <w:p>
            <w:pPr>
              <w:spacing w:after="0"/>
              <w:rPr>
                <w:sz w:val="22"/>
                <w:szCs w:val="22"/>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w:t>
      </w:r>
    </w:p>
    <w:p>
      <w:pPr>
        <w:spacing w:after="0" w:line="19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140"/>
        <w:spacing w:after="0" w:line="234" w:lineRule="auto"/>
        <w:rPr>
          <w:sz w:val="20"/>
          <w:szCs w:val="20"/>
          <w:color w:val="auto"/>
        </w:rPr>
      </w:pPr>
      <w:r>
        <w:rPr>
          <w:rFonts w:ascii="Arial" w:cs="Arial" w:eastAsia="Arial" w:hAnsi="Arial"/>
          <w:sz w:val="18"/>
          <w:szCs w:val="18"/>
          <w:b w:val="1"/>
          <w:bCs w:val="1"/>
          <w:color w:val="auto"/>
        </w:rPr>
        <w:t>Three Months Ended</w:t>
      </w:r>
    </w:p>
    <w:p>
      <w:pPr>
        <w:jc w:val="center"/>
        <w:ind w:right="1140"/>
        <w:spacing w:after="0" w:line="235" w:lineRule="auto"/>
        <w:rPr>
          <w:sz w:val="20"/>
          <w:szCs w:val="20"/>
          <w:color w:val="auto"/>
        </w:rPr>
      </w:pPr>
      <w:r>
        <w:rPr>
          <w:rFonts w:ascii="Arial" w:cs="Arial" w:eastAsia="Arial" w:hAnsi="Arial"/>
          <w:sz w:val="18"/>
          <w:szCs w:val="18"/>
          <w:b w:val="1"/>
          <w:bCs w:val="1"/>
          <w:color w:val="auto"/>
        </w:rPr>
        <w:t>March 31, 2016</w:t>
      </w:r>
    </w:p>
    <w:p>
      <w:pPr>
        <w:spacing w:after="0" w:line="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Equity income, net of distributions</w:t>
            </w:r>
          </w:p>
        </w:tc>
        <w:tc>
          <w:tcPr>
            <w:tcW w:w="24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E5FFFF"/>
          </w:tcPr>
          <w:p>
            <w:pPr>
              <w:ind w:left="520"/>
              <w:spacing w:after="0"/>
              <w:rPr>
                <w:sz w:val="20"/>
                <w:szCs w:val="20"/>
                <w:color w:val="auto"/>
              </w:rPr>
            </w:pPr>
            <w:r>
              <w:rPr>
                <w:rFonts w:ascii="Arial" w:cs="Arial" w:eastAsia="Arial" w:hAnsi="Arial"/>
                <w:sz w:val="18"/>
                <w:szCs w:val="18"/>
                <w:b w:val="1"/>
                <w:bCs w:val="1"/>
                <w:color w:val="auto"/>
              </w:rPr>
              <w:t>Total earnings, as defined</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E5FFFF"/>
          </w:tcPr>
          <w:p>
            <w:pPr>
              <w:spacing w:after="0" w:line="20" w:lineRule="exact"/>
              <w:rPr>
                <w:sz w:val="1"/>
                <w:szCs w:val="1"/>
                <w:color w:val="auto"/>
              </w:rPr>
            </w:pPr>
          </w:p>
        </w:tc>
        <w:tc>
          <w:tcPr>
            <w:tcW w:w="2480" w:type="dxa"/>
            <w:vAlign w:val="bottom"/>
            <w:shd w:val="clear" w:color="auto" w:fill="E5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8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4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E5FFFF"/>
          </w:tcPr>
          <w:p>
            <w:pPr>
              <w:spacing w:after="0"/>
              <w:rPr>
                <w:sz w:val="17"/>
                <w:szCs w:val="17"/>
                <w:color w:val="auto"/>
              </w:rPr>
            </w:pP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Capitalized interest</w:t>
            </w:r>
          </w:p>
        </w:tc>
        <w:tc>
          <w:tcPr>
            <w:tcW w:w="24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E5FFFF"/>
          </w:tcPr>
          <w:p>
            <w:pPr>
              <w:ind w:left="520"/>
              <w:spacing w:after="0"/>
              <w:rPr>
                <w:sz w:val="20"/>
                <w:szCs w:val="20"/>
                <w:color w:val="auto"/>
              </w:rPr>
            </w:pPr>
            <w:r>
              <w:rPr>
                <w:rFonts w:ascii="Arial" w:cs="Arial" w:eastAsia="Arial" w:hAnsi="Arial"/>
                <w:sz w:val="18"/>
                <w:szCs w:val="18"/>
                <w:b w:val="1"/>
                <w:bCs w:val="1"/>
                <w:color w:val="auto"/>
              </w:rPr>
              <w:t>Total fixed charges</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E5FFFF"/>
            </w:tcBorders>
          </w:tcPr>
          <w:p>
            <w:pPr>
              <w:spacing w:after="0" w:line="20" w:lineRule="exact"/>
              <w:rPr>
                <w:sz w:val="1"/>
                <w:szCs w:val="1"/>
                <w:color w:val="auto"/>
              </w:rPr>
            </w:pPr>
          </w:p>
        </w:tc>
        <w:tc>
          <w:tcPr>
            <w:tcW w:w="248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0" w:right="1340" w:hanging="551"/>
        <w:spacing w:after="0" w:line="24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1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135255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80"/>
          </w:cols>
          <w:pgMar w:left="1380" w:top="11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jc w:val="right"/>
        <w:ind w:right="2720"/>
        <w:spacing w:after="0" w:line="250" w:lineRule="auto"/>
        <w:rPr>
          <w:sz w:val="20"/>
          <w:szCs w:val="20"/>
          <w:color w:val="auto"/>
        </w:rPr>
      </w:pPr>
      <w:r>
        <w:rPr>
          <w:rFonts w:ascii="Arial" w:cs="Arial" w:eastAsia="Arial" w:hAnsi="Arial"/>
          <w:sz w:val="18"/>
          <w:szCs w:val="18"/>
          <w:color w:val="auto"/>
        </w:rPr>
        <w:t xml:space="preserve">Date: April 22, 2016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April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2016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jc w:val="right"/>
        <w:ind w:right="2720"/>
        <w:spacing w:after="0" w:line="250" w:lineRule="auto"/>
        <w:rPr>
          <w:sz w:val="20"/>
          <w:szCs w:val="20"/>
          <w:color w:val="auto"/>
        </w:rPr>
      </w:pPr>
      <w:r>
        <w:rPr>
          <w:rFonts w:ascii="Arial" w:cs="Arial" w:eastAsia="Arial" w:hAnsi="Arial"/>
          <w:sz w:val="18"/>
          <w:szCs w:val="18"/>
          <w:color w:val="auto"/>
        </w:rPr>
        <w:t xml:space="preserve">Date: April 22, 2016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2016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April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upperLetter"/>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2020-01-20T04:36:13Z</dcterms:created>
  <dcterms:modified xsi:type="dcterms:W3CDTF">2020-01-20T04:36:13Z</dcterms:modified>
</cp:coreProperties>
</file>