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jc w:val="center"/>
        <w:ind w:right="-1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140335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 QUARTERLY REPORT PURSUANT TO SECTION 13 OR 15(d)</w:t>
      </w: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TRANSITION REPORT PURSUANT TO SECTION 13 OR 15(d)</w:t>
      </w: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transition period from ______ to _____</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76"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460" w:type="dxa"/>
        <w:tblCellMar>
          <w:top w:w="0" w:type="dxa"/>
          <w:left w:w="0" w:type="dxa"/>
          <w:bottom w:w="0" w:type="dxa"/>
          <w:right w:w="0" w:type="dxa"/>
        </w:tblCellMar>
      </w:tblPr>
      <w:tr>
        <w:trPr>
          <w:trHeight w:val="217"/>
        </w:trPr>
        <w:tc>
          <w:tcPr>
            <w:tcW w:w="1260" w:type="dxa"/>
            <w:vAlign w:val="bottom"/>
          </w:tcPr>
          <w:p>
            <w:pPr>
              <w:spacing w:after="0"/>
              <w:rPr>
                <w:sz w:val="18"/>
                <w:szCs w:val="18"/>
                <w:color w:val="auto"/>
              </w:rPr>
            </w:pPr>
          </w:p>
        </w:tc>
        <w:tc>
          <w:tcPr>
            <w:tcW w:w="6520" w:type="dxa"/>
            <w:vAlign w:val="bottom"/>
            <w:gridSpan w:val="3"/>
          </w:tcPr>
          <w:p>
            <w:pPr>
              <w:jc w:val="center"/>
              <w:ind w:right="3080"/>
              <w:spacing w:after="0"/>
              <w:rPr>
                <w:sz w:val="20"/>
                <w:szCs w:val="20"/>
                <w:color w:val="auto"/>
              </w:rPr>
            </w:pPr>
            <w:r>
              <w:rPr>
                <w:rFonts w:ascii="Arial" w:cs="Arial" w:eastAsia="Arial" w:hAnsi="Arial"/>
                <w:sz w:val="18"/>
                <w:szCs w:val="18"/>
                <w:color w:val="auto"/>
                <w:w w:val="99"/>
              </w:rPr>
              <w:t>Delaware</w:t>
            </w:r>
          </w:p>
        </w:tc>
        <w:tc>
          <w:tcPr>
            <w:tcW w:w="1580" w:type="dxa"/>
            <w:vAlign w:val="bottom"/>
          </w:tcPr>
          <w:p>
            <w:pPr>
              <w:jc w:val="right"/>
              <w:spacing w:after="0"/>
              <w:rPr>
                <w:sz w:val="20"/>
                <w:szCs w:val="20"/>
                <w:color w:val="auto"/>
              </w:rPr>
            </w:pPr>
            <w:r>
              <w:rPr>
                <w:rFonts w:ascii="Arial" w:cs="Arial" w:eastAsia="Arial" w:hAnsi="Arial"/>
                <w:sz w:val="18"/>
                <w:szCs w:val="18"/>
                <w:color w:val="auto"/>
              </w:rPr>
              <w:t>22-2640650</w:t>
            </w:r>
          </w:p>
        </w:tc>
        <w:tc>
          <w:tcPr>
            <w:tcW w:w="1160" w:type="dxa"/>
            <w:vAlign w:val="bottom"/>
          </w:tcPr>
          <w:p>
            <w:pPr>
              <w:spacing w:after="0"/>
              <w:rPr>
                <w:sz w:val="18"/>
                <w:szCs w:val="18"/>
                <w:color w:val="auto"/>
              </w:rPr>
            </w:pPr>
          </w:p>
        </w:tc>
      </w:tr>
      <w:tr>
        <w:trPr>
          <w:trHeight w:val="195"/>
        </w:trPr>
        <w:tc>
          <w:tcPr>
            <w:tcW w:w="1260" w:type="dxa"/>
            <w:vAlign w:val="bottom"/>
            <w:tcBorders>
              <w:top w:val="single" w:sz="8" w:color="auto"/>
            </w:tcBorders>
          </w:tcPr>
          <w:p>
            <w:pPr>
              <w:spacing w:after="0"/>
              <w:rPr>
                <w:sz w:val="16"/>
                <w:szCs w:val="16"/>
                <w:color w:val="auto"/>
              </w:rPr>
            </w:pPr>
          </w:p>
        </w:tc>
        <w:tc>
          <w:tcPr>
            <w:tcW w:w="4680" w:type="dxa"/>
            <w:vAlign w:val="bottom"/>
            <w:tcBorders>
              <w:top w:val="single" w:sz="8" w:color="auto"/>
            </w:tcBorders>
          </w:tcPr>
          <w:p>
            <w:pPr>
              <w:jc w:val="center"/>
              <w:ind w:right="1150"/>
              <w:spacing w:after="0" w:line="195" w:lineRule="exact"/>
              <w:rPr>
                <w:sz w:val="20"/>
                <w:szCs w:val="20"/>
                <w:color w:val="auto"/>
              </w:rPr>
            </w:pPr>
            <w:r>
              <w:rPr>
                <w:rFonts w:ascii="Arial" w:cs="Arial" w:eastAsia="Arial" w:hAnsi="Arial"/>
                <w:sz w:val="18"/>
                <w:szCs w:val="18"/>
                <w:color w:val="auto"/>
                <w:w w:val="99"/>
              </w:rPr>
              <w:t>(State or other jurisdiction of</w:t>
            </w:r>
          </w:p>
        </w:tc>
        <w:tc>
          <w:tcPr>
            <w:tcW w:w="11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gridSpan w:val="2"/>
          </w:tcPr>
          <w:p>
            <w:pPr>
              <w:jc w:val="center"/>
              <w:ind w:right="700"/>
              <w:spacing w:after="0" w:line="195" w:lineRule="exact"/>
              <w:rPr>
                <w:sz w:val="20"/>
                <w:szCs w:val="20"/>
                <w:color w:val="auto"/>
              </w:rPr>
            </w:pPr>
            <w:r>
              <w:rPr>
                <w:rFonts w:ascii="Arial" w:cs="Arial" w:eastAsia="Arial" w:hAnsi="Arial"/>
                <w:sz w:val="18"/>
                <w:szCs w:val="18"/>
                <w:color w:val="auto"/>
                <w:w w:val="99"/>
              </w:rPr>
              <w:t>(I.R.S. Employer</w:t>
            </w:r>
          </w:p>
        </w:tc>
      </w:tr>
      <w:tr>
        <w:trPr>
          <w:trHeight w:val="217"/>
        </w:trPr>
        <w:tc>
          <w:tcPr>
            <w:tcW w:w="1260" w:type="dxa"/>
            <w:vAlign w:val="bottom"/>
          </w:tcPr>
          <w:p>
            <w:pPr>
              <w:spacing w:after="0"/>
              <w:rPr>
                <w:sz w:val="18"/>
                <w:szCs w:val="18"/>
                <w:color w:val="auto"/>
              </w:rPr>
            </w:pPr>
          </w:p>
        </w:tc>
        <w:tc>
          <w:tcPr>
            <w:tcW w:w="6520" w:type="dxa"/>
            <w:vAlign w:val="bottom"/>
            <w:gridSpan w:val="3"/>
          </w:tcPr>
          <w:p>
            <w:pPr>
              <w:jc w:val="center"/>
              <w:ind w:right="3100"/>
              <w:spacing w:after="0"/>
              <w:rPr>
                <w:sz w:val="20"/>
                <w:szCs w:val="20"/>
                <w:color w:val="auto"/>
              </w:rPr>
            </w:pPr>
            <w:r>
              <w:rPr>
                <w:rFonts w:ascii="Arial" w:cs="Arial" w:eastAsia="Arial" w:hAnsi="Arial"/>
                <w:sz w:val="18"/>
                <w:szCs w:val="18"/>
                <w:color w:val="auto"/>
                <w:w w:val="99"/>
              </w:rPr>
              <w:t>incorporation or organization)</w:t>
            </w:r>
          </w:p>
        </w:tc>
        <w:tc>
          <w:tcPr>
            <w:tcW w:w="274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Identification No.)</w:t>
            </w:r>
          </w:p>
        </w:tc>
      </w:tr>
      <w:tr>
        <w:trPr>
          <w:trHeight w:val="418"/>
        </w:trPr>
        <w:tc>
          <w:tcPr>
            <w:tcW w:w="1260" w:type="dxa"/>
            <w:vAlign w:val="bottom"/>
          </w:tcPr>
          <w:p>
            <w:pPr>
              <w:spacing w:after="0"/>
              <w:rPr>
                <w:sz w:val="24"/>
                <w:szCs w:val="24"/>
                <w:color w:val="auto"/>
              </w:rPr>
            </w:pPr>
          </w:p>
        </w:tc>
        <w:tc>
          <w:tcPr>
            <w:tcW w:w="6520" w:type="dxa"/>
            <w:vAlign w:val="bottom"/>
            <w:gridSpan w:val="3"/>
          </w:tcPr>
          <w:p>
            <w:pPr>
              <w:jc w:val="center"/>
              <w:ind w:right="3080"/>
              <w:spacing w:after="0"/>
              <w:rPr>
                <w:sz w:val="20"/>
                <w:szCs w:val="20"/>
                <w:color w:val="auto"/>
              </w:rPr>
            </w:pPr>
            <w:r>
              <w:rPr>
                <w:rFonts w:ascii="Arial" w:cs="Arial" w:eastAsia="Arial" w:hAnsi="Arial"/>
                <w:sz w:val="18"/>
                <w:szCs w:val="18"/>
                <w:color w:val="auto"/>
              </w:rPr>
              <w:t>101 Columbia Road</w:t>
            </w: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1260" w:type="dxa"/>
            <w:vAlign w:val="bottom"/>
          </w:tcPr>
          <w:p>
            <w:pPr>
              <w:spacing w:after="0"/>
              <w:rPr>
                <w:sz w:val="17"/>
                <w:szCs w:val="17"/>
                <w:color w:val="auto"/>
              </w:rPr>
            </w:pPr>
          </w:p>
        </w:tc>
        <w:tc>
          <w:tcPr>
            <w:tcW w:w="6520" w:type="dxa"/>
            <w:vAlign w:val="bottom"/>
            <w:gridSpan w:val="3"/>
          </w:tcPr>
          <w:p>
            <w:pPr>
              <w:jc w:val="center"/>
              <w:ind w:right="3100"/>
              <w:spacing w:after="0" w:line="203" w:lineRule="exact"/>
              <w:rPr>
                <w:sz w:val="20"/>
                <w:szCs w:val="20"/>
                <w:color w:val="auto"/>
              </w:rPr>
            </w:pPr>
            <w:r>
              <w:rPr>
                <w:rFonts w:ascii="Arial" w:cs="Arial" w:eastAsia="Arial" w:hAnsi="Arial"/>
                <w:sz w:val="18"/>
                <w:szCs w:val="18"/>
                <w:color w:val="auto"/>
                <w:w w:val="99"/>
              </w:rPr>
              <w:t>Morris Township, New Jersey</w:t>
            </w:r>
          </w:p>
        </w:tc>
        <w:tc>
          <w:tcPr>
            <w:tcW w:w="15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07962</w:t>
            </w:r>
          </w:p>
        </w:tc>
        <w:tc>
          <w:tcPr>
            <w:tcW w:w="1160" w:type="dxa"/>
            <w:vAlign w:val="bottom"/>
          </w:tcPr>
          <w:p>
            <w:pPr>
              <w:spacing w:after="0"/>
              <w:rPr>
                <w:sz w:val="17"/>
                <w:szCs w:val="17"/>
                <w:color w:val="auto"/>
              </w:rPr>
            </w:pPr>
          </w:p>
        </w:tc>
      </w:tr>
      <w:tr>
        <w:trPr>
          <w:trHeight w:val="210"/>
        </w:trPr>
        <w:tc>
          <w:tcPr>
            <w:tcW w:w="1260" w:type="dxa"/>
            <w:vAlign w:val="bottom"/>
            <w:tcBorders>
              <w:top w:val="single" w:sz="8" w:color="auto"/>
            </w:tcBorders>
          </w:tcPr>
          <w:p>
            <w:pPr>
              <w:spacing w:after="0"/>
              <w:rPr>
                <w:sz w:val="18"/>
                <w:szCs w:val="18"/>
                <w:color w:val="auto"/>
              </w:rPr>
            </w:pPr>
          </w:p>
        </w:tc>
        <w:tc>
          <w:tcPr>
            <w:tcW w:w="4680" w:type="dxa"/>
            <w:vAlign w:val="bottom"/>
            <w:tcBorders>
              <w:top w:val="single" w:sz="8" w:color="auto"/>
            </w:tcBorders>
          </w:tcPr>
          <w:p>
            <w:pPr>
              <w:jc w:val="center"/>
              <w:ind w:right="1150"/>
              <w:spacing w:after="0"/>
              <w:rPr>
                <w:sz w:val="20"/>
                <w:szCs w:val="20"/>
                <w:color w:val="auto"/>
              </w:rPr>
            </w:pPr>
            <w:r>
              <w:rPr>
                <w:rFonts w:ascii="Arial" w:cs="Arial" w:eastAsia="Arial" w:hAnsi="Arial"/>
                <w:sz w:val="18"/>
                <w:szCs w:val="18"/>
                <w:color w:val="auto"/>
                <w:w w:val="99"/>
              </w:rPr>
              <w:t>(Address of principal executive offices)</w:t>
            </w:r>
          </w:p>
        </w:tc>
        <w:tc>
          <w:tcPr>
            <w:tcW w:w="1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2"/>
          </w:tcPr>
          <w:p>
            <w:pPr>
              <w:jc w:val="center"/>
              <w:ind w:right="680"/>
              <w:spacing w:after="0"/>
              <w:rPr>
                <w:sz w:val="20"/>
                <w:szCs w:val="20"/>
                <w:color w:val="auto"/>
              </w:rPr>
            </w:pPr>
            <w:r>
              <w:rPr>
                <w:rFonts w:ascii="Arial" w:cs="Arial" w:eastAsia="Arial" w:hAnsi="Arial"/>
                <w:sz w:val="18"/>
                <w:szCs w:val="18"/>
                <w:color w:val="auto"/>
              </w:rPr>
              <w:t>(Zip Code)</w:t>
            </w:r>
          </w:p>
        </w:tc>
      </w:tr>
      <w:tr>
        <w:trPr>
          <w:trHeight w:val="404"/>
        </w:trPr>
        <w:tc>
          <w:tcPr>
            <w:tcW w:w="5940" w:type="dxa"/>
            <w:vAlign w:val="bottom"/>
            <w:gridSpan w:val="2"/>
          </w:tcPr>
          <w:p>
            <w:pPr>
              <w:jc w:val="center"/>
              <w:ind w:left="4610"/>
              <w:spacing w:after="0"/>
              <w:rPr>
                <w:sz w:val="20"/>
                <w:szCs w:val="20"/>
                <w:color w:val="auto"/>
              </w:rPr>
            </w:pPr>
            <w:r>
              <w:rPr>
                <w:rFonts w:ascii="Arial" w:cs="Arial" w:eastAsia="Arial" w:hAnsi="Arial"/>
                <w:sz w:val="18"/>
                <w:szCs w:val="18"/>
                <w:color w:val="auto"/>
              </w:rPr>
              <w:t>(973) 455-2000</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1260" w:type="dxa"/>
            <w:vAlign w:val="bottom"/>
          </w:tcPr>
          <w:p>
            <w:pPr>
              <w:spacing w:after="0"/>
              <w:rPr>
                <w:sz w:val="18"/>
                <w:szCs w:val="18"/>
                <w:color w:val="auto"/>
              </w:rPr>
            </w:pPr>
          </w:p>
        </w:tc>
        <w:tc>
          <w:tcPr>
            <w:tcW w:w="6520" w:type="dxa"/>
            <w:vAlign w:val="bottom"/>
            <w:tcBorders>
              <w:top w:val="single" w:sz="8" w:color="auto"/>
            </w:tcBorders>
            <w:gridSpan w:val="3"/>
          </w:tcPr>
          <w:p>
            <w:pPr>
              <w:jc w:val="center"/>
              <w:ind w:left="1490"/>
              <w:spacing w:after="0"/>
              <w:rPr>
                <w:sz w:val="20"/>
                <w:szCs w:val="20"/>
                <w:color w:val="auto"/>
              </w:rPr>
            </w:pPr>
            <w:r>
              <w:rPr>
                <w:rFonts w:ascii="Arial" w:cs="Arial" w:eastAsia="Arial" w:hAnsi="Arial"/>
                <w:sz w:val="18"/>
                <w:szCs w:val="18"/>
                <w:color w:val="auto"/>
                <w:w w:val="99"/>
              </w:rPr>
              <w:t>(Registrant’s telephone number, including area code)</w:t>
            </w:r>
          </w:p>
        </w:tc>
        <w:tc>
          <w:tcPr>
            <w:tcW w:w="1580" w:type="dxa"/>
            <w:vAlign w:val="bottom"/>
            <w:tcBorders>
              <w:top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418"/>
        </w:trPr>
        <w:tc>
          <w:tcPr>
            <w:tcW w:w="1260" w:type="dxa"/>
            <w:vAlign w:val="bottom"/>
          </w:tcPr>
          <w:p>
            <w:pPr>
              <w:spacing w:after="0"/>
              <w:rPr>
                <w:sz w:val="24"/>
                <w:szCs w:val="24"/>
                <w:color w:val="auto"/>
              </w:rPr>
            </w:pPr>
          </w:p>
        </w:tc>
        <w:tc>
          <w:tcPr>
            <w:tcW w:w="6520" w:type="dxa"/>
            <w:vAlign w:val="bottom"/>
            <w:tcBorders>
              <w:bottom w:val="single" w:sz="8" w:color="auto"/>
            </w:tcBorders>
            <w:gridSpan w:val="3"/>
          </w:tcPr>
          <w:p>
            <w:pPr>
              <w:jc w:val="center"/>
              <w:ind w:left="1510"/>
              <w:spacing w:after="0"/>
              <w:rPr>
                <w:sz w:val="20"/>
                <w:szCs w:val="20"/>
                <w:color w:val="auto"/>
              </w:rPr>
            </w:pPr>
            <w:r>
              <w:rPr>
                <w:rFonts w:ascii="Arial" w:cs="Arial" w:eastAsia="Arial" w:hAnsi="Arial"/>
                <w:sz w:val="18"/>
                <w:szCs w:val="18"/>
                <w:color w:val="auto"/>
                <w:w w:val="99"/>
              </w:rPr>
              <w:t>Not Applicable</w:t>
            </w:r>
          </w:p>
        </w:tc>
        <w:tc>
          <w:tcPr>
            <w:tcW w:w="158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195"/>
        </w:trPr>
        <w:tc>
          <w:tcPr>
            <w:tcW w:w="1260" w:type="dxa"/>
            <w:vAlign w:val="bottom"/>
          </w:tcPr>
          <w:p>
            <w:pPr>
              <w:spacing w:after="0"/>
              <w:rPr>
                <w:sz w:val="16"/>
                <w:szCs w:val="16"/>
                <w:color w:val="auto"/>
              </w:rPr>
            </w:pPr>
          </w:p>
        </w:tc>
        <w:tc>
          <w:tcPr>
            <w:tcW w:w="6520" w:type="dxa"/>
            <w:vAlign w:val="bottom"/>
            <w:gridSpan w:val="3"/>
          </w:tcPr>
          <w:p>
            <w:pPr>
              <w:jc w:val="center"/>
              <w:ind w:left="1510"/>
              <w:spacing w:after="0" w:line="195" w:lineRule="exact"/>
              <w:rPr>
                <w:sz w:val="20"/>
                <w:szCs w:val="20"/>
                <w:color w:val="auto"/>
              </w:rPr>
            </w:pPr>
            <w:r>
              <w:rPr>
                <w:rFonts w:ascii="Arial" w:cs="Arial" w:eastAsia="Arial" w:hAnsi="Arial"/>
                <w:sz w:val="18"/>
                <w:szCs w:val="18"/>
                <w:color w:val="auto"/>
                <w:w w:val="99"/>
              </w:rPr>
              <w:t>(Former name, former address and former fiscal year,</w:t>
            </w:r>
          </w:p>
        </w:tc>
        <w:tc>
          <w:tcPr>
            <w:tcW w:w="15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1260" w:type="dxa"/>
            <w:vAlign w:val="bottom"/>
          </w:tcPr>
          <w:p>
            <w:pPr>
              <w:spacing w:after="0"/>
              <w:rPr>
                <w:sz w:val="18"/>
                <w:szCs w:val="18"/>
                <w:color w:val="auto"/>
              </w:rPr>
            </w:pPr>
          </w:p>
        </w:tc>
        <w:tc>
          <w:tcPr>
            <w:tcW w:w="6520" w:type="dxa"/>
            <w:vAlign w:val="bottom"/>
            <w:gridSpan w:val="3"/>
          </w:tcPr>
          <w:p>
            <w:pPr>
              <w:jc w:val="center"/>
              <w:ind w:left="1490"/>
              <w:spacing w:after="0"/>
              <w:rPr>
                <w:sz w:val="20"/>
                <w:szCs w:val="20"/>
                <w:color w:val="auto"/>
              </w:rPr>
            </w:pPr>
            <w:r>
              <w:rPr>
                <w:rFonts w:ascii="Arial" w:cs="Arial" w:eastAsia="Arial" w:hAnsi="Arial"/>
                <w:sz w:val="18"/>
                <w:szCs w:val="18"/>
                <w:color w:val="auto"/>
              </w:rPr>
              <w:t>if changed since last report)</w:t>
            </w:r>
          </w:p>
        </w:tc>
        <w:tc>
          <w:tcPr>
            <w:tcW w:w="158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0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p>
    <w:p>
      <w:pPr>
        <w:spacing w:after="0" w:line="189" w:lineRule="exact"/>
        <w:rPr>
          <w:sz w:val="24"/>
          <w:szCs w:val="24"/>
          <w:color w:val="auto"/>
        </w:rPr>
      </w:pPr>
    </w:p>
    <w:p>
      <w:pPr>
        <w:jc w:val="both"/>
        <w:ind w:right="20"/>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S No £</w:t>
      </w:r>
    </w:p>
    <w:p>
      <w:pPr>
        <w:spacing w:after="0" w:line="189" w:lineRule="exact"/>
        <w:rPr>
          <w:sz w:val="24"/>
          <w:szCs w:val="24"/>
          <w:color w:val="auto"/>
        </w:rPr>
      </w:pPr>
    </w:p>
    <w:p>
      <w:pPr>
        <w:jc w:val="both"/>
        <w:spacing w:after="0" w:line="23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 See definitions of “accelerated filer,” “large accelerated filer” and “smaller reporting company” in Rule 12b-2 of the Exchange Act. (Check one):</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S Accelerated filer £ Non-Accelerated filer £ Smaller reporting company £</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No S</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There were 782,543,677 shares of Common Stock outstanding at June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76" w:lineRule="exact"/>
        <w:rPr>
          <w:sz w:val="20"/>
          <w:szCs w:val="20"/>
          <w:color w:val="auto"/>
        </w:rPr>
      </w:pPr>
    </w:p>
    <w:p>
      <w:pPr>
        <w:spacing w:after="0"/>
        <w:tabs>
          <w:tab w:leader="none" w:pos="2500" w:val="left"/>
          <w:tab w:leader="none" w:pos="10500" w:val="left"/>
        </w:tabs>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color w:val="0000EE"/>
        </w:rPr>
        <w:tab/>
      </w:r>
      <w:hyperlink w:anchor="page3">
        <w:r>
          <w:rPr>
            <w:rFonts w:ascii="Arial" w:cs="Arial" w:eastAsia="Arial" w:hAnsi="Arial"/>
            <w:sz w:val="18"/>
            <w:szCs w:val="18"/>
            <w:b w:val="1"/>
            <w:bCs w:val="1"/>
            <w:u w:val="single" w:color="auto"/>
            <w:color w:val="0000EE"/>
          </w:rPr>
          <w:t>Financial Information</w:t>
        </w:r>
      </w:hyperlink>
      <w:r>
        <w:rPr>
          <w:rFonts w:ascii="Arial" w:cs="Arial" w:eastAsia="Arial" w:hAnsi="Arial"/>
          <w:sz w:val="18"/>
          <w:szCs w:val="18"/>
          <w:b w:val="1"/>
          <w:bCs w:val="1"/>
          <w:u w:val="single" w:color="auto"/>
          <w:color w:val="0000EE"/>
        </w:rPr>
        <w:tab/>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20320</wp:posOffset>
            </wp:positionV>
            <wp:extent cx="651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p>
      <w:pPr>
        <w:spacing w:after="0" w:line="261" w:lineRule="exact"/>
        <w:rPr>
          <w:sz w:val="20"/>
          <w:szCs w:val="20"/>
          <w:color w:val="auto"/>
        </w:rPr>
      </w:pPr>
    </w:p>
    <w:p>
      <w:pPr>
        <w:ind w:left="12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w:t>
        </w:r>
      </w:hyperlink>
    </w:p>
    <w:p>
      <w:pPr>
        <w:spacing w:after="0" w:line="225" w:lineRule="exact"/>
        <w:rPr>
          <w:sz w:val="20"/>
          <w:szCs w:val="20"/>
          <w:color w:val="auto"/>
        </w:rPr>
      </w:pPr>
    </w:p>
    <w:p>
      <w:pPr>
        <w:ind w:left="12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3.</w:t>
        </w:r>
      </w:hyperlink>
    </w:p>
    <w:p>
      <w:pPr>
        <w:spacing w:after="0" w:line="225" w:lineRule="exact"/>
        <w:rPr>
          <w:sz w:val="20"/>
          <w:szCs w:val="20"/>
          <w:color w:val="auto"/>
        </w:rPr>
      </w:pPr>
    </w:p>
    <w:p>
      <w:pPr>
        <w:ind w:left="12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4.</w:t>
        </w:r>
      </w:hyperlink>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w:t>
              </w:r>
            </w:hyperlink>
          </w:p>
        </w:tc>
        <w:tc>
          <w:tcPr>
            <w:tcW w:w="5960" w:type="dxa"/>
            <w:vAlign w:val="bottom"/>
            <w:gridSpan w:val="10"/>
          </w:tcPr>
          <w:p>
            <w:pPr>
              <w:spacing w:after="0"/>
              <w:rPr>
                <w:sz w:val="17"/>
                <w:szCs w:val="17"/>
                <w:color w:val="auto"/>
              </w:rPr>
            </w:pPr>
          </w:p>
        </w:tc>
        <w:tc>
          <w:tcPr>
            <w:tcW w:w="600" w:type="dxa"/>
            <w:vAlign w:val="bottom"/>
          </w:tcPr>
          <w:p>
            <w:pPr>
              <w:spacing w:after="0"/>
              <w:rPr>
                <w:sz w:val="17"/>
                <w:szCs w:val="17"/>
                <w:color w:val="auto"/>
              </w:rPr>
            </w:pPr>
          </w:p>
        </w:tc>
      </w:tr>
      <w:tr>
        <w:trPr>
          <w:trHeight w:val="399"/>
        </w:trPr>
        <w:tc>
          <w:tcPr>
            <w:tcW w:w="72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 of Operations (unaudited) – Three and Six Months Ended June 30,</w:t>
              </w:r>
            </w:hyperlink>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7520" w:type="dxa"/>
            <w:vAlign w:val="bottom"/>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2014 and 2013</w:t>
              </w:r>
            </w:hyperlink>
          </w:p>
        </w:tc>
        <w:tc>
          <w:tcPr>
            <w:tcW w:w="600" w:type="dxa"/>
            <w:vAlign w:val="bottom"/>
          </w:tcPr>
          <w:p>
            <w:pPr>
              <w:jc w:val="center"/>
              <w:ind w:left="330"/>
              <w:spacing w:after="0" w:line="196" w:lineRule="exact"/>
              <w:rPr>
                <w:sz w:val="20"/>
                <w:szCs w:val="20"/>
                <w:color w:val="auto"/>
              </w:rPr>
            </w:pPr>
            <w:r>
              <w:rPr>
                <w:rFonts w:ascii="Arial" w:cs="Arial" w:eastAsia="Arial" w:hAnsi="Arial"/>
                <w:sz w:val="18"/>
                <w:szCs w:val="18"/>
                <w:color w:val="auto"/>
                <w:w w:val="99"/>
              </w:rPr>
              <w:t>3</w:t>
            </w:r>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99"/>
        </w:trPr>
        <w:tc>
          <w:tcPr>
            <w:tcW w:w="70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 of Comprehensive Income (unaudited) – Three and Six Months</w:t>
              </w:r>
            </w:hyperlink>
          </w:p>
        </w:tc>
        <w:tc>
          <w:tcPr>
            <w:tcW w:w="70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r>
      <w:tr>
        <w:trPr>
          <w:trHeight w:val="183"/>
        </w:trPr>
        <w:tc>
          <w:tcPr>
            <w:tcW w:w="180" w:type="dxa"/>
            <w:vAlign w:val="bottom"/>
          </w:tcPr>
          <w:p>
            <w:pPr>
              <w:spacing w:after="0"/>
              <w:rPr>
                <w:sz w:val="15"/>
                <w:szCs w:val="15"/>
                <w:color w:val="auto"/>
              </w:rPr>
            </w:pPr>
          </w:p>
        </w:tc>
        <w:tc>
          <w:tcPr>
            <w:tcW w:w="252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Ended June 30, 2014 and 2013</w:t>
              </w:r>
            </w:hyperlink>
          </w:p>
        </w:tc>
        <w:tc>
          <w:tcPr>
            <w:tcW w:w="5000" w:type="dxa"/>
            <w:vAlign w:val="bottom"/>
            <w:gridSpan w:val="8"/>
          </w:tcPr>
          <w:p>
            <w:pPr>
              <w:spacing w:after="0"/>
              <w:rPr>
                <w:sz w:val="15"/>
                <w:szCs w:val="15"/>
                <w:color w:val="auto"/>
              </w:rPr>
            </w:pPr>
          </w:p>
        </w:tc>
        <w:tc>
          <w:tcPr>
            <w:tcW w:w="600" w:type="dxa"/>
            <w:vAlign w:val="bottom"/>
          </w:tcPr>
          <w:p>
            <w:pPr>
              <w:jc w:val="center"/>
              <w:ind w:left="330"/>
              <w:spacing w:after="0" w:line="182" w:lineRule="exact"/>
              <w:rPr>
                <w:sz w:val="20"/>
                <w:szCs w:val="20"/>
                <w:color w:val="auto"/>
              </w:rPr>
            </w:pPr>
            <w:r>
              <w:rPr>
                <w:rFonts w:ascii="Arial" w:cs="Arial" w:eastAsia="Arial" w:hAnsi="Arial"/>
                <w:sz w:val="18"/>
                <w:szCs w:val="18"/>
                <w:color w:val="auto"/>
                <w:w w:val="99"/>
              </w:rPr>
              <w:t>4</w:t>
            </w:r>
          </w:p>
        </w:tc>
      </w:tr>
      <w:tr>
        <w:trPr>
          <w:trHeight w:val="412"/>
        </w:trPr>
        <w:tc>
          <w:tcPr>
            <w:tcW w:w="65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 (unaudited) – June 30, 2014 and December 31, 2013</w:t>
              </w:r>
            </w:hyperlink>
          </w:p>
        </w:tc>
        <w:tc>
          <w:tcPr>
            <w:tcW w:w="1140" w:type="dxa"/>
            <w:vAlign w:val="bottom"/>
            <w:gridSpan w:val="4"/>
          </w:tcPr>
          <w:p>
            <w:pPr>
              <w:spacing w:after="0"/>
              <w:rPr>
                <w:sz w:val="24"/>
                <w:szCs w:val="24"/>
                <w:color w:val="auto"/>
              </w:rPr>
            </w:pPr>
          </w:p>
        </w:tc>
        <w:tc>
          <w:tcPr>
            <w:tcW w:w="600" w:type="dxa"/>
            <w:vAlign w:val="bottom"/>
          </w:tcPr>
          <w:p>
            <w:pPr>
              <w:jc w:val="center"/>
              <w:ind w:left="330"/>
              <w:spacing w:after="0"/>
              <w:rPr>
                <w:sz w:val="20"/>
                <w:szCs w:val="20"/>
                <w:color w:val="auto"/>
              </w:rPr>
            </w:pPr>
            <w:r>
              <w:rPr>
                <w:rFonts w:ascii="Arial" w:cs="Arial" w:eastAsia="Arial" w:hAnsi="Arial"/>
                <w:sz w:val="18"/>
                <w:szCs w:val="18"/>
                <w:color w:val="auto"/>
                <w:w w:val="99"/>
              </w:rPr>
              <w:t>5</w:t>
            </w:r>
          </w:p>
        </w:tc>
      </w:tr>
      <w:tr>
        <w:trPr>
          <w:trHeight w:val="399"/>
        </w:trPr>
        <w:tc>
          <w:tcPr>
            <w:tcW w:w="77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 – Six Months Ended June 30, 2014 and</w:t>
              </w:r>
            </w:hyperlink>
          </w:p>
        </w:tc>
        <w:tc>
          <w:tcPr>
            <w:tcW w:w="600" w:type="dxa"/>
            <w:vAlign w:val="bottom"/>
          </w:tcPr>
          <w:p>
            <w:pPr>
              <w:spacing w:after="0"/>
              <w:rPr>
                <w:sz w:val="24"/>
                <w:szCs w:val="24"/>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2013</w:t>
              </w:r>
            </w:hyperlink>
          </w:p>
        </w:tc>
        <w:tc>
          <w:tcPr>
            <w:tcW w:w="8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8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jc w:val="center"/>
              <w:ind w:left="330"/>
              <w:spacing w:after="0" w:line="182" w:lineRule="exact"/>
              <w:rPr>
                <w:sz w:val="20"/>
                <w:szCs w:val="20"/>
                <w:color w:val="auto"/>
              </w:rPr>
            </w:pPr>
            <w:r>
              <w:rPr>
                <w:rFonts w:ascii="Arial" w:cs="Arial" w:eastAsia="Arial" w:hAnsi="Arial"/>
                <w:sz w:val="18"/>
                <w:szCs w:val="18"/>
                <w:color w:val="auto"/>
                <w:w w:val="99"/>
              </w:rPr>
              <w:t>6</w:t>
            </w:r>
          </w:p>
        </w:tc>
      </w:tr>
      <w:tr>
        <w:trPr>
          <w:trHeight w:val="412"/>
        </w:trPr>
        <w:tc>
          <w:tcPr>
            <w:tcW w:w="770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 (unaudited)</w:t>
              </w:r>
            </w:hyperlink>
          </w:p>
        </w:tc>
        <w:tc>
          <w:tcPr>
            <w:tcW w:w="600" w:type="dxa"/>
            <w:vAlign w:val="bottom"/>
          </w:tcPr>
          <w:p>
            <w:pPr>
              <w:jc w:val="center"/>
              <w:ind w:left="330"/>
              <w:spacing w:after="0"/>
              <w:rPr>
                <w:sz w:val="20"/>
                <w:szCs w:val="20"/>
                <w:color w:val="auto"/>
              </w:rPr>
            </w:pPr>
            <w:r>
              <w:rPr>
                <w:rFonts w:ascii="Arial" w:cs="Arial" w:eastAsia="Arial" w:hAnsi="Arial"/>
                <w:sz w:val="18"/>
                <w:szCs w:val="18"/>
                <w:color w:val="auto"/>
                <w:w w:val="99"/>
              </w:rPr>
              <w:t>7</w:t>
            </w:r>
          </w:p>
        </w:tc>
      </w:tr>
      <w:tr>
        <w:trPr>
          <w:trHeight w:val="20"/>
        </w:trPr>
        <w:tc>
          <w:tcPr>
            <w:tcW w:w="2000" w:type="dxa"/>
            <w:vAlign w:val="bottom"/>
            <w:gridSpan w:val="5"/>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770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600" w:type="dxa"/>
            <w:vAlign w:val="bottom"/>
          </w:tcPr>
          <w:p>
            <w:pPr>
              <w:jc w:val="center"/>
              <w:ind w:left="310"/>
              <w:spacing w:after="0"/>
              <w:rPr>
                <w:sz w:val="20"/>
                <w:szCs w:val="20"/>
                <w:color w:val="auto"/>
              </w:rPr>
            </w:pPr>
            <w:r>
              <w:rPr>
                <w:rFonts w:ascii="Arial" w:cs="Arial" w:eastAsia="Arial" w:hAnsi="Arial"/>
                <w:sz w:val="18"/>
                <w:szCs w:val="18"/>
                <w:color w:val="auto"/>
                <w:w w:val="99"/>
              </w:rPr>
              <w:t>33</w:t>
            </w:r>
          </w:p>
        </w:tc>
      </w:tr>
      <w:tr>
        <w:trPr>
          <w:trHeight w:val="20"/>
        </w:trPr>
        <w:tc>
          <w:tcPr>
            <w:tcW w:w="2000" w:type="dxa"/>
            <w:vAlign w:val="bottom"/>
            <w:gridSpan w:val="5"/>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770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center"/>
              <w:ind w:left="310"/>
              <w:spacing w:after="0"/>
              <w:rPr>
                <w:sz w:val="20"/>
                <w:szCs w:val="20"/>
                <w:color w:val="auto"/>
              </w:rPr>
            </w:pPr>
            <w:r>
              <w:rPr>
                <w:rFonts w:ascii="Arial" w:cs="Arial" w:eastAsia="Arial" w:hAnsi="Arial"/>
                <w:sz w:val="18"/>
                <w:szCs w:val="18"/>
                <w:color w:val="auto"/>
                <w:w w:val="99"/>
              </w:rPr>
              <w:t>34</w:t>
            </w:r>
          </w:p>
        </w:tc>
      </w:tr>
      <w:tr>
        <w:trPr>
          <w:trHeight w:val="412"/>
        </w:trPr>
        <w:tc>
          <w:tcPr>
            <w:tcW w:w="47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Quantitative and Qualitative Disclosures About Market Risk</w:t>
              </w:r>
            </w:hyperlink>
          </w:p>
        </w:tc>
        <w:tc>
          <w:tcPr>
            <w:tcW w:w="2360" w:type="dxa"/>
            <w:vAlign w:val="bottom"/>
            <w:tcBorders>
              <w:top w:val="single" w:sz="8" w:color="0000EE"/>
            </w:tcBorders>
            <w:gridSpan w:val="3"/>
          </w:tcPr>
          <w:p>
            <w:pPr>
              <w:spacing w:after="0"/>
              <w:rPr>
                <w:sz w:val="24"/>
                <w:szCs w:val="24"/>
                <w:color w:val="auto"/>
              </w:rPr>
            </w:pPr>
          </w:p>
        </w:tc>
        <w:tc>
          <w:tcPr>
            <w:tcW w:w="620" w:type="dxa"/>
            <w:vAlign w:val="bottom"/>
            <w:gridSpan w:val="2"/>
          </w:tcPr>
          <w:p>
            <w:pPr>
              <w:spacing w:after="0"/>
              <w:rPr>
                <w:sz w:val="24"/>
                <w:szCs w:val="24"/>
                <w:color w:val="auto"/>
              </w:rPr>
            </w:pPr>
          </w:p>
        </w:tc>
        <w:tc>
          <w:tcPr>
            <w:tcW w:w="600" w:type="dxa"/>
            <w:vAlign w:val="bottom"/>
          </w:tcPr>
          <w:p>
            <w:pPr>
              <w:jc w:val="center"/>
              <w:ind w:left="310"/>
              <w:spacing w:after="0"/>
              <w:rPr>
                <w:sz w:val="20"/>
                <w:szCs w:val="20"/>
                <w:color w:val="auto"/>
              </w:rPr>
            </w:pPr>
            <w:r>
              <w:rPr>
                <w:rFonts w:ascii="Arial" w:cs="Arial" w:eastAsia="Arial" w:hAnsi="Arial"/>
                <w:sz w:val="18"/>
                <w:szCs w:val="18"/>
                <w:color w:val="auto"/>
                <w:w w:val="99"/>
              </w:rPr>
              <w:t>45</w:t>
            </w:r>
          </w:p>
        </w:tc>
      </w:tr>
      <w:tr>
        <w:trPr>
          <w:trHeight w:val="412"/>
        </w:trPr>
        <w:tc>
          <w:tcPr>
            <w:tcW w:w="20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Controls and Procedures</w:t>
              </w:r>
            </w:hyperlink>
          </w:p>
        </w:tc>
        <w:tc>
          <w:tcPr>
            <w:tcW w:w="5700" w:type="dxa"/>
            <w:vAlign w:val="bottom"/>
            <w:gridSpan w:val="9"/>
          </w:tcPr>
          <w:p>
            <w:pPr>
              <w:spacing w:after="0"/>
              <w:rPr>
                <w:sz w:val="24"/>
                <w:szCs w:val="24"/>
                <w:color w:val="auto"/>
              </w:rPr>
            </w:pPr>
          </w:p>
        </w:tc>
        <w:tc>
          <w:tcPr>
            <w:tcW w:w="600" w:type="dxa"/>
            <w:vAlign w:val="bottom"/>
          </w:tcPr>
          <w:p>
            <w:pPr>
              <w:jc w:val="center"/>
              <w:ind w:left="310"/>
              <w:spacing w:after="0"/>
              <w:rPr>
                <w:sz w:val="20"/>
                <w:szCs w:val="20"/>
                <w:color w:val="auto"/>
              </w:rPr>
            </w:pPr>
            <w:r>
              <w:rPr>
                <w:rFonts w:ascii="Arial" w:cs="Arial" w:eastAsia="Arial" w:hAnsi="Arial"/>
                <w:sz w:val="18"/>
                <w:szCs w:val="18"/>
                <w:color w:val="auto"/>
                <w:w w:val="99"/>
              </w:rPr>
              <w:t>45</w:t>
            </w:r>
          </w:p>
        </w:tc>
      </w:tr>
    </w:tbl>
    <w:p>
      <w:pPr>
        <w:spacing w:after="0" w:line="203" w:lineRule="exact"/>
        <w:rPr>
          <w:sz w:val="20"/>
          <w:szCs w:val="20"/>
          <w:color w:val="auto"/>
        </w:rPr>
      </w:pPr>
    </w:p>
    <w:p>
      <w:pPr>
        <w:sectPr>
          <w:pgSz w:w="11900" w:h="16838" w:orient="portrait"/>
          <w:cols w:equalWidth="0" w:num="2">
            <w:col w:w="1980" w:space="720"/>
            <w:col w:w="8720"/>
          </w:cols>
          <w:pgMar w:left="240" w:top="391" w:right="2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46">
              <w:r>
                <w:rPr>
                  <w:rFonts w:ascii="Arial" w:cs="Arial" w:eastAsia="Arial" w:hAnsi="Arial"/>
                  <w:sz w:val="18"/>
                  <w:szCs w:val="18"/>
                  <w:b w:val="1"/>
                  <w:bCs w:val="1"/>
                  <w:color w:val="0000EE"/>
                  <w:w w:val="98"/>
                </w:rPr>
                <w:t>Part II.</w:t>
              </w:r>
            </w:hyperlink>
          </w:p>
        </w:tc>
        <w:tc>
          <w:tcPr>
            <w:tcW w:w="1260" w:type="dxa"/>
            <w:vAlign w:val="bottom"/>
            <w:gridSpan w:val="4"/>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46">
              <w:r>
                <w:rPr>
                  <w:rFonts w:ascii="Arial" w:cs="Arial" w:eastAsia="Arial" w:hAnsi="Arial"/>
                  <w:sz w:val="18"/>
                  <w:szCs w:val="18"/>
                  <w:b w:val="1"/>
                  <w:bCs w:val="1"/>
                  <w:color w:val="0000EE"/>
                  <w:w w:val="98"/>
                </w:rPr>
                <w:t>Other Information</w:t>
              </w:r>
            </w:hyperlink>
          </w:p>
        </w:tc>
        <w:tc>
          <w:tcPr>
            <w:tcW w:w="4460" w:type="dxa"/>
            <w:vAlign w:val="bottom"/>
            <w:gridSpan w:val="3"/>
          </w:tcPr>
          <w:p>
            <w:pPr>
              <w:spacing w:after="0"/>
              <w:rPr>
                <w:sz w:val="18"/>
                <w:szCs w:val="18"/>
                <w:color w:val="auto"/>
              </w:rPr>
            </w:pPr>
          </w:p>
        </w:tc>
        <w:tc>
          <w:tcPr>
            <w:tcW w:w="2500" w:type="dxa"/>
            <w:vAlign w:val="bottom"/>
          </w:tcPr>
          <w:p>
            <w:pPr>
              <w:spacing w:after="0"/>
              <w:rPr>
                <w:sz w:val="18"/>
                <w:szCs w:val="18"/>
                <w:color w:val="auto"/>
              </w:rPr>
            </w:pPr>
          </w:p>
        </w:tc>
      </w:tr>
      <w:tr>
        <w:trPr>
          <w:trHeight w:val="419"/>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Item 1.</w:t>
              </w:r>
            </w:hyperlink>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Legal Proceedings</w:t>
              </w:r>
            </w:hyperlink>
          </w:p>
        </w:tc>
        <w:tc>
          <w:tcPr>
            <w:tcW w:w="4300" w:type="dxa"/>
            <w:vAlign w:val="bottom"/>
            <w:gridSpan w:val="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Item 2.</w:t>
              </w:r>
            </w:hyperlink>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Changes in Securities and Use of Proceeds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Item 6.</w:t>
              </w:r>
            </w:hyperlink>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Borders>
              <w:top w:val="single" w:sz="8" w:color="0000EE"/>
            </w:tcBorders>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23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06"/>
        </w:trPr>
        <w:tc>
          <w:tcPr>
            <w:tcW w:w="128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5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Form 10-K for the year ended December 31, 2013.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financial information as of June 30, 2014 should be read in conjunction with the financial statements for the year ended December 31, 2013 contained in our Form 10-K filed on February 14,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 of Operations</w:t>
      </w: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6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86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8,278</w:t>
            </w:r>
          </w:p>
        </w:tc>
        <w:tc>
          <w:tcPr>
            <w:tcW w:w="62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7,744</w:t>
            </w:r>
          </w:p>
        </w:tc>
        <w:tc>
          <w:tcPr>
            <w:tcW w:w="60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16,123</w:t>
            </w:r>
          </w:p>
        </w:tc>
        <w:tc>
          <w:tcPr>
            <w:tcW w:w="300" w:type="dxa"/>
            <w:vAlign w:val="bottom"/>
            <w:shd w:val="clear" w:color="auto" w:fill="E5FFFF"/>
          </w:tcPr>
          <w:p>
            <w:pPr>
              <w:spacing w:after="0"/>
              <w:rPr>
                <w:sz w:val="17"/>
                <w:szCs w:val="17"/>
                <w:color w:val="auto"/>
              </w:rPr>
            </w:pPr>
          </w:p>
        </w:tc>
        <w:tc>
          <w:tcPr>
            <w:tcW w:w="30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Service sales</w:t>
            </w:r>
          </w:p>
        </w:tc>
        <w:tc>
          <w:tcPr>
            <w:tcW w:w="6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1,975</w:t>
            </w: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1,949</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3,809</w:t>
            </w:r>
          </w:p>
        </w:tc>
        <w:tc>
          <w:tcPr>
            <w:tcW w:w="30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60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10,253</w:t>
            </w:r>
          </w:p>
        </w:tc>
        <w:tc>
          <w:tcPr>
            <w:tcW w:w="36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9,693</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19,932</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19,021</w:t>
            </w:r>
          </w:p>
        </w:tc>
        <w:tc>
          <w:tcPr>
            <w:tcW w:w="0" w:type="dxa"/>
            <w:vAlign w:val="bottom"/>
          </w:tcPr>
          <w:p>
            <w:pPr>
              <w:spacing w:after="0"/>
              <w:rPr>
                <w:sz w:val="1"/>
                <w:szCs w:val="1"/>
                <w:color w:val="auto"/>
              </w:rPr>
            </w:pPr>
          </w:p>
        </w:tc>
      </w:tr>
      <w:tr>
        <w:trPr>
          <w:trHeight w:val="399"/>
        </w:trPr>
        <w:tc>
          <w:tcPr>
            <w:tcW w:w="5240" w:type="dxa"/>
            <w:vAlign w:val="bottom"/>
            <w:gridSpan w:val="2"/>
          </w:tcPr>
          <w:p>
            <w:pPr>
              <w:spacing w:after="0"/>
              <w:rPr>
                <w:sz w:val="20"/>
                <w:szCs w:val="20"/>
                <w:color w:val="auto"/>
              </w:rPr>
            </w:pPr>
            <w:r>
              <w:rPr>
                <w:rFonts w:ascii="Arial" w:cs="Arial" w:eastAsia="Arial" w:hAnsi="Arial"/>
                <w:sz w:val="18"/>
                <w:szCs w:val="18"/>
                <w:color w:val="auto"/>
              </w:rPr>
              <w:t>Costs, expenses and other</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Cost of products sold</w:t>
            </w:r>
          </w:p>
        </w:tc>
        <w:tc>
          <w:tcPr>
            <w:tcW w:w="6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6,047</w:t>
            </w: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5,750</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11,826</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Cost of services sold</w:t>
            </w:r>
          </w:p>
        </w:tc>
        <w:tc>
          <w:tcPr>
            <w:tcW w:w="6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1,249</w:t>
            </w: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1,277</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2,437</w:t>
            </w:r>
          </w:p>
        </w:tc>
        <w:tc>
          <w:tcPr>
            <w:tcW w:w="30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7,296</w:t>
            </w: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7,027</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14,263</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1,375</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1,281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2,714</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(income) expense</w:t>
            </w:r>
          </w:p>
        </w:tc>
        <w:tc>
          <w:tcPr>
            <w:tcW w:w="6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(21)</w:t>
            </w: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(138)</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6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159</w:t>
            </w:r>
          </w:p>
        </w:tc>
        <w:tc>
          <w:tcPr>
            <w:tcW w:w="300" w:type="dxa"/>
            <w:vAlign w:val="bottom"/>
            <w:tcBorders>
              <w:bottom w:val="single" w:sz="8" w:color="E5FFFF"/>
            </w:tcBorders>
          </w:tcPr>
          <w:p>
            <w:pPr>
              <w:spacing w:after="0"/>
              <w:rPr>
                <w:sz w:val="18"/>
                <w:szCs w:val="18"/>
                <w:color w:val="auto"/>
              </w:rPr>
            </w:pPr>
          </w:p>
        </w:tc>
        <w:tc>
          <w:tcPr>
            <w:tcW w:w="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8,730</w:t>
            </w:r>
          </w:p>
        </w:tc>
        <w:tc>
          <w:tcPr>
            <w:tcW w:w="36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8,364</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16,998</w:t>
            </w:r>
          </w:p>
        </w:tc>
        <w:tc>
          <w:tcPr>
            <w:tcW w:w="3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16,432</w:t>
            </w:r>
          </w:p>
        </w:tc>
        <w:tc>
          <w:tcPr>
            <w:tcW w:w="0" w:type="dxa"/>
            <w:vAlign w:val="bottom"/>
          </w:tcPr>
          <w:p>
            <w:pPr>
              <w:spacing w:after="0"/>
              <w:rPr>
                <w:sz w:val="1"/>
                <w:szCs w:val="1"/>
                <w:color w:val="auto"/>
              </w:rPr>
            </w:pPr>
          </w:p>
        </w:tc>
      </w:tr>
      <w:tr>
        <w:trPr>
          <w:trHeight w:val="196"/>
        </w:trPr>
        <w:tc>
          <w:tcPr>
            <w:tcW w:w="524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taxes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1,523</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1,329</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2,934</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6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397</w:t>
            </w:r>
          </w:p>
        </w:tc>
        <w:tc>
          <w:tcPr>
            <w:tcW w:w="36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307</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772</w:t>
            </w: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0"/>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1,126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2,162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5FFFF"/>
          </w:tcPr>
          <w:p>
            <w:pPr>
              <w:spacing w:after="0"/>
              <w:rPr>
                <w:sz w:val="20"/>
                <w:szCs w:val="20"/>
                <w:color w:val="auto"/>
              </w:rPr>
            </w:pPr>
            <w:r>
              <w:rPr>
                <w:rFonts w:ascii="Arial" w:cs="Arial" w:eastAsia="Arial" w:hAnsi="Arial"/>
                <w:sz w:val="18"/>
                <w:szCs w:val="18"/>
                <w:color w:val="auto"/>
              </w:rPr>
              <w:t>Less: Net income attributable to the noncontrolling interest</w:t>
            </w:r>
          </w:p>
        </w:tc>
        <w:tc>
          <w:tcPr>
            <w:tcW w:w="6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27</w:t>
            </w:r>
          </w:p>
        </w:tc>
        <w:tc>
          <w:tcPr>
            <w:tcW w:w="36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46</w:t>
            </w: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Pr>
          <w:p>
            <w:pPr>
              <w:spacing w:after="0" w:line="197" w:lineRule="exact"/>
              <w:rPr>
                <w:sz w:val="20"/>
                <w:szCs w:val="20"/>
                <w:color w:val="auto"/>
              </w:rPr>
            </w:pPr>
            <w:r>
              <w:rPr>
                <w:rFonts w:ascii="Arial" w:cs="Arial" w:eastAsia="Arial" w:hAnsi="Arial"/>
                <w:sz w:val="18"/>
                <w:szCs w:val="18"/>
                <w:color w:val="auto"/>
              </w:rPr>
              <w:t>Net income attributable to Honeywell</w:t>
            </w:r>
          </w:p>
        </w:tc>
        <w:tc>
          <w:tcPr>
            <w:tcW w:w="6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1,099</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1,021</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2,116</w:t>
            </w:r>
          </w:p>
        </w:tc>
        <w:tc>
          <w:tcPr>
            <w:tcW w:w="300" w:type="dxa"/>
            <w:vAlign w:val="bottom"/>
          </w:tcPr>
          <w:p>
            <w:pPr>
              <w:spacing w:after="0"/>
              <w:rPr>
                <w:sz w:val="21"/>
                <w:szCs w:val="21"/>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Borders>
              <w:top w:val="single" w:sz="8" w:color="E5FFFF"/>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Earnings per share of common stock - basic</w:t>
            </w:r>
          </w:p>
        </w:tc>
        <w:tc>
          <w:tcPr>
            <w:tcW w:w="600" w:type="dxa"/>
            <w:vAlign w:val="bottom"/>
            <w:tcBorders>
              <w:top w:val="single" w:sz="8" w:color="E5FFFF"/>
              <w:bottom w:val="single" w:sz="8" w:color="E5FFFF"/>
            </w:tcBorders>
            <w:shd w:val="clear" w:color="auto" w:fill="E5FFFF"/>
          </w:tcPr>
          <w:p>
            <w:pPr>
              <w:spacing w:after="0"/>
              <w:rPr>
                <w:sz w:val="15"/>
                <w:szCs w:val="15"/>
                <w:color w:val="auto"/>
              </w:rPr>
            </w:pPr>
          </w:p>
        </w:tc>
        <w:tc>
          <w:tcPr>
            <w:tcW w:w="260" w:type="dxa"/>
            <w:vAlign w:val="bottom"/>
            <w:tcBorders>
              <w:top w:val="single" w:sz="8" w:color="auto"/>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E5FFFF"/>
          </w:tcPr>
          <w:p>
            <w:pPr>
              <w:jc w:val="right"/>
              <w:ind w:right="33"/>
              <w:spacing w:after="0" w:line="183" w:lineRule="exact"/>
              <w:rPr>
                <w:sz w:val="20"/>
                <w:szCs w:val="20"/>
                <w:color w:val="auto"/>
              </w:rPr>
            </w:pPr>
            <w:r>
              <w:rPr>
                <w:rFonts w:ascii="Arial" w:cs="Arial" w:eastAsia="Arial" w:hAnsi="Arial"/>
                <w:sz w:val="18"/>
                <w:szCs w:val="18"/>
                <w:color w:val="auto"/>
              </w:rPr>
              <w:t>1.40</w:t>
            </w:r>
          </w:p>
        </w:tc>
        <w:tc>
          <w:tcPr>
            <w:tcW w:w="360" w:type="dxa"/>
            <w:vAlign w:val="bottom"/>
            <w:tcBorders>
              <w:top w:val="single" w:sz="8" w:color="E5FFFF"/>
              <w:bottom w:val="single" w:sz="8" w:color="E5FFFF"/>
            </w:tcBorders>
            <w:shd w:val="clear" w:color="auto" w:fill="E5FFFF"/>
          </w:tcPr>
          <w:p>
            <w:pPr>
              <w:spacing w:after="0"/>
              <w:rPr>
                <w:sz w:val="15"/>
                <w:szCs w:val="15"/>
                <w:color w:val="auto"/>
              </w:rPr>
            </w:pPr>
          </w:p>
        </w:tc>
        <w:tc>
          <w:tcPr>
            <w:tcW w:w="260" w:type="dxa"/>
            <w:vAlign w:val="bottom"/>
            <w:tcBorders>
              <w:top w:val="single" w:sz="8" w:color="auto"/>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1.30</w:t>
            </w:r>
          </w:p>
        </w:tc>
        <w:tc>
          <w:tcPr>
            <w:tcW w:w="340" w:type="dxa"/>
            <w:vAlign w:val="bottom"/>
            <w:tcBorders>
              <w:top w:val="single" w:sz="8" w:color="E5FFFF"/>
              <w:bottom w:val="single" w:sz="8" w:color="E5FFFF"/>
            </w:tcBorders>
            <w:shd w:val="clear" w:color="auto" w:fill="E5FFFF"/>
          </w:tcPr>
          <w:p>
            <w:pPr>
              <w:spacing w:after="0"/>
              <w:rPr>
                <w:sz w:val="15"/>
                <w:szCs w:val="15"/>
                <w:color w:val="auto"/>
              </w:rPr>
            </w:pPr>
          </w:p>
        </w:tc>
        <w:tc>
          <w:tcPr>
            <w:tcW w:w="260" w:type="dxa"/>
            <w:vAlign w:val="bottom"/>
            <w:tcBorders>
              <w:top w:val="single" w:sz="8" w:color="auto"/>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5FFFF"/>
          </w:tcPr>
          <w:p>
            <w:pPr>
              <w:jc w:val="right"/>
              <w:ind w:right="13"/>
              <w:spacing w:after="0" w:line="183" w:lineRule="exact"/>
              <w:rPr>
                <w:sz w:val="20"/>
                <w:szCs w:val="20"/>
                <w:color w:val="auto"/>
              </w:rPr>
            </w:pPr>
            <w:r>
              <w:rPr>
                <w:rFonts w:ascii="Arial" w:cs="Arial" w:eastAsia="Arial" w:hAnsi="Arial"/>
                <w:sz w:val="18"/>
                <w:szCs w:val="18"/>
                <w:color w:val="auto"/>
              </w:rPr>
              <w:t>2.70</w:t>
            </w:r>
          </w:p>
        </w:tc>
        <w:tc>
          <w:tcPr>
            <w:tcW w:w="300" w:type="dxa"/>
            <w:vAlign w:val="bottom"/>
            <w:tcBorders>
              <w:top w:val="single" w:sz="8" w:color="E5FFFF"/>
              <w:bottom w:val="single" w:sz="8" w:color="E5FFFF"/>
            </w:tcBorders>
            <w:shd w:val="clear" w:color="auto" w:fill="E5FFFF"/>
          </w:tcPr>
          <w:p>
            <w:pPr>
              <w:spacing w:after="0"/>
              <w:rPr>
                <w:sz w:val="15"/>
                <w:szCs w:val="15"/>
                <w:color w:val="auto"/>
              </w:rPr>
            </w:pPr>
          </w:p>
        </w:tc>
        <w:tc>
          <w:tcPr>
            <w:tcW w:w="40" w:type="dxa"/>
            <w:vAlign w:val="bottom"/>
            <w:tcBorders>
              <w:top w:val="single" w:sz="8" w:color="E5FFFF"/>
              <w:bottom w:val="single" w:sz="8" w:color="E5FFFF"/>
            </w:tcBorders>
            <w:shd w:val="clear" w:color="auto" w:fill="E5FFFF"/>
          </w:tcPr>
          <w:p>
            <w:pPr>
              <w:spacing w:after="0"/>
              <w:rPr>
                <w:sz w:val="15"/>
                <w:szCs w:val="15"/>
                <w:color w:val="auto"/>
              </w:rPr>
            </w:pPr>
          </w:p>
        </w:tc>
        <w:tc>
          <w:tcPr>
            <w:tcW w:w="260" w:type="dxa"/>
            <w:vAlign w:val="bottom"/>
            <w:tcBorders>
              <w:top w:val="single" w:sz="8" w:color="auto"/>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E5FFFF"/>
            </w:tcBorders>
            <w:vMerge w:val="continue"/>
          </w:tcPr>
          <w:p>
            <w:pPr>
              <w:spacing w:after="0"/>
              <w:rPr>
                <w:sz w:val="19"/>
                <w:szCs w:val="19"/>
                <w:color w:val="auto"/>
              </w:rPr>
            </w:pPr>
          </w:p>
        </w:tc>
        <w:tc>
          <w:tcPr>
            <w:tcW w:w="600" w:type="dxa"/>
            <w:vAlign w:val="bottom"/>
            <w:tcBorders>
              <w:bottom w:val="single" w:sz="8" w:color="E5FF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1.38</w:t>
            </w:r>
          </w:p>
        </w:tc>
        <w:tc>
          <w:tcPr>
            <w:tcW w:w="360" w:type="dxa"/>
            <w:vAlign w:val="bottom"/>
            <w:tcBorders>
              <w:bottom w:val="single" w:sz="8" w:color="E5FF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1.28</w:t>
            </w:r>
          </w:p>
        </w:tc>
        <w:tc>
          <w:tcPr>
            <w:tcW w:w="340" w:type="dxa"/>
            <w:vAlign w:val="bottom"/>
            <w:tcBorders>
              <w:bottom w:val="single" w:sz="8" w:color="E5FF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3"/>
              <w:spacing w:after="0" w:line="183" w:lineRule="exact"/>
              <w:rPr>
                <w:sz w:val="20"/>
                <w:szCs w:val="20"/>
                <w:color w:val="auto"/>
              </w:rPr>
            </w:pPr>
            <w:r>
              <w:rPr>
                <w:rFonts w:ascii="Arial" w:cs="Arial" w:eastAsia="Arial" w:hAnsi="Arial"/>
                <w:sz w:val="18"/>
                <w:szCs w:val="18"/>
                <w:color w:val="auto"/>
              </w:rPr>
              <w:t>2.66</w:t>
            </w:r>
          </w:p>
        </w:tc>
        <w:tc>
          <w:tcPr>
            <w:tcW w:w="300" w:type="dxa"/>
            <w:vAlign w:val="bottom"/>
            <w:tcBorders>
              <w:bottom w:val="single" w:sz="8" w:color="E5FFFF"/>
            </w:tcBorders>
          </w:tcPr>
          <w:p>
            <w:pPr>
              <w:spacing w:after="0"/>
              <w:rPr>
                <w:sz w:val="19"/>
                <w:szCs w:val="19"/>
                <w:color w:val="auto"/>
              </w:rPr>
            </w:pPr>
          </w:p>
        </w:tc>
        <w:tc>
          <w:tcPr>
            <w:tcW w:w="40" w:type="dxa"/>
            <w:vAlign w:val="bottom"/>
            <w:tcBorders>
              <w:bottom w:val="single" w:sz="8" w:color="E5FF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Borders>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Cash dividends per share of common stock</w:t>
            </w:r>
          </w:p>
        </w:tc>
        <w:tc>
          <w:tcPr>
            <w:tcW w:w="60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FFFF"/>
          </w:tcPr>
          <w:p>
            <w:pPr>
              <w:jc w:val="right"/>
              <w:ind w:right="33"/>
              <w:spacing w:after="0" w:line="183" w:lineRule="exact"/>
              <w:rPr>
                <w:sz w:val="20"/>
                <w:szCs w:val="20"/>
                <w:color w:val="auto"/>
              </w:rPr>
            </w:pPr>
            <w:r>
              <w:rPr>
                <w:rFonts w:ascii="Arial" w:cs="Arial" w:eastAsia="Arial" w:hAnsi="Arial"/>
                <w:sz w:val="18"/>
                <w:szCs w:val="18"/>
                <w:color w:val="auto"/>
              </w:rPr>
              <w:t>0.4500</w:t>
            </w:r>
          </w:p>
        </w:tc>
        <w:tc>
          <w:tcPr>
            <w:tcW w:w="36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0.4100</w:t>
            </w:r>
          </w:p>
        </w:tc>
        <w:tc>
          <w:tcPr>
            <w:tcW w:w="34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ind w:right="13"/>
              <w:spacing w:after="0" w:line="183" w:lineRule="exact"/>
              <w:rPr>
                <w:sz w:val="20"/>
                <w:szCs w:val="20"/>
                <w:color w:val="auto"/>
              </w:rPr>
            </w:pPr>
            <w:r>
              <w:rPr>
                <w:rFonts w:ascii="Arial" w:cs="Arial" w:eastAsia="Arial" w:hAnsi="Arial"/>
                <w:sz w:val="18"/>
                <w:szCs w:val="18"/>
                <w:color w:val="auto"/>
              </w:rPr>
              <w:t>0.9000</w:t>
            </w:r>
          </w:p>
        </w:tc>
        <w:tc>
          <w:tcPr>
            <w:tcW w:w="300" w:type="dxa"/>
            <w:vAlign w:val="bottom"/>
            <w:tcBorders>
              <w:bottom w:val="single" w:sz="8" w:color="E5FFFF"/>
            </w:tcBorders>
            <w:shd w:val="clear" w:color="auto" w:fill="E5FFFF"/>
          </w:tcPr>
          <w:p>
            <w:pPr>
              <w:spacing w:after="0"/>
              <w:rPr>
                <w:sz w:val="15"/>
                <w:szCs w:val="15"/>
                <w:color w:val="auto"/>
              </w:rPr>
            </w:pPr>
          </w:p>
        </w:tc>
        <w:tc>
          <w:tcPr>
            <w:tcW w:w="4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auto"/>
            </w:tcBorders>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ind w:right="11"/>
              <w:spacing w:after="0" w:line="183" w:lineRule="exact"/>
              <w:rPr>
                <w:sz w:val="20"/>
                <w:szCs w:val="20"/>
                <w:color w:val="auto"/>
              </w:rPr>
            </w:pPr>
            <w:r>
              <w:rPr>
                <w:rFonts w:ascii="Arial" w:cs="Arial" w:eastAsia="Arial" w:hAnsi="Arial"/>
                <w:sz w:val="18"/>
                <w:szCs w:val="18"/>
                <w:color w:val="auto"/>
              </w:rPr>
              <w:t>0.8200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56"/>
        </w:trPr>
        <w:tc>
          <w:tcPr>
            <w:tcW w:w="5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2013</w:t>
            </w:r>
          </w:p>
        </w:tc>
      </w:tr>
      <w:tr>
        <w:trPr>
          <w:trHeight w:val="196"/>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6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1,126</w:t>
            </w:r>
          </w:p>
        </w:tc>
        <w:tc>
          <w:tcPr>
            <w:tcW w:w="740" w:type="dxa"/>
            <w:vAlign w:val="bottom"/>
            <w:gridSpan w:val="3"/>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1,022</w:t>
            </w:r>
          </w:p>
        </w:tc>
        <w:tc>
          <w:tcPr>
            <w:tcW w:w="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2,162</w:t>
            </w:r>
          </w:p>
        </w:tc>
        <w:tc>
          <w:tcPr>
            <w:tcW w:w="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1,991</w:t>
            </w:r>
          </w:p>
        </w:tc>
      </w:tr>
      <w:tr>
        <w:trPr>
          <w:trHeight w:val="203"/>
        </w:trPr>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60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Foreign exchange translation adjustment</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66</w:t>
            </w: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(75)</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61</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(456)</w:t>
            </w:r>
          </w:p>
        </w:tc>
      </w:tr>
      <w:tr>
        <w:trPr>
          <w:trHeight w:val="203"/>
        </w:trPr>
        <w:tc>
          <w:tcPr>
            <w:tcW w:w="5600" w:type="dxa"/>
            <w:vAlign w:val="bottom"/>
          </w:tcPr>
          <w:p>
            <w:pPr>
              <w:ind w:left="540"/>
              <w:spacing w:after="0" w:line="202" w:lineRule="exact"/>
              <w:rPr>
                <w:sz w:val="20"/>
                <w:szCs w:val="20"/>
                <w:color w:val="auto"/>
              </w:rPr>
            </w:pPr>
            <w:r>
              <w:rPr>
                <w:rFonts w:ascii="Arial" w:cs="Arial" w:eastAsia="Arial" w:hAnsi="Arial"/>
                <w:sz w:val="18"/>
                <w:szCs w:val="18"/>
                <w:color w:val="auto"/>
              </w:rPr>
              <w:t>Actuarial losses recognized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w:t>
            </w:r>
          </w:p>
        </w:tc>
      </w:tr>
      <w:tr>
        <w:trPr>
          <w:trHeight w:val="203"/>
        </w:trPr>
        <w:tc>
          <w:tcPr>
            <w:tcW w:w="560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Prior service costs recognized</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w:t>
            </w:r>
          </w:p>
        </w:tc>
      </w:tr>
      <w:tr>
        <w:trPr>
          <w:trHeight w:val="203"/>
        </w:trPr>
        <w:tc>
          <w:tcPr>
            <w:tcW w:w="5600" w:type="dxa"/>
            <w:vAlign w:val="bottom"/>
          </w:tcPr>
          <w:p>
            <w:pPr>
              <w:ind w:left="540"/>
              <w:spacing w:after="0" w:line="202" w:lineRule="exact"/>
              <w:rPr>
                <w:sz w:val="20"/>
                <w:szCs w:val="20"/>
                <w:color w:val="auto"/>
              </w:rPr>
            </w:pPr>
            <w:r>
              <w:rPr>
                <w:rFonts w:ascii="Arial" w:cs="Arial" w:eastAsia="Arial" w:hAnsi="Arial"/>
                <w:sz w:val="18"/>
                <w:szCs w:val="18"/>
                <w:color w:val="auto"/>
              </w:rPr>
              <w:t>Transition obligation recognized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w:t>
            </w:r>
          </w:p>
        </w:tc>
      </w:tr>
      <w:tr>
        <w:trPr>
          <w:trHeight w:val="216"/>
        </w:trPr>
        <w:tc>
          <w:tcPr>
            <w:tcW w:w="5600" w:type="dxa"/>
            <w:vAlign w:val="bottom"/>
            <w:shd w:val="clear" w:color="auto" w:fill="E5FFFF"/>
          </w:tcPr>
          <w:p>
            <w:pPr>
              <w:ind w:left="540"/>
              <w:spacing w:after="0"/>
              <w:rPr>
                <w:sz w:val="20"/>
                <w:szCs w:val="20"/>
                <w:color w:val="auto"/>
              </w:rPr>
            </w:pPr>
            <w:r>
              <w:rPr>
                <w:rFonts w:ascii="Arial" w:cs="Arial" w:eastAsia="Arial" w:hAnsi="Arial"/>
                <w:sz w:val="18"/>
                <w:szCs w:val="18"/>
                <w:color w:val="auto"/>
              </w:rPr>
              <w:t>Settlements and curtailments</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5600" w:type="dxa"/>
            <w:vAlign w:val="bottom"/>
          </w:tcPr>
          <w:p>
            <w:pPr>
              <w:ind w:left="360"/>
              <w:spacing w:after="0" w:line="196" w:lineRule="exact"/>
              <w:rPr>
                <w:sz w:val="20"/>
                <w:szCs w:val="20"/>
                <w:color w:val="auto"/>
              </w:rPr>
            </w:pPr>
            <w:r>
              <w:rPr>
                <w:rFonts w:ascii="Arial" w:cs="Arial" w:eastAsia="Arial" w:hAnsi="Arial"/>
                <w:sz w:val="18"/>
                <w:szCs w:val="18"/>
                <w:color w:val="auto"/>
              </w:rPr>
              <w:t>Pension and other postretirement benefits adjustments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9</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3"/>
        </w:trPr>
        <w:tc>
          <w:tcPr>
            <w:tcW w:w="560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Unrealized gains (losses)</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57</w:t>
            </w:r>
          </w:p>
        </w:tc>
      </w:tr>
      <w:tr>
        <w:trPr>
          <w:trHeight w:val="203"/>
        </w:trPr>
        <w:tc>
          <w:tcPr>
            <w:tcW w:w="5600" w:type="dxa"/>
            <w:vAlign w:val="bottom"/>
          </w:tcPr>
          <w:p>
            <w:pPr>
              <w:ind w:left="540"/>
              <w:spacing w:after="0" w:line="202" w:lineRule="exact"/>
              <w:rPr>
                <w:sz w:val="20"/>
                <w:szCs w:val="20"/>
                <w:color w:val="auto"/>
              </w:rPr>
            </w:pPr>
            <w:r>
              <w:rPr>
                <w:rFonts w:ascii="Arial" w:cs="Arial" w:eastAsia="Arial" w:hAnsi="Arial"/>
                <w:sz w:val="18"/>
                <w:szCs w:val="18"/>
                <w:color w:val="auto"/>
              </w:rPr>
              <w:t>Less: Reclassification adjustment for gains included in</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600" w:type="dxa"/>
            <w:vAlign w:val="bottom"/>
            <w:shd w:val="clear" w:color="auto" w:fill="E5FFFF"/>
          </w:tcPr>
          <w:p>
            <w:pPr>
              <w:ind w:left="7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71</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w:t>
            </w:r>
          </w:p>
        </w:tc>
      </w:tr>
      <w:tr>
        <w:trPr>
          <w:trHeight w:val="196"/>
        </w:trPr>
        <w:tc>
          <w:tcPr>
            <w:tcW w:w="5600" w:type="dxa"/>
            <w:vAlign w:val="bottom"/>
          </w:tcPr>
          <w:p>
            <w:pPr>
              <w:ind w:left="360"/>
              <w:spacing w:after="0" w:line="196" w:lineRule="exact"/>
              <w:rPr>
                <w:sz w:val="20"/>
                <w:szCs w:val="20"/>
                <w:color w:val="auto"/>
              </w:rPr>
            </w:pPr>
            <w:r>
              <w:rPr>
                <w:rFonts w:ascii="Arial" w:cs="Arial" w:eastAsia="Arial" w:hAnsi="Arial"/>
                <w:sz w:val="18"/>
                <w:szCs w:val="18"/>
                <w:color w:val="auto"/>
              </w:rPr>
              <w:t>Changes in fair value of available for sale investments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57</w:t>
            </w:r>
          </w:p>
        </w:tc>
      </w:tr>
      <w:tr>
        <w:trPr>
          <w:trHeight w:val="202"/>
        </w:trPr>
        <w:tc>
          <w:tcPr>
            <w:tcW w:w="5600" w:type="dxa"/>
            <w:vAlign w:val="bottom"/>
            <w:shd w:val="clear" w:color="auto" w:fill="E5FFFF"/>
          </w:tcPr>
          <w:p>
            <w:pPr>
              <w:ind w:left="540"/>
              <w:spacing w:after="0" w:line="201" w:lineRule="exact"/>
              <w:rPr>
                <w:sz w:val="20"/>
                <w:szCs w:val="20"/>
                <w:color w:val="auto"/>
              </w:rPr>
            </w:pPr>
            <w:r>
              <w:rPr>
                <w:rFonts w:ascii="Arial" w:cs="Arial" w:eastAsia="Arial" w:hAnsi="Arial"/>
                <w:sz w:val="18"/>
                <w:szCs w:val="18"/>
                <w:color w:val="auto"/>
              </w:rPr>
              <w:t>Effective portion of cash flow hedges recognized in other</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5600" w:type="dxa"/>
            <w:vAlign w:val="bottom"/>
            <w:shd w:val="clear" w:color="auto" w:fill="E5FFFF"/>
          </w:tcPr>
          <w:p>
            <w:pPr>
              <w:ind w:left="720"/>
              <w:spacing w:after="0" w:line="203" w:lineRule="exact"/>
              <w:rPr>
                <w:sz w:val="20"/>
                <w:szCs w:val="20"/>
                <w:color w:val="auto"/>
              </w:rPr>
            </w:pPr>
            <w:r>
              <w:rPr>
                <w:rFonts w:ascii="Arial" w:cs="Arial" w:eastAsia="Arial" w:hAnsi="Arial"/>
                <w:sz w:val="18"/>
                <w:szCs w:val="18"/>
                <w:color w:val="auto"/>
              </w:rPr>
              <w:t>comprehensive income (loss)</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12</w:t>
            </w: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(28)</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3" w:lineRule="exact"/>
              <w:rPr>
                <w:sz w:val="20"/>
                <w:szCs w:val="20"/>
                <w:color w:val="auto"/>
              </w:rPr>
            </w:pPr>
            <w:r>
              <w:rPr>
                <w:rFonts w:ascii="Arial" w:cs="Arial" w:eastAsia="Arial" w:hAnsi="Arial"/>
                <w:sz w:val="18"/>
                <w:szCs w:val="18"/>
                <w:color w:val="auto"/>
              </w:rPr>
              <w:t>21</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(28)</w:t>
            </w:r>
          </w:p>
        </w:tc>
      </w:tr>
      <w:tr>
        <w:trPr>
          <w:trHeight w:val="202"/>
        </w:trPr>
        <w:tc>
          <w:tcPr>
            <w:tcW w:w="5600" w:type="dxa"/>
            <w:vAlign w:val="bottom"/>
          </w:tcPr>
          <w:p>
            <w:pPr>
              <w:ind w:left="540"/>
              <w:spacing w:after="0" w:line="201" w:lineRule="exact"/>
              <w:rPr>
                <w:sz w:val="20"/>
                <w:szCs w:val="20"/>
                <w:color w:val="auto"/>
              </w:rPr>
            </w:pPr>
            <w:r>
              <w:rPr>
                <w:rFonts w:ascii="Arial" w:cs="Arial" w:eastAsia="Arial" w:hAnsi="Arial"/>
                <w:sz w:val="18"/>
                <w:szCs w:val="18"/>
                <w:color w:val="auto"/>
              </w:rPr>
              <w:t>Less: Reclassification adjustment for gains (losses) included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7"/>
        </w:trPr>
        <w:tc>
          <w:tcPr>
            <w:tcW w:w="5600" w:type="dxa"/>
            <w:vAlign w:val="bottom"/>
            <w:tcBorders>
              <w:bottom w:val="single" w:sz="8" w:color="E5FFFF"/>
            </w:tcBorders>
          </w:tcPr>
          <w:p>
            <w:pPr>
              <w:ind w:left="720"/>
              <w:spacing w:after="0"/>
              <w:rPr>
                <w:sz w:val="20"/>
                <w:szCs w:val="20"/>
                <w:color w:val="auto"/>
              </w:rPr>
            </w:pPr>
            <w:r>
              <w:rPr>
                <w:rFonts w:ascii="Arial" w:cs="Arial" w:eastAsia="Arial" w:hAnsi="Arial"/>
                <w:sz w:val="18"/>
                <w:szCs w:val="18"/>
                <w:color w:val="auto"/>
              </w:rPr>
              <w:t>in net income</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5600" w:type="dxa"/>
            <w:vAlign w:val="bottom"/>
            <w:shd w:val="clear" w:color="auto" w:fill="E5FFFF"/>
          </w:tcPr>
          <w:p>
            <w:pPr>
              <w:ind w:left="360"/>
              <w:spacing w:after="0" w:line="196" w:lineRule="exact"/>
              <w:rPr>
                <w:sz w:val="20"/>
                <w:szCs w:val="20"/>
                <w:color w:val="auto"/>
              </w:rPr>
            </w:pPr>
            <w:r>
              <w:rPr>
                <w:rFonts w:ascii="Arial" w:cs="Arial" w:eastAsia="Arial" w:hAnsi="Arial"/>
                <w:sz w:val="18"/>
                <w:szCs w:val="18"/>
                <w:color w:val="auto"/>
              </w:rPr>
              <w:t>Changes in fair value of effective cash flow hedges</w:t>
            </w:r>
          </w:p>
        </w:tc>
        <w:tc>
          <w:tcPr>
            <w:tcW w:w="2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(22)</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22</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560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w:t>
            </w:r>
          </w:p>
        </w:tc>
        <w:tc>
          <w:tcPr>
            <w:tcW w:w="3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19</w:t>
            </w:r>
          </w:p>
        </w:tc>
        <w:tc>
          <w:tcPr>
            <w:tcW w:w="3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(428)</w:t>
            </w:r>
          </w:p>
        </w:tc>
      </w:tr>
      <w:tr>
        <w:trPr>
          <w:trHeight w:val="196"/>
        </w:trPr>
        <w:tc>
          <w:tcPr>
            <w:tcW w:w="56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1,215</w:t>
            </w: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911</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2,181</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1,563</w:t>
            </w:r>
          </w:p>
        </w:tc>
      </w:tr>
      <w:tr>
        <w:trPr>
          <w:trHeight w:val="202"/>
        </w:trPr>
        <w:tc>
          <w:tcPr>
            <w:tcW w:w="5600" w:type="dxa"/>
            <w:vAlign w:val="bottom"/>
          </w:tcPr>
          <w:p>
            <w:pPr>
              <w:ind w:left="540"/>
              <w:spacing w:after="0" w:line="201" w:lineRule="exact"/>
              <w:rPr>
                <w:sz w:val="20"/>
                <w:szCs w:val="20"/>
                <w:color w:val="auto"/>
              </w:rPr>
            </w:pPr>
            <w:r>
              <w:rPr>
                <w:rFonts w:ascii="Arial" w:cs="Arial" w:eastAsia="Arial" w:hAnsi="Arial"/>
                <w:sz w:val="18"/>
                <w:szCs w:val="18"/>
                <w:color w:val="auto"/>
              </w:rPr>
              <w:t>Less: Comprehensive income (loss) attributable to the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7"/>
        </w:trPr>
        <w:tc>
          <w:tcPr>
            <w:tcW w:w="5600" w:type="dxa"/>
            <w:vAlign w:val="bottom"/>
            <w:tcBorders>
              <w:bottom w:val="single" w:sz="8" w:color="E5FFFF"/>
            </w:tcBorders>
          </w:tcPr>
          <w:p>
            <w:pPr>
              <w:ind w:left="72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r>
      <w:tr>
        <w:trPr>
          <w:trHeight w:val="210"/>
        </w:trPr>
        <w:tc>
          <w:tcPr>
            <w:tcW w:w="560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Comprehensive income attributable to Honeywell</w:t>
            </w:r>
          </w:p>
        </w:tc>
        <w:tc>
          <w:tcPr>
            <w:tcW w:w="5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1,190</w:t>
            </w:r>
          </w:p>
        </w:tc>
        <w:tc>
          <w:tcPr>
            <w:tcW w:w="74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913</w:t>
            </w:r>
          </w:p>
        </w:tc>
        <w:tc>
          <w:tcPr>
            <w:tcW w:w="6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2,137</w:t>
            </w:r>
          </w:p>
        </w:tc>
        <w:tc>
          <w:tcPr>
            <w:tcW w:w="6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1,562</w:t>
            </w:r>
          </w:p>
        </w:tc>
      </w:tr>
      <w:tr>
        <w:trPr>
          <w:trHeight w:val="20"/>
        </w:trPr>
        <w:tc>
          <w:tcPr>
            <w:tcW w:w="56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gridSpan w:val="4"/>
          </w:tcPr>
          <w:p>
            <w:pPr>
              <w:jc w:val="right"/>
              <w:ind w:right="771"/>
              <w:spacing w:after="0" w:line="155" w:lineRule="exact"/>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6,582</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Accounts, notes and other receivables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8,350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Inventories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4,511</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803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Investments and other current assets</w:t>
            </w:r>
          </w:p>
        </w:tc>
        <w:tc>
          <w:tcPr>
            <w:tcW w:w="11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2,207</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22,453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21,164</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Investments and long-term receivables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488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5,316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Goodwill</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13,049</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13,046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2,378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432</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2,304</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160"/>
              <w:spacing w:after="0" w:line="197" w:lineRule="exact"/>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46,596</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34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5,276</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Short-term borrowings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2,249</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liabilities</w:t>
            </w:r>
          </w:p>
        </w:tc>
        <w:tc>
          <w:tcPr>
            <w:tcW w:w="11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6,643</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14,324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14,181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Long-term debt</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6,839</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795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978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1,146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liabilities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3,508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419"/>
        </w:trPr>
        <w:tc>
          <w:tcPr>
            <w:tcW w:w="7260" w:type="dxa"/>
            <w:vAlign w:val="bottom"/>
            <w:gridSpan w:val="2"/>
          </w:tcPr>
          <w:p>
            <w:pPr>
              <w:spacing w:after="0"/>
              <w:rPr>
                <w:sz w:val="20"/>
                <w:szCs w:val="20"/>
                <w:color w:val="auto"/>
              </w:rPr>
            </w:pPr>
            <w:r>
              <w:rPr>
                <w:rFonts w:ascii="Arial" w:cs="Arial" w:eastAsia="Arial" w:hAnsi="Arial"/>
                <w:sz w:val="18"/>
                <w:szCs w:val="18"/>
                <w:color w:val="auto"/>
              </w:rPr>
              <w:t>Redeemable noncontrolling interest</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SHAREOWNERS’ EQUITY</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958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580"/>
              <w:spacing w:after="0" w:line="202" w:lineRule="exact"/>
              <w:rPr>
                <w:sz w:val="20"/>
                <w:szCs w:val="20"/>
                <w:color w:val="auto"/>
              </w:rPr>
            </w:pPr>
            <w:r>
              <w:rPr>
                <w:rFonts w:ascii="Arial" w:cs="Arial" w:eastAsia="Arial" w:hAnsi="Arial"/>
                <w:sz w:val="18"/>
                <w:szCs w:val="18"/>
                <w:color w:val="auto"/>
              </w:rPr>
              <w:t>- additional paid-in capital</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4,868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(9,740)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837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Retained earnings</w:t>
            </w:r>
          </w:p>
        </w:tc>
        <w:tc>
          <w:tcPr>
            <w:tcW w:w="11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21,773</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Honeywell shareowners’ equity</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18,696</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Noncontrolling interest</w:t>
            </w:r>
          </w:p>
        </w:tc>
        <w:tc>
          <w:tcPr>
            <w:tcW w:w="11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shareowners’ equity</w:t>
            </w:r>
          </w:p>
        </w:tc>
        <w:tc>
          <w:tcPr>
            <w:tcW w:w="110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114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18,817</w:t>
            </w:r>
          </w:p>
        </w:tc>
        <w:tc>
          <w:tcPr>
            <w:tcW w:w="3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17,579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16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46,596</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2,162</w:t>
            </w:r>
          </w:p>
        </w:tc>
        <w:tc>
          <w:tcPr>
            <w:tcW w:w="32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Less: Net income attributable to the noncontrolling interest</w:t>
            </w:r>
          </w:p>
        </w:tc>
        <w:tc>
          <w:tcPr>
            <w:tcW w:w="36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46</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ind w:left="160"/>
              <w:spacing w:after="0" w:line="196" w:lineRule="exact"/>
              <w:rPr>
                <w:sz w:val="20"/>
                <w:szCs w:val="20"/>
                <w:color w:val="auto"/>
              </w:rPr>
            </w:pPr>
            <w:r>
              <w:rPr>
                <w:rFonts w:ascii="Arial" w:cs="Arial" w:eastAsia="Arial" w:hAnsi="Arial"/>
                <w:sz w:val="18"/>
                <w:szCs w:val="18"/>
                <w:color w:val="auto"/>
              </w:rPr>
              <w:t>Net income attributable to Honeywell</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2,116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Adjustments to reconcile net income attributable to Honeywell to net</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160"/>
              <w:spacing w:after="0" w:line="203" w:lineRule="exact"/>
              <w:rPr>
                <w:sz w:val="20"/>
                <w:szCs w:val="20"/>
                <w:color w:val="auto"/>
              </w:rPr>
            </w:pPr>
            <w:r>
              <w:rPr>
                <w:rFonts w:ascii="Arial" w:cs="Arial" w:eastAsia="Arial" w:hAnsi="Arial"/>
                <w:sz w:val="18"/>
                <w:szCs w:val="18"/>
                <w:color w:val="auto"/>
              </w:rPr>
              <w:t>cash provided by operating activities:</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471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Loss on sale of non-strategic businesses and assets</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340"/>
              <w:spacing w:after="0" w:line="202" w:lineRule="exact"/>
              <w:rPr>
                <w:sz w:val="20"/>
                <w:szCs w:val="20"/>
                <w:color w:val="auto"/>
              </w:rPr>
            </w:pPr>
            <w:r>
              <w:rPr>
                <w:rFonts w:ascii="Arial" w:cs="Arial" w:eastAsia="Arial" w:hAnsi="Arial"/>
                <w:sz w:val="18"/>
                <w:szCs w:val="18"/>
                <w:color w:val="auto"/>
              </w:rPr>
              <w:t>Gain on sale of available for sale investments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Repositioning and other charges</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331</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34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Pension and other postretirement income</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34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Stock compensation expense</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102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340"/>
              <w:spacing w:after="0" w:line="202" w:lineRule="exact"/>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340"/>
              <w:spacing w:after="0" w:line="202" w:lineRule="exact"/>
              <w:rPr>
                <w:sz w:val="20"/>
                <w:szCs w:val="20"/>
                <w:color w:val="auto"/>
              </w:rPr>
            </w:pPr>
            <w:r>
              <w:rPr>
                <w:rFonts w:ascii="Arial" w:cs="Arial" w:eastAsia="Arial" w:hAnsi="Arial"/>
                <w:sz w:val="18"/>
                <w:szCs w:val="18"/>
                <w:color w:val="auto"/>
              </w:rPr>
              <w:t>Other</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67</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520"/>
              <w:spacing w:after="0" w:line="202" w:lineRule="exact"/>
              <w:rPr>
                <w:sz w:val="20"/>
                <w:szCs w:val="20"/>
                <w:color w:val="auto"/>
              </w:rPr>
            </w:pPr>
            <w:r>
              <w:rPr>
                <w:rFonts w:ascii="Arial" w:cs="Arial" w:eastAsia="Arial" w:hAnsi="Arial"/>
                <w:sz w:val="18"/>
                <w:szCs w:val="18"/>
                <w:color w:val="auto"/>
              </w:rPr>
              <w:t>Accounts, notes and other receivables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Inventories</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132</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100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E5FFFF"/>
            </w:tcBorders>
          </w:tcPr>
          <w:p>
            <w:pPr>
              <w:ind w:left="52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2,029</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39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(421)</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16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Increase in investments</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(1,724)</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160"/>
              <w:spacing w:after="0" w:line="202" w:lineRule="exact"/>
              <w:rPr>
                <w:sz w:val="20"/>
                <w:szCs w:val="20"/>
                <w:color w:val="auto"/>
              </w:rPr>
            </w:pPr>
            <w:r>
              <w:rPr>
                <w:rFonts w:ascii="Arial" w:cs="Arial" w:eastAsia="Arial" w:hAnsi="Arial"/>
                <w:sz w:val="18"/>
                <w:szCs w:val="18"/>
                <w:color w:val="auto"/>
              </w:rPr>
              <w:t>Decrease in investments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943</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sales of businesses, net of fees paid</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spacing w:after="0" w:line="196" w:lineRule="exact"/>
              <w:rPr>
                <w:sz w:val="20"/>
                <w:szCs w:val="20"/>
                <w:color w:val="auto"/>
              </w:rPr>
            </w:pPr>
            <w:r>
              <w:rPr>
                <w:rFonts w:ascii="Arial" w:cs="Arial" w:eastAsia="Arial" w:hAnsi="Arial"/>
                <w:sz w:val="18"/>
                <w:szCs w:val="18"/>
                <w:color w:val="auto"/>
              </w:rPr>
              <w:t>Net cash used for investing activities</w:t>
            </w:r>
          </w:p>
        </w:tc>
        <w:tc>
          <w:tcPr>
            <w:tcW w:w="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(1,205)</w:t>
            </w: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8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160"/>
              <w:spacing w:after="0" w:line="202" w:lineRule="exact"/>
              <w:rPr>
                <w:sz w:val="20"/>
                <w:szCs w:val="20"/>
                <w:color w:val="auto"/>
              </w:rPr>
            </w:pPr>
            <w:r>
              <w:rPr>
                <w:rFonts w:ascii="Arial" w:cs="Arial" w:eastAsia="Arial" w:hAnsi="Arial"/>
                <w:sz w:val="18"/>
                <w:szCs w:val="18"/>
                <w:color w:val="auto"/>
              </w:rPr>
              <w:t>Net increase in commercial paper</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950</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Net (decrease) increase in short-term borrowings</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issuance of long-term debt</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45</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160"/>
              <w:spacing w:after="0" w:line="202" w:lineRule="exact"/>
              <w:rPr>
                <w:sz w:val="20"/>
                <w:szCs w:val="20"/>
                <w:color w:val="auto"/>
              </w:rPr>
            </w:pPr>
            <w:r>
              <w:rPr>
                <w:rFonts w:ascii="Arial" w:cs="Arial" w:eastAsia="Arial" w:hAnsi="Arial"/>
                <w:sz w:val="18"/>
                <w:szCs w:val="18"/>
                <w:color w:val="auto"/>
              </w:rPr>
              <w:t>Payments of long-term debt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(606)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3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ind w:left="160"/>
              <w:spacing w:after="0" w:line="202" w:lineRule="exact"/>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Cash dividends paid</w:t>
            </w:r>
          </w:p>
        </w:tc>
        <w:tc>
          <w:tcPr>
            <w:tcW w:w="36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(736)</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Net cash used for financing activities</w:t>
            </w:r>
          </w:p>
        </w:tc>
        <w:tc>
          <w:tcPr>
            <w:tcW w:w="36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(694)</w:t>
            </w:r>
          </w:p>
        </w:tc>
        <w:tc>
          <w:tcPr>
            <w:tcW w:w="320" w:type="dxa"/>
            <w:vAlign w:val="bottom"/>
            <w:tcBorders>
              <w:bottom w:val="single" w:sz="8" w:color="E5FF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30</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160</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6,422</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6,582</w:t>
            </w:r>
          </w:p>
        </w:tc>
        <w:tc>
          <w:tcPr>
            <w:tcW w:w="3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Notes to Financial Statements are an integral part of this statement.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(the “Company”) at June 30, 2014 and the results of operations for the three and six months ended June 30, 2014 and 2013 and cash flows for the six months ended June 30, 2014 and 2013. The results of operations for the three and six months ended June 30, 2014 should not necessarily be taken as indicative of the results of operations that may be expected for the entire year. We have evaluated subsequent events through the date of issuance of our consolidated financial statements.</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report our quarterly financial information using a calendar convention; that is, the first, second and third quarters are consistently reported as ending on March 31, June 30 and September 30, respectively.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provide appropriate disclosures. Our actual closing dates for the three and six months ended June 30, 2014 and 2013 were June 28, 2014 and June 29, 2013, respectively.</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financial information as of June 30, 2014 should be read in conjunction with the financial statements for the year ended December 31, 2013 contained in our Form 10-K filed on February 14, 2014.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amounts have been reclassified to conform to current year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Changes to accounting principles generally accepted in the United States of America (U.S. GAAP) are established by the Financial Accounting Standards Board (FASB) in the form of accounting standards updates (ASU’s) to the FASB’s Accounting Standards Codification.</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Company considers the applicability and impact of all ASU’s. ASU’s not listed below were assessed and determined to be either not applicable or are expected to have minimal impact on our consolidated financial position or results of operations.</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February 2013, the FASB issued amendments to guidance for obligations resulting from joint and several liability arrangements. The amended guidance requires an entity to measure these joint and several liability arrangements as the sum of (1) the amount of the obligation within the scope of this guidance is fixed at the reporting date, as the amount the reporting entity agreed to pay on the basis of its arrangement among its co-obligors and (2) any additional amount the reporting entity expects to pay on behalf of its co-obligors. The guidance also requires an entity to disclose the nature and amount of the obligation as well as other information about those obligations. The amendments apply retrospectively to all prior periods presented for obligations within the scope of guidance that exist at the beginning of the fiscal year of adoption. The amendments are effective for fiscal years, and interim periods within those years, beginning after December 15, 2013. The implementation of the amended guidance did not have a material impact on our consolidated financial position or results of operations.</w:t>
      </w:r>
    </w:p>
    <w:p>
      <w:pPr>
        <w:spacing w:after="0" w:line="19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March 2013, the FASB issued amendments to address the accounting for the cumulative translation adjustment when a parent either sells a part or all of its investment in a foreign entity or no longer holds a controlling financial interest in a subsidiary or group of assets that is a nonprofit activity or a business within a foreign entity. The amendments are effective prospectively for fiscal years, and interim reporting periods within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those years, beginning after December 15, 2013. The initial adoption had no impact on our consolidated financial position and results of operations.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July 2013, the FASB issued amendments to guidance on the financial statement presentation of an unrecognized tax benefit when a net operating loss carryforward, a similar tax loss, or a tax credit carryforward exists. The amendments require entities to present an unrecognized tax benefit netted against certain deferred tax assets when specific requirements are met. However, the amendments only affect gross versus net presentation and do not impact the calculation of the unrecognized tax benefit. The amendments are effective for fiscal years, and interim periods within those years, beginning after December 15, 2013. The implementation of the amended guidance did not have a material impact on our consolidated financial position.</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(early adoption is permitted only for disposals that have not been previously reported). The implementation of the amended guidance did not have a material impact on our consolidated financial position or results of operations.</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May 2014, the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guidance is effective for the interim and annual periods beginning on or after December 15, 2016 (early adoption is not permitted).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Divestiture</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January 2014, the Company entered into a definitive agreement to sell its Friction Materials business to Federal Mogul Corporation for $155 million. The Company closed the sale of its Friction Materials business on July 11, 2014. The Company recognized a pre-tax and after-tax loss of $33 million (of which $5 million was recognized in 2014). The sale of Friction Materials, which has been part of the Transportation Systems segment, is consistent with the Company’s strategic focus on its portfolio of differentiated global technologies.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Following the closing of the sale, the Company announced that it will realign its Transportation Systems business segment with its Aerospace business segment. Under the realigned segment reporting structure, the Company will have three business segments: Aerospace, Automation and Control Solutions and Performance Materials and Technologies. This realignment has no impact on the Company’s historical consolidated financial position, results of operations or cash flows. Effective with the reporting of third quarter 2014 results, the Company will report its financial performance based on the inclusion of Transportation Systems in Aerospace.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6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w w:val="99"/>
              </w:rPr>
              <w:t>June 30,</w:t>
            </w: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69"/>
        </w:trPr>
        <w:tc>
          <w:tcPr>
            <w:tcW w:w="53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2013</w:t>
            </w:r>
          </w:p>
        </w:tc>
      </w:tr>
      <w:tr>
        <w:trPr>
          <w:trHeight w:val="196"/>
        </w:trPr>
        <w:tc>
          <w:tcPr>
            <w:tcW w:w="53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54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c>
          <w:tcPr>
            <w:tcW w:w="12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60</w:t>
            </w:r>
          </w:p>
        </w:tc>
        <w:tc>
          <w:tcPr>
            <w:tcW w:w="3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82</w:t>
            </w:r>
          </w:p>
        </w:tc>
        <w:tc>
          <w:tcPr>
            <w:tcW w:w="3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98</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r>
      <w:tr>
        <w:trPr>
          <w:trHeight w:val="203"/>
        </w:trPr>
        <w:tc>
          <w:tcPr>
            <w:tcW w:w="53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5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3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12</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w:t>
            </w:r>
          </w:p>
        </w:tc>
      </w:tr>
      <w:tr>
        <w:trPr>
          <w:trHeight w:val="216"/>
        </w:trPr>
        <w:tc>
          <w:tcPr>
            <w:tcW w:w="53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Adjustments</w:t>
            </w:r>
          </w:p>
        </w:tc>
        <w:tc>
          <w:tcPr>
            <w:tcW w:w="54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530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charge</w:t>
            </w:r>
          </w:p>
        </w:tc>
        <w:tc>
          <w:tcPr>
            <w:tcW w:w="540" w:type="dxa"/>
            <w:vAlign w:val="bottom"/>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spacing w:after="0"/>
              <w:rPr>
                <w:sz w:val="17"/>
                <w:szCs w:val="17"/>
                <w:color w:val="auto"/>
              </w:rPr>
            </w:pPr>
          </w:p>
        </w:tc>
        <w:tc>
          <w:tcPr>
            <w:tcW w:w="4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61</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96</w:t>
            </w:r>
          </w:p>
        </w:tc>
        <w:tc>
          <w:tcPr>
            <w:tcW w:w="3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94</w:t>
            </w:r>
          </w:p>
        </w:tc>
      </w:tr>
      <w:tr>
        <w:trPr>
          <w:trHeight w:val="399"/>
        </w:trPr>
        <w:tc>
          <w:tcPr>
            <w:tcW w:w="5300" w:type="dxa"/>
            <w:vAlign w:val="bottom"/>
          </w:tcPr>
          <w:p>
            <w:pPr>
              <w:spacing w:after="0"/>
              <w:rPr>
                <w:sz w:val="20"/>
                <w:szCs w:val="20"/>
                <w:color w:val="auto"/>
              </w:rPr>
            </w:pPr>
            <w:r>
              <w:rPr>
                <w:rFonts w:ascii="Arial" w:cs="Arial" w:eastAsia="Arial" w:hAnsi="Arial"/>
                <w:sz w:val="18"/>
                <w:szCs w:val="18"/>
                <w:color w:val="auto"/>
              </w:rPr>
              <w:t>Asbestos related litigation charges, net of insurance</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03"/>
        </w:trPr>
        <w:tc>
          <w:tcPr>
            <w:tcW w:w="53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Probable and reasonably estimable environmental liabilities</w:t>
            </w:r>
          </w:p>
        </w:tc>
        <w:tc>
          <w:tcPr>
            <w:tcW w:w="5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3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52</w:t>
            </w: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56</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134</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110</w:t>
            </w:r>
          </w:p>
        </w:tc>
      </w:tr>
      <w:tr>
        <w:trPr>
          <w:trHeight w:val="216"/>
        </w:trPr>
        <w:tc>
          <w:tcPr>
            <w:tcW w:w="53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r>
      <w:tr>
        <w:trPr>
          <w:trHeight w:val="210"/>
        </w:trPr>
        <w:tc>
          <w:tcPr>
            <w:tcW w:w="5300" w:type="dxa"/>
            <w:vAlign w:val="bottom"/>
            <w:shd w:val="clear" w:color="auto" w:fill="E5FFFF"/>
          </w:tcPr>
          <w:p>
            <w:pPr>
              <w:ind w:left="180"/>
              <w:spacing w:after="0" w:line="197" w:lineRule="exact"/>
              <w:rPr>
                <w:sz w:val="20"/>
                <w:szCs w:val="20"/>
                <w:color w:val="auto"/>
              </w:rPr>
            </w:pPr>
            <w:r>
              <w:rPr>
                <w:rFonts w:ascii="Arial" w:cs="Arial" w:eastAsia="Arial" w:hAnsi="Arial"/>
                <w:sz w:val="18"/>
                <w:szCs w:val="18"/>
                <w:color w:val="auto"/>
              </w:rPr>
              <w:t>Total net repositioning and other charges</w:t>
            </w:r>
          </w:p>
        </w:tc>
        <w:tc>
          <w:tcPr>
            <w:tcW w:w="1280" w:type="dxa"/>
            <w:vAlign w:val="bottom"/>
            <w:gridSpan w:val="2"/>
            <w:shd w:val="clear" w:color="auto" w:fill="E5FFFF"/>
          </w:tcPr>
          <w:p>
            <w:pPr>
              <w:jc w:val="right"/>
              <w:ind w:right="559"/>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3"/>
              </w:rPr>
              <w:t>117</w:t>
            </w:r>
          </w:p>
        </w:tc>
        <w:tc>
          <w:tcPr>
            <w:tcW w:w="1220" w:type="dxa"/>
            <w:vAlign w:val="bottom"/>
            <w:gridSpan w:val="3"/>
            <w:shd w:val="clear" w:color="auto" w:fill="E5FFFF"/>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93"/>
              </w:rPr>
              <w:t>171</w:t>
            </w:r>
          </w:p>
        </w:tc>
        <w:tc>
          <w:tcPr>
            <w:tcW w:w="6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331</w:t>
            </w:r>
          </w:p>
        </w:tc>
        <w:tc>
          <w:tcPr>
            <w:tcW w:w="6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299</w:t>
            </w:r>
          </w:p>
        </w:tc>
      </w:tr>
      <w:tr>
        <w:trPr>
          <w:trHeight w:val="20"/>
        </w:trPr>
        <w:tc>
          <w:tcPr>
            <w:tcW w:w="5300" w:type="dxa"/>
            <w:vAlign w:val="bottom"/>
            <w:tcBorders>
              <w:top w:val="single" w:sz="8" w:color="E5FFFF"/>
            </w:tcBorders>
          </w:tcPr>
          <w:p>
            <w:pPr>
              <w:spacing w:after="0" w:line="20" w:lineRule="exact"/>
              <w:rPr>
                <w:sz w:val="1"/>
                <w:szCs w:val="1"/>
                <w:color w:val="auto"/>
              </w:rPr>
            </w:pPr>
          </w:p>
        </w:tc>
        <w:tc>
          <w:tcPr>
            <w:tcW w:w="54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6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4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w w:val="99"/>
              </w:rPr>
              <w:t>June 30,</w:t>
            </w: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69"/>
        </w:trPr>
        <w:tc>
          <w:tcPr>
            <w:tcW w:w="472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2013</w:t>
            </w:r>
          </w:p>
        </w:tc>
      </w:tr>
      <w:tr>
        <w:trPr>
          <w:trHeight w:val="196"/>
        </w:trPr>
        <w:tc>
          <w:tcPr>
            <w:tcW w:w="47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112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3"/>
              </w:rPr>
              <w:t>110</w:t>
            </w:r>
          </w:p>
        </w:tc>
        <w:tc>
          <w:tcPr>
            <w:tcW w:w="12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93"/>
              </w:rPr>
              <w:t>147</w:t>
            </w:r>
          </w:p>
        </w:tc>
        <w:tc>
          <w:tcPr>
            <w:tcW w:w="3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301</w:t>
            </w:r>
          </w:p>
        </w:tc>
        <w:tc>
          <w:tcPr>
            <w:tcW w:w="3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255</w:t>
            </w:r>
          </w:p>
        </w:tc>
      </w:tr>
      <w:tr>
        <w:trPr>
          <w:trHeight w:val="216"/>
        </w:trPr>
        <w:tc>
          <w:tcPr>
            <w:tcW w:w="47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r>
      <w:tr>
        <w:trPr>
          <w:trHeight w:val="210"/>
        </w:trPr>
        <w:tc>
          <w:tcPr>
            <w:tcW w:w="4720" w:type="dxa"/>
            <w:vAlign w:val="bottom"/>
            <w:shd w:val="clear" w:color="auto" w:fill="E5FFFF"/>
          </w:tcPr>
          <w:p>
            <w:pPr>
              <w:spacing w:after="0"/>
              <w:rPr>
                <w:sz w:val="18"/>
                <w:szCs w:val="18"/>
                <w:color w:val="auto"/>
              </w:rPr>
            </w:pPr>
          </w:p>
        </w:tc>
        <w:tc>
          <w:tcPr>
            <w:tcW w:w="1860" w:type="dxa"/>
            <w:vAlign w:val="bottom"/>
            <w:gridSpan w:val="2"/>
            <w:shd w:val="clear" w:color="auto" w:fill="E5FFFF"/>
          </w:tcPr>
          <w:p>
            <w:pPr>
              <w:jc w:val="right"/>
              <w:ind w:right="559"/>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3"/>
              </w:rPr>
              <w:t>117</w:t>
            </w:r>
          </w:p>
        </w:tc>
        <w:tc>
          <w:tcPr>
            <w:tcW w:w="1220" w:type="dxa"/>
            <w:vAlign w:val="bottom"/>
            <w:gridSpan w:val="3"/>
            <w:shd w:val="clear" w:color="auto" w:fill="E5FFFF"/>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93"/>
              </w:rPr>
              <w:t>171</w:t>
            </w:r>
          </w:p>
        </w:tc>
        <w:tc>
          <w:tcPr>
            <w:tcW w:w="6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9"/>
              <w:spacing w:after="0"/>
              <w:rPr>
                <w:sz w:val="20"/>
                <w:szCs w:val="20"/>
                <w:color w:val="auto"/>
              </w:rPr>
            </w:pPr>
            <w:r>
              <w:rPr>
                <w:rFonts w:ascii="Arial" w:cs="Arial" w:eastAsia="Arial" w:hAnsi="Arial"/>
                <w:sz w:val="18"/>
                <w:szCs w:val="18"/>
                <w:color w:val="auto"/>
              </w:rPr>
              <w:t>331</w:t>
            </w:r>
          </w:p>
        </w:tc>
        <w:tc>
          <w:tcPr>
            <w:tcW w:w="6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299</w:t>
            </w:r>
          </w:p>
        </w:tc>
      </w:tr>
      <w:tr>
        <w:trPr>
          <w:trHeight w:val="20"/>
        </w:trPr>
        <w:tc>
          <w:tcPr>
            <w:tcW w:w="4720" w:type="dxa"/>
            <w:vAlign w:val="bottom"/>
            <w:tcBorders>
              <w:top w:val="single" w:sz="8" w:color="E5FFFF"/>
            </w:tcBorders>
          </w:tcPr>
          <w:p>
            <w:pPr>
              <w:spacing w:after="0" w:line="20" w:lineRule="exact"/>
              <w:rPr>
                <w:sz w:val="1"/>
                <w:szCs w:val="1"/>
                <w:color w:val="auto"/>
              </w:rPr>
            </w:pPr>
          </w:p>
        </w:tc>
        <w:tc>
          <w:tcPr>
            <w:tcW w:w="112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6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right"/>
              <w:ind w:right="573"/>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4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w w:val="99"/>
              </w:rPr>
              <w:t>June 30,</w:t>
            </w: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69"/>
        </w:trPr>
        <w:tc>
          <w:tcPr>
            <w:tcW w:w="456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2013</w:t>
            </w:r>
          </w:p>
        </w:tc>
      </w:tr>
      <w:tr>
        <w:trPr>
          <w:trHeight w:val="196"/>
        </w:trPr>
        <w:tc>
          <w:tcPr>
            <w:tcW w:w="45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128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1</w:t>
            </w:r>
          </w:p>
        </w:tc>
        <w:tc>
          <w:tcPr>
            <w:tcW w:w="3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w:t>
            </w:r>
          </w:p>
        </w:tc>
      </w:tr>
      <w:tr>
        <w:trPr>
          <w:trHeight w:val="203"/>
        </w:trPr>
        <w:tc>
          <w:tcPr>
            <w:tcW w:w="45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28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3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19</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20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16</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Transportation Systems</w:t>
            </w: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125</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103</w:t>
            </w:r>
          </w:p>
        </w:tc>
      </w:tr>
      <w:tr>
        <w:trPr>
          <w:trHeight w:val="216"/>
        </w:trPr>
        <w:tc>
          <w:tcPr>
            <w:tcW w:w="4560" w:type="dxa"/>
            <w:vAlign w:val="bottom"/>
            <w:shd w:val="clear" w:color="auto" w:fill="E5FFFF"/>
          </w:tcPr>
          <w:p>
            <w:pPr>
              <w:spacing w:after="0"/>
              <w:rPr>
                <w:sz w:val="20"/>
                <w:szCs w:val="20"/>
                <w:color w:val="auto"/>
              </w:rPr>
            </w:pPr>
            <w:r>
              <w:rPr>
                <w:rFonts w:ascii="Arial" w:cs="Arial" w:eastAsia="Arial" w:hAnsi="Arial"/>
                <w:sz w:val="18"/>
                <w:szCs w:val="18"/>
                <w:color w:val="auto"/>
              </w:rPr>
              <w:t>Corporate</w:t>
            </w:r>
          </w:p>
        </w:tc>
        <w:tc>
          <w:tcPr>
            <w:tcW w:w="128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auto"/>
            </w:tcBorders>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119</w:t>
            </w:r>
          </w:p>
        </w:tc>
      </w:tr>
      <w:tr>
        <w:trPr>
          <w:trHeight w:val="210"/>
        </w:trPr>
        <w:tc>
          <w:tcPr>
            <w:tcW w:w="4560" w:type="dxa"/>
            <w:vAlign w:val="bottom"/>
          </w:tcPr>
          <w:p>
            <w:pPr>
              <w:spacing w:after="0"/>
              <w:rPr>
                <w:sz w:val="18"/>
                <w:szCs w:val="18"/>
                <w:color w:val="auto"/>
              </w:rPr>
            </w:pPr>
          </w:p>
        </w:tc>
        <w:tc>
          <w:tcPr>
            <w:tcW w:w="202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117</w:t>
            </w:r>
          </w:p>
        </w:tc>
        <w:tc>
          <w:tcPr>
            <w:tcW w:w="1220" w:type="dxa"/>
            <w:vAlign w:val="bottom"/>
            <w:gridSpan w:val="3"/>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171</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331</w:t>
            </w:r>
          </w:p>
        </w:tc>
        <w:tc>
          <w:tcPr>
            <w:tcW w:w="340" w:type="dxa"/>
            <w:vAlign w:val="bottom"/>
          </w:tcPr>
          <w:p>
            <w:pPr>
              <w:spacing w:after="0"/>
              <w:rPr>
                <w:sz w:val="18"/>
                <w:szCs w:val="18"/>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299</w:t>
            </w:r>
          </w:p>
        </w:tc>
      </w:tr>
      <w:tr>
        <w:trPr>
          <w:trHeight w:val="20"/>
        </w:trPr>
        <w:tc>
          <w:tcPr>
            <w:tcW w:w="4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quarter ended June 30, 2014, we recognized repositioning charges totaling $17 million including severance costs of $ 11 million related to workforce reductions of 213 manufacturing and administrative positions primarily in our Automation and Control Solutions segment. The workforce reductions were primarily related to cost savings actions taken in connection with our productivity and ongoing functional transformation initiatives. The repositioning charge also includes exit costs of $4 million primarily related to closure obligations associated with site consolidations in our Performance Materials and Technologies segment.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quarter ended June 30, 2013, we recognized repositioning charges totaling $61 million primarily for severance costs related to workforce reductions of 577 manufacturing and administrative positions in our Automation and Control Solutions, Performance Materials and Technologies and Transportation Systems segments. The workforce reductions were primarily related to cost savings actions taken in connection with our productivity and ongoing functional transformation initiatives, achieving acquisition-related synergies in our Automation and Control Solutions segment, outsourcing of certain non-core components in our Transportation Systems segment and a factory transition in our Automation and Control Solutions segment to a more cost-effective location.</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six months ended June 30, 2014, we recognized repositioning charges totaling $105 million including severance costs of $82 million related to workforce reductions of 1,733 manufacturing and administrative positions across all of our segments. The workforce reductions were primarily related to cost savings actions taken in connection with our productivity and ongoing functional transformation initiatives, factory transitions in our Automation and Control Solutions segment to more cost-effective locations, site consolidations and organizational realignments of businesses in our Automation and Control Solutions and Performance Materials and Technologies segments. The repositioning charge includes asset impairments of $11 million primarily related to manufacturing plant and equipment associated with site consolidations and factory transitions. The repositioning charge also includes exit costs of $12 million primarily related to closure obligations and costs for early termination of lease contracts associated with site consolidations and factory transitions. Also, $9 million of previously established accruals for severance mainly in our Automation and Control Solutions segment were returned to income in the six months ended June 30, 2014 due principally to fewer employee severance actions caused by higher attrition than originally associated with prior severance programs.</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six months ended June 30, 2013, we recognized repositioning charges totaling $101 million including severance costs of $98 million related to workforce reductions of 1,224 manufacturing and administrative positions across all of our segments. The workforce reductions were primarily related to cost savings actions taken in connection with our productivity and ongoing functional transformation initiatives, achieving acquisition-related synergies in our Automation and Control Solutions segment and outsourcing of non-core components in our Transportation Systems segment. Also, $7 million of previously established accruals for severance in our Performance Materials and Technologies segment were returned to income in the six months ended June 30, 2013 due primarily to lower than expected costs in completing the exit of a product line.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Asset</w:t>
            </w:r>
          </w:p>
        </w:tc>
        <w:tc>
          <w:tcPr>
            <w:tcW w:w="22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Impairments</w:t>
            </w:r>
          </w:p>
        </w:tc>
        <w:tc>
          <w:tcPr>
            <w:tcW w:w="220" w:type="dxa"/>
            <w:vAlign w:val="bottom"/>
          </w:tcPr>
          <w:p>
            <w:pPr>
              <w:spacing w:after="0"/>
              <w:rPr>
                <w:sz w:val="15"/>
                <w:szCs w:val="15"/>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03"/>
        </w:trPr>
        <w:tc>
          <w:tcPr>
            <w:tcW w:w="40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December 31, 2013</w:t>
            </w:r>
          </w:p>
        </w:tc>
        <w:tc>
          <w:tcPr>
            <w:tcW w:w="17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302</w:t>
            </w: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45</w:t>
            </w:r>
          </w:p>
        </w:tc>
        <w:tc>
          <w:tcPr>
            <w:tcW w:w="56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347</w:t>
            </w: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105</w:t>
            </w:r>
          </w:p>
        </w:tc>
      </w:tr>
      <w:tr>
        <w:trPr>
          <w:trHeight w:val="203"/>
        </w:trPr>
        <w:tc>
          <w:tcPr>
            <w:tcW w:w="40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Usage - cash</w:t>
            </w:r>
          </w:p>
        </w:tc>
        <w:tc>
          <w:tcPr>
            <w:tcW w:w="16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(62)</w:t>
            </w: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Usage - noncash</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40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6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w:t>
            </w: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r>
      <w:tr>
        <w:trPr>
          <w:trHeight w:val="216"/>
        </w:trPr>
        <w:tc>
          <w:tcPr>
            <w:tcW w:w="40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Adjustments</w:t>
            </w:r>
          </w:p>
        </w:tc>
        <w:tc>
          <w:tcPr>
            <w:tcW w:w="164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402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June 30, 2014</w:t>
            </w:r>
          </w:p>
        </w:tc>
        <w:tc>
          <w:tcPr>
            <w:tcW w:w="17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309</w:t>
            </w:r>
          </w:p>
        </w:tc>
        <w:tc>
          <w:tcPr>
            <w:tcW w:w="34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44</w:t>
            </w:r>
          </w:p>
        </w:tc>
        <w:tc>
          <w:tcPr>
            <w:tcW w:w="5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353</w:t>
            </w:r>
          </w:p>
        </w:tc>
      </w:tr>
      <w:tr>
        <w:trPr>
          <w:trHeight w:val="20"/>
        </w:trPr>
        <w:tc>
          <w:tcPr>
            <w:tcW w:w="4020" w:type="dxa"/>
            <w:vAlign w:val="bottom"/>
            <w:tcBorders>
              <w:top w:val="single" w:sz="8" w:color="E5FFFF"/>
            </w:tcBorders>
          </w:tcPr>
          <w:p>
            <w:pPr>
              <w:spacing w:after="0" w:line="20" w:lineRule="exact"/>
              <w:rPr>
                <w:sz w:val="1"/>
                <w:szCs w:val="1"/>
                <w:color w:val="auto"/>
              </w:rPr>
            </w:pPr>
          </w:p>
        </w:tc>
        <w:tc>
          <w:tcPr>
            <w:tcW w:w="16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Certain repositioning projects in our Aerospace, Automation and Control Solutions, Performance Materials and Technologies and Transportation Systems segments included exit or disposal activities, the costs related to which will be recognized in future periods when the actual liability is incurred. The nature of these exit or disposal costs includes asset set-up and moving, product recertification and requalification, and employee retention, training and travel. The following table summarizes by segment, expected, incurred and remaining exit and disposal costs related to 2011 repositioning actions which we were not able to recognize at the time the actions were initiated. The exit and disposal costs related to the repositioning actions in 2014, 2013 and 2012 which we were not able to recognize at the time the actions were initiated were not significant.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Automation</w:t>
            </w:r>
          </w:p>
        </w:tc>
        <w:tc>
          <w:tcPr>
            <w:tcW w:w="180" w:type="dxa"/>
            <w:vAlign w:val="bottom"/>
          </w:tcPr>
          <w:p>
            <w:pPr>
              <w:spacing w:after="0"/>
              <w:rPr>
                <w:sz w:val="14"/>
                <w:szCs w:val="14"/>
                <w:color w:val="auto"/>
              </w:rPr>
            </w:pPr>
          </w:p>
        </w:tc>
        <w:tc>
          <w:tcPr>
            <w:tcW w:w="1200" w:type="dxa"/>
            <w:vAlign w:val="bottom"/>
          </w:tcPr>
          <w:p>
            <w:pPr>
              <w:jc w:val="right"/>
              <w:ind w:right="156"/>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and Control</w:t>
            </w:r>
          </w:p>
        </w:tc>
        <w:tc>
          <w:tcPr>
            <w:tcW w:w="180" w:type="dxa"/>
            <w:vAlign w:val="bottom"/>
          </w:tcPr>
          <w:p>
            <w:pPr>
              <w:spacing w:after="0"/>
              <w:rPr>
                <w:sz w:val="15"/>
                <w:szCs w:val="15"/>
                <w:color w:val="auto"/>
              </w:rPr>
            </w:pPr>
          </w:p>
        </w:tc>
        <w:tc>
          <w:tcPr>
            <w:tcW w:w="1200" w:type="dxa"/>
            <w:vAlign w:val="bottom"/>
          </w:tcPr>
          <w:p>
            <w:pPr>
              <w:jc w:val="right"/>
              <w:ind w:right="136"/>
              <w:spacing w:after="0"/>
              <w:rPr>
                <w:sz w:val="20"/>
                <w:szCs w:val="20"/>
                <w:color w:val="auto"/>
              </w:rPr>
            </w:pPr>
            <w:r>
              <w:rPr>
                <w:rFonts w:ascii="Arial" w:cs="Arial" w:eastAsia="Arial" w:hAnsi="Arial"/>
                <w:sz w:val="14"/>
                <w:szCs w:val="14"/>
                <w:b w:val="1"/>
                <w:bCs w:val="1"/>
                <w:color w:val="auto"/>
              </w:rPr>
              <w:t>Materials and</w:t>
            </w:r>
          </w:p>
        </w:tc>
        <w:tc>
          <w:tcPr>
            <w:tcW w:w="2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Transportation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360" w:type="dxa"/>
            <w:vAlign w:val="bottom"/>
            <w:gridSpan w:val="2"/>
          </w:tcPr>
          <w:p>
            <w:pPr>
              <w:ind w:left="1120"/>
              <w:spacing w:after="0"/>
              <w:rPr>
                <w:sz w:val="20"/>
                <w:szCs w:val="20"/>
                <w:color w:val="auto"/>
              </w:rPr>
            </w:pPr>
            <w:r>
              <w:rPr>
                <w:rFonts w:ascii="Arial" w:cs="Arial" w:eastAsia="Arial" w:hAnsi="Arial"/>
                <w:sz w:val="14"/>
                <w:szCs w:val="14"/>
                <w:b w:val="1"/>
                <w:bCs w:val="1"/>
                <w:color w:val="auto"/>
              </w:rPr>
              <w:t>2011 Repositioning Actions</w:t>
            </w:r>
          </w:p>
        </w:tc>
        <w:tc>
          <w:tcPr>
            <w:tcW w:w="16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Aerospace</w:t>
            </w:r>
          </w:p>
        </w:tc>
        <w:tc>
          <w:tcPr>
            <w:tcW w:w="20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Solutions</w:t>
            </w:r>
          </w:p>
        </w:tc>
        <w:tc>
          <w:tcPr>
            <w:tcW w:w="180" w:type="dxa"/>
            <w:vAlign w:val="bottom"/>
          </w:tcPr>
          <w:p>
            <w:pPr>
              <w:spacing w:after="0"/>
              <w:rPr>
                <w:sz w:val="15"/>
                <w:szCs w:val="15"/>
                <w:color w:val="auto"/>
              </w:rPr>
            </w:pPr>
          </w:p>
        </w:tc>
        <w:tc>
          <w:tcPr>
            <w:tcW w:w="1200" w:type="dxa"/>
            <w:vAlign w:val="bottom"/>
          </w:tcPr>
          <w:p>
            <w:pPr>
              <w:jc w:val="right"/>
              <w:ind w:right="136"/>
              <w:spacing w:after="0"/>
              <w:rPr>
                <w:sz w:val="20"/>
                <w:szCs w:val="20"/>
                <w:color w:val="auto"/>
              </w:rPr>
            </w:pPr>
            <w:r>
              <w:rPr>
                <w:rFonts w:ascii="Arial" w:cs="Arial" w:eastAsia="Arial" w:hAnsi="Arial"/>
                <w:sz w:val="14"/>
                <w:szCs w:val="14"/>
                <w:b w:val="1"/>
                <w:bCs w:val="1"/>
                <w:color w:val="auto"/>
              </w:rPr>
              <w:t>Technologies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Systems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12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Expected exit and disposal costs</w:t>
            </w:r>
          </w:p>
        </w:tc>
        <w:tc>
          <w:tcPr>
            <w:tcW w:w="24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15</w:t>
            </w:r>
          </w:p>
        </w:tc>
        <w:tc>
          <w:tcPr>
            <w:tcW w:w="2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5</w:t>
            </w:r>
          </w:p>
        </w:tc>
        <w:tc>
          <w:tcPr>
            <w:tcW w:w="22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7</w:t>
            </w:r>
          </w:p>
        </w:tc>
        <w:tc>
          <w:tcPr>
            <w:tcW w:w="22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7</w:t>
            </w:r>
          </w:p>
        </w:tc>
        <w:tc>
          <w:tcPr>
            <w:tcW w:w="2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34</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Costs incurred during:</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360" w:type="dxa"/>
            <w:vAlign w:val="bottom"/>
            <w:gridSpan w:val="2"/>
            <w:shd w:val="clear" w:color="auto" w:fill="E5FFFF"/>
          </w:tcPr>
          <w:p>
            <w:pPr>
              <w:ind w:left="180"/>
              <w:spacing w:after="0" w:line="202" w:lineRule="exact"/>
              <w:rPr>
                <w:sz w:val="20"/>
                <w:szCs w:val="20"/>
                <w:color w:val="auto"/>
              </w:rPr>
            </w:pPr>
            <w:r>
              <w:rPr>
                <w:rFonts w:ascii="Arial" w:cs="Arial" w:eastAsia="Arial" w:hAnsi="Arial"/>
                <w:sz w:val="18"/>
                <w:szCs w:val="18"/>
                <w:color w:val="auto"/>
              </w:rPr>
              <w:t>Year ended December 31, 2011</w:t>
            </w:r>
          </w:p>
        </w:tc>
        <w:tc>
          <w:tcPr>
            <w:tcW w:w="16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Year ended December 31, 2012</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4360" w:type="dxa"/>
            <w:vAlign w:val="bottom"/>
            <w:gridSpan w:val="2"/>
            <w:shd w:val="clear" w:color="auto" w:fill="E5FFFF"/>
          </w:tcPr>
          <w:p>
            <w:pPr>
              <w:ind w:left="180"/>
              <w:spacing w:after="0" w:line="202" w:lineRule="exact"/>
              <w:rPr>
                <w:sz w:val="20"/>
                <w:szCs w:val="20"/>
                <w:color w:val="auto"/>
              </w:rPr>
            </w:pPr>
            <w:r>
              <w:rPr>
                <w:rFonts w:ascii="Arial" w:cs="Arial" w:eastAsia="Arial" w:hAnsi="Arial"/>
                <w:sz w:val="18"/>
                <w:szCs w:val="18"/>
                <w:color w:val="auto"/>
              </w:rPr>
              <w:t>Year ended December 31, 2013</w:t>
            </w:r>
          </w:p>
        </w:tc>
        <w:tc>
          <w:tcPr>
            <w:tcW w:w="16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216"/>
        </w:trPr>
        <w:tc>
          <w:tcPr>
            <w:tcW w:w="4360" w:type="dxa"/>
            <w:vAlign w:val="bottom"/>
            <w:tcBorders>
              <w:bottom w:val="single" w:sz="8" w:color="E5FFFF"/>
            </w:tcBorders>
            <w:gridSpan w:val="2"/>
          </w:tcPr>
          <w:p>
            <w:pPr>
              <w:ind w:left="180"/>
              <w:spacing w:after="0"/>
              <w:rPr>
                <w:sz w:val="20"/>
                <w:szCs w:val="20"/>
                <w:color w:val="auto"/>
              </w:rPr>
            </w:pPr>
            <w:r>
              <w:rPr>
                <w:rFonts w:ascii="Arial" w:cs="Arial" w:eastAsia="Arial" w:hAnsi="Arial"/>
                <w:sz w:val="18"/>
                <w:szCs w:val="18"/>
                <w:color w:val="auto"/>
              </w:rPr>
              <w:t>Current year-to-date</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4360" w:type="dxa"/>
            <w:vAlign w:val="bottom"/>
            <w:gridSpan w:val="2"/>
            <w:shd w:val="clear" w:color="auto" w:fill="E5FFFF"/>
          </w:tcPr>
          <w:p>
            <w:pPr>
              <w:spacing w:after="0" w:line="197" w:lineRule="exact"/>
              <w:rPr>
                <w:sz w:val="20"/>
                <w:szCs w:val="20"/>
                <w:color w:val="auto"/>
              </w:rPr>
            </w:pPr>
            <w:r>
              <w:rPr>
                <w:rFonts w:ascii="Arial" w:cs="Arial" w:eastAsia="Arial" w:hAnsi="Arial"/>
                <w:sz w:val="18"/>
                <w:szCs w:val="18"/>
                <w:color w:val="auto"/>
              </w:rPr>
              <w:t>Remaining exit and disposal costs at June 30, 2014</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9</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36"/>
              <w:spacing w:after="0"/>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6"/>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17</w:t>
            </w:r>
          </w:p>
        </w:tc>
      </w:tr>
      <w:tr>
        <w:trPr>
          <w:trHeight w:val="20"/>
        </w:trPr>
        <w:tc>
          <w:tcPr>
            <w:tcW w:w="41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the quarter ended June 30, 2014, we recognized a charge of $52 million for environmental liabilities deemed probable and reasonably estimable in the quarter. We also recognized a charge of $51 million primarily representing an update to our estimated liability for the resolution of Bendix-related asbestos claims as of June 30, 2014, net of probable insurance recoveries. Environmental and Asbestos matters are discussed in detail in Note 17, Commitments and Contingencies.</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the quarter ended June 30, 2013, we recognized a charge of $56 million for environmental liabilities deemed probable and reasonably estimable in the quarter. We also recognized a charge of $50 million primarily representing an update to our estimated liability for the resolution of Bendix-related asbestos claims as of June 30, 2013, net of probable insurance recoveries. We also recognized other charges of $4 million in connection with the evaluation of potential resolution of a legal matter.</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six months ended June 30, 2014, we recognized a charge of $134 million for environmental liabilities deemed probable and reasonably estimable in the period. We also recognized a charge of $ 99 million primarily representing an update to our estimated liability for the resolution of Bendix-related asbestos claims as of June 30, 2014, net of probable insurance recoveries.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six months ended June 30, 2013, we recognized a charge of $110 million for environmental liabilities deemed probable and reasonably estimable in the period. We also recognized a charge of $ 91 million primarily representing an update to our estimated liability for the resolution of Bendix-related asbestos claims as of June 30, 2013, net of probable insurance recoveries.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(Income)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Equity income of affiliated companies</w:t>
            </w:r>
          </w:p>
        </w:tc>
        <w:tc>
          <w:tcPr>
            <w:tcW w:w="1580" w:type="dxa"/>
            <w:vAlign w:val="bottom"/>
            <w:gridSpan w:val="2"/>
            <w:shd w:val="clear" w:color="auto" w:fill="E5FFFF"/>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(11)</w:t>
            </w:r>
          </w:p>
        </w:tc>
        <w:tc>
          <w:tcPr>
            <w:tcW w:w="1120" w:type="dxa"/>
            <w:vAlign w:val="bottom"/>
            <w:gridSpan w:val="2"/>
            <w:shd w:val="clear" w:color="auto" w:fill="E5FF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(11)</w:t>
            </w:r>
          </w:p>
        </w:tc>
        <w:tc>
          <w:tcPr>
            <w:tcW w:w="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w:t>
            </w:r>
          </w:p>
        </w:tc>
        <w:tc>
          <w:tcPr>
            <w:tcW w:w="60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Gain on sale of available for sale investments</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Loss on sale of non-strategic businesses and assets</w:t>
            </w:r>
          </w:p>
        </w:tc>
        <w:tc>
          <w:tcPr>
            <w:tcW w:w="8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10</w:t>
            </w: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3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10</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99"/>
              </w:rPr>
              <w:t>(25)</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9"/>
              </w:rPr>
              <w:t>(15)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Foreign exchange</w:t>
            </w:r>
          </w:p>
        </w:tc>
        <w:tc>
          <w:tcPr>
            <w:tcW w:w="8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36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38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19</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net</w:t>
            </w:r>
          </w:p>
        </w:tc>
        <w:tc>
          <w:tcPr>
            <w:tcW w:w="820" w:type="dxa"/>
            <w:vAlign w:val="bottom"/>
            <w:tcBorders>
              <w:bottom w:val="single" w:sz="8" w:color="E5FF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5FF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588"/>
              <w:spacing w:after="0"/>
              <w:rPr>
                <w:sz w:val="20"/>
                <w:szCs w:val="20"/>
                <w:color w:val="auto"/>
              </w:rPr>
            </w:pPr>
            <w:r>
              <w:rPr>
                <w:rFonts w:ascii="Arial" w:cs="Arial" w:eastAsia="Arial" w:hAnsi="Arial"/>
                <w:sz w:val="18"/>
                <w:szCs w:val="18"/>
                <w:color w:val="auto"/>
              </w:rPr>
              <w:t>$</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(21)</w:t>
            </w:r>
          </w:p>
        </w:tc>
        <w:tc>
          <w:tcPr>
            <w:tcW w:w="1120" w:type="dxa"/>
            <w:vAlign w:val="bottom"/>
            <w:gridSpan w:val="2"/>
            <w:shd w:val="clear" w:color="auto" w:fill="E5FFFF"/>
          </w:tcPr>
          <w:p>
            <w:pPr>
              <w:jc w:val="right"/>
              <w:ind w:righ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(24)</w:t>
            </w:r>
          </w:p>
        </w:tc>
        <w:tc>
          <w:tcPr>
            <w:tcW w:w="6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(138)</w:t>
            </w:r>
          </w:p>
        </w:tc>
        <w:tc>
          <w:tcPr>
            <w:tcW w:w="60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E5FF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Gain on sale of available for sale investments for the six months ended June 30, 2014 is due to $105 million of realized gain related to the sale of marketable equity securities in the first quarter. These securities (B/E Aerospace common stock), designated as available for sale, were obtained in conjunction with the sale of the Consumables Solutions business in July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details of the earnings per share calculations for the three and six months ended June 30, 2014 and 2013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center"/>
              <w:ind w:right="1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4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Basic</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left="51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gridSpan w:val="5"/>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4"/>
              <w:spacing w:after="0" w:line="129"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8"/>
              <w:spacing w:after="0" w:line="129"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14"/>
              <w:spacing w:after="0" w:line="129"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E5FFFF"/>
            </w:tcBorders>
          </w:tcPr>
          <w:p>
            <w:pPr>
              <w:spacing w:after="0" w:line="20" w:lineRule="exact"/>
              <w:rPr>
                <w:sz w:val="1"/>
                <w:szCs w:val="1"/>
                <w:color w:val="auto"/>
              </w:rPr>
            </w:pPr>
          </w:p>
        </w:tc>
        <w:tc>
          <w:tcPr>
            <w:tcW w:w="700" w:type="dxa"/>
            <w:vAlign w:val="bottom"/>
            <w:tcBorders>
              <w:bottom w:val="single" w:sz="8" w:color="E5FFFF"/>
            </w:tcBorders>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3360" w:type="dxa"/>
            <w:vAlign w:val="bottom"/>
            <w:tcBorders>
              <w:bottom w:val="single" w:sz="8" w:color="E5FFFF"/>
            </w:tcBorders>
          </w:tcPr>
          <w:p>
            <w:pPr>
              <w:spacing w:after="0" w:line="20" w:lineRule="exact"/>
              <w:rPr>
                <w:sz w:val="1"/>
                <w:szCs w:val="1"/>
                <w:color w:val="auto"/>
              </w:rPr>
            </w:pPr>
          </w:p>
        </w:tc>
        <w:tc>
          <w:tcPr>
            <w:tcW w:w="120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20" w:type="dxa"/>
            <w:vAlign w:val="bottom"/>
            <w:tcBorders>
              <w:bottom w:val="single" w:sz="8" w:color="E5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gridSpan w:val="4"/>
            <w:shd w:val="clear" w:color="auto" w:fill="E5FFFF"/>
          </w:tcPr>
          <w:p>
            <w:pPr>
              <w:spacing w:after="0" w:line="183" w:lineRule="exact"/>
              <w:rPr>
                <w:sz w:val="20"/>
                <w:szCs w:val="20"/>
                <w:color w:val="auto"/>
              </w:rPr>
            </w:pPr>
            <w:r>
              <w:rPr>
                <w:rFonts w:ascii="Arial" w:cs="Arial" w:eastAsia="Arial" w:hAnsi="Arial"/>
                <w:sz w:val="18"/>
                <w:szCs w:val="18"/>
                <w:color w:val="auto"/>
              </w:rPr>
              <w:t>Net income attributable to Honeywell</w:t>
            </w:r>
          </w:p>
        </w:tc>
        <w:tc>
          <w:tcPr>
            <w:tcW w:w="1200" w:type="dxa"/>
            <w:vAlign w:val="bottom"/>
            <w:shd w:val="clear" w:color="auto" w:fill="E5FFFF"/>
          </w:tcPr>
          <w:p>
            <w:pPr>
              <w:spacing w:after="0"/>
              <w:rPr>
                <w:sz w:val="15"/>
                <w:szCs w:val="15"/>
                <w:color w:val="auto"/>
              </w:rPr>
            </w:pPr>
          </w:p>
        </w:tc>
        <w:tc>
          <w:tcPr>
            <w:tcW w:w="260" w:type="dxa"/>
            <w:vAlign w:val="bottom"/>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1,099</w:t>
            </w:r>
          </w:p>
        </w:tc>
        <w:tc>
          <w:tcPr>
            <w:tcW w:w="12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260" w:type="dxa"/>
            <w:vAlign w:val="bottom"/>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14"/>
              <w:spacing w:after="0" w:line="183" w:lineRule="exact"/>
              <w:rPr>
                <w:sz w:val="20"/>
                <w:szCs w:val="20"/>
                <w:color w:val="auto"/>
              </w:rPr>
            </w:pPr>
            <w:r>
              <w:rPr>
                <w:rFonts w:ascii="Arial" w:cs="Arial" w:eastAsia="Arial" w:hAnsi="Arial"/>
                <w:sz w:val="18"/>
                <w:szCs w:val="18"/>
                <w:color w:val="auto"/>
              </w:rPr>
              <w:t>1,021</w:t>
            </w:r>
          </w:p>
        </w:tc>
        <w:tc>
          <w:tcPr>
            <w:tcW w:w="340" w:type="dxa"/>
            <w:vAlign w:val="bottom"/>
            <w:shd w:val="clear" w:color="auto" w:fill="E5FFFF"/>
          </w:tcPr>
          <w:p>
            <w:pPr>
              <w:spacing w:after="0"/>
              <w:rPr>
                <w:sz w:val="15"/>
                <w:szCs w:val="15"/>
                <w:color w:val="auto"/>
              </w:rPr>
            </w:pPr>
          </w:p>
        </w:tc>
        <w:tc>
          <w:tcPr>
            <w:tcW w:w="260" w:type="dxa"/>
            <w:vAlign w:val="bottom"/>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8"/>
              <w:spacing w:after="0" w:line="183" w:lineRule="exact"/>
              <w:rPr>
                <w:sz w:val="20"/>
                <w:szCs w:val="20"/>
                <w:color w:val="auto"/>
              </w:rPr>
            </w:pPr>
            <w:r>
              <w:rPr>
                <w:rFonts w:ascii="Arial" w:cs="Arial" w:eastAsia="Arial" w:hAnsi="Arial"/>
                <w:sz w:val="18"/>
                <w:szCs w:val="18"/>
                <w:color w:val="auto"/>
              </w:rPr>
              <w:t>2,116</w:t>
            </w:r>
          </w:p>
        </w:tc>
        <w:tc>
          <w:tcPr>
            <w:tcW w:w="34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240" w:type="dxa"/>
            <w:vAlign w:val="bottom"/>
            <w:shd w:val="clear" w:color="auto" w:fill="E5FF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5FFFF"/>
          </w:tcPr>
          <w:p>
            <w:pPr>
              <w:jc w:val="right"/>
              <w:ind w:right="14"/>
              <w:spacing w:after="0" w:line="183" w:lineRule="exact"/>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color w:val="auto"/>
              </w:rPr>
              <w:t>Weighted average shares outstanding</w:t>
            </w:r>
          </w:p>
        </w:tc>
        <w:tc>
          <w:tcPr>
            <w:tcW w:w="12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784.5</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787.6</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784.7</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4"/>
            <w:shd w:val="clear" w:color="auto" w:fill="E5FFFF"/>
          </w:tcPr>
          <w:p>
            <w:pPr>
              <w:spacing w:after="0" w:line="197" w:lineRule="exact"/>
              <w:rPr>
                <w:sz w:val="20"/>
                <w:szCs w:val="20"/>
                <w:color w:val="auto"/>
              </w:rPr>
            </w:pPr>
            <w:r>
              <w:rPr>
                <w:rFonts w:ascii="Arial" w:cs="Arial" w:eastAsia="Arial" w:hAnsi="Arial"/>
                <w:sz w:val="18"/>
                <w:szCs w:val="18"/>
                <w:color w:val="auto"/>
              </w:rPr>
              <w:t>Earnings per share of common stock</w:t>
            </w:r>
          </w:p>
        </w:tc>
        <w:tc>
          <w:tcPr>
            <w:tcW w:w="1200" w:type="dxa"/>
            <w:vAlign w:val="bottom"/>
            <w:shd w:val="clear" w:color="auto" w:fill="E5FFFF"/>
          </w:tcPr>
          <w:p>
            <w:pPr>
              <w:spacing w:after="0"/>
              <w:rPr>
                <w:sz w:val="18"/>
                <w:szCs w:val="18"/>
                <w:color w:val="auto"/>
              </w:rPr>
            </w:pPr>
          </w:p>
        </w:tc>
        <w:tc>
          <w:tcPr>
            <w:tcW w:w="260" w:type="dxa"/>
            <w:vAlign w:val="bottom"/>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E5FFFF"/>
          </w:tcPr>
          <w:p>
            <w:pPr>
              <w:spacing w:after="0"/>
              <w:rPr>
                <w:sz w:val="18"/>
                <w:szCs w:val="18"/>
                <w:color w:val="auto"/>
              </w:rPr>
            </w:pPr>
          </w:p>
        </w:tc>
        <w:tc>
          <w:tcPr>
            <w:tcW w:w="62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1.30</w:t>
            </w:r>
          </w:p>
        </w:tc>
        <w:tc>
          <w:tcPr>
            <w:tcW w:w="6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8"/>
              <w:spacing w:after="0"/>
              <w:rPr>
                <w:sz w:val="20"/>
                <w:szCs w:val="20"/>
                <w:color w:val="auto"/>
              </w:rPr>
            </w:pPr>
            <w:r>
              <w:rPr>
                <w:rFonts w:ascii="Arial" w:cs="Arial" w:eastAsia="Arial" w:hAnsi="Arial"/>
                <w:sz w:val="18"/>
                <w:szCs w:val="18"/>
                <w:color w:val="auto"/>
              </w:rPr>
              <w:t>2.70</w:t>
            </w:r>
          </w:p>
        </w:tc>
        <w:tc>
          <w:tcPr>
            <w:tcW w:w="600" w:type="dxa"/>
            <w:vAlign w:val="bottom"/>
            <w:gridSpan w:val="3"/>
            <w:shd w:val="clear" w:color="auto" w:fill="E5FFFF"/>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3360" w:type="dxa"/>
            <w:vAlign w:val="bottom"/>
            <w:tcBorders>
              <w:top w:val="single" w:sz="8" w:color="E5FFFF"/>
            </w:tcBorders>
          </w:tcPr>
          <w:p>
            <w:pPr>
              <w:spacing w:after="0" w:line="20" w:lineRule="exact"/>
              <w:rPr>
                <w:sz w:val="1"/>
                <w:szCs w:val="1"/>
                <w:color w:val="auto"/>
              </w:rPr>
            </w:pPr>
          </w:p>
        </w:tc>
        <w:tc>
          <w:tcPr>
            <w:tcW w:w="120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tcPr>
          <w:p>
            <w:pPr>
              <w:jc w:val="center"/>
              <w:ind w:right="1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4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Assuming Dilution</w:t>
            </w:r>
          </w:p>
        </w:tc>
        <w:tc>
          <w:tcPr>
            <w:tcW w:w="1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left="51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gridSpan w:val="5"/>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4"/>
              <w:spacing w:after="0" w:line="129"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8"/>
              <w:spacing w:after="0" w:line="129"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14"/>
              <w:spacing w:after="0" w:line="129"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E5FFFF"/>
            </w:tcBorders>
          </w:tcPr>
          <w:p>
            <w:pPr>
              <w:spacing w:after="0" w:line="20" w:lineRule="exact"/>
              <w:rPr>
                <w:sz w:val="1"/>
                <w:szCs w:val="1"/>
                <w:color w:val="auto"/>
              </w:rPr>
            </w:pPr>
          </w:p>
        </w:tc>
        <w:tc>
          <w:tcPr>
            <w:tcW w:w="700" w:type="dxa"/>
            <w:vAlign w:val="bottom"/>
            <w:tcBorders>
              <w:top w:val="single" w:sz="8" w:color="auto"/>
              <w:bottom w:val="single" w:sz="8" w:color="E5FFFF"/>
            </w:tcBorders>
          </w:tcPr>
          <w:p>
            <w:pPr>
              <w:spacing w:after="0" w:line="20" w:lineRule="exact"/>
              <w:rPr>
                <w:sz w:val="1"/>
                <w:szCs w:val="1"/>
                <w:color w:val="auto"/>
              </w:rPr>
            </w:pPr>
          </w:p>
        </w:tc>
        <w:tc>
          <w:tcPr>
            <w:tcW w:w="180" w:type="dxa"/>
            <w:vAlign w:val="bottom"/>
            <w:tcBorders>
              <w:top w:val="single" w:sz="8" w:color="auto"/>
              <w:bottom w:val="single" w:sz="8" w:color="E5FFFF"/>
            </w:tcBorders>
          </w:tcPr>
          <w:p>
            <w:pPr>
              <w:spacing w:after="0" w:line="20" w:lineRule="exact"/>
              <w:rPr>
                <w:sz w:val="1"/>
                <w:szCs w:val="1"/>
                <w:color w:val="auto"/>
              </w:rPr>
            </w:pPr>
          </w:p>
        </w:tc>
        <w:tc>
          <w:tcPr>
            <w:tcW w:w="3360" w:type="dxa"/>
            <w:vAlign w:val="bottom"/>
            <w:tcBorders>
              <w:bottom w:val="single" w:sz="8" w:color="E5FFFF"/>
            </w:tcBorders>
          </w:tcPr>
          <w:p>
            <w:pPr>
              <w:spacing w:after="0" w:line="20" w:lineRule="exact"/>
              <w:rPr>
                <w:sz w:val="1"/>
                <w:szCs w:val="1"/>
                <w:color w:val="auto"/>
              </w:rPr>
            </w:pPr>
          </w:p>
        </w:tc>
        <w:tc>
          <w:tcPr>
            <w:tcW w:w="120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20" w:type="dxa"/>
            <w:vAlign w:val="bottom"/>
            <w:tcBorders>
              <w:bottom w:val="single" w:sz="8" w:color="E5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20" w:type="dxa"/>
            <w:vAlign w:val="bottom"/>
            <w:gridSpan w:val="4"/>
            <w:shd w:val="clear" w:color="auto" w:fill="E5FFFF"/>
          </w:tcPr>
          <w:p>
            <w:pPr>
              <w:spacing w:after="0" w:line="183" w:lineRule="exact"/>
              <w:rPr>
                <w:sz w:val="20"/>
                <w:szCs w:val="20"/>
                <w:color w:val="auto"/>
              </w:rPr>
            </w:pPr>
            <w:r>
              <w:rPr>
                <w:rFonts w:ascii="Arial" w:cs="Arial" w:eastAsia="Arial" w:hAnsi="Arial"/>
                <w:sz w:val="18"/>
                <w:szCs w:val="18"/>
                <w:color w:val="auto"/>
              </w:rPr>
              <w:t>Net income attributable to Honeywell</w:t>
            </w:r>
          </w:p>
        </w:tc>
        <w:tc>
          <w:tcPr>
            <w:tcW w:w="1200" w:type="dxa"/>
            <w:vAlign w:val="bottom"/>
            <w:shd w:val="clear" w:color="auto" w:fill="E5FFFF"/>
          </w:tcPr>
          <w:p>
            <w:pPr>
              <w:spacing w:after="0"/>
              <w:rPr>
                <w:sz w:val="15"/>
                <w:szCs w:val="15"/>
                <w:color w:val="auto"/>
              </w:rPr>
            </w:pPr>
          </w:p>
        </w:tc>
        <w:tc>
          <w:tcPr>
            <w:tcW w:w="260" w:type="dxa"/>
            <w:vAlign w:val="bottom"/>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1,099</w:t>
            </w:r>
          </w:p>
        </w:tc>
        <w:tc>
          <w:tcPr>
            <w:tcW w:w="12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260" w:type="dxa"/>
            <w:vAlign w:val="bottom"/>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14"/>
              <w:spacing w:after="0" w:line="183" w:lineRule="exact"/>
              <w:rPr>
                <w:sz w:val="20"/>
                <w:szCs w:val="20"/>
                <w:color w:val="auto"/>
              </w:rPr>
            </w:pPr>
            <w:r>
              <w:rPr>
                <w:rFonts w:ascii="Arial" w:cs="Arial" w:eastAsia="Arial" w:hAnsi="Arial"/>
                <w:sz w:val="18"/>
                <w:szCs w:val="18"/>
                <w:color w:val="auto"/>
              </w:rPr>
              <w:t>1,021</w:t>
            </w:r>
          </w:p>
        </w:tc>
        <w:tc>
          <w:tcPr>
            <w:tcW w:w="340" w:type="dxa"/>
            <w:vAlign w:val="bottom"/>
            <w:shd w:val="clear" w:color="auto" w:fill="E5FFFF"/>
          </w:tcPr>
          <w:p>
            <w:pPr>
              <w:spacing w:after="0"/>
              <w:rPr>
                <w:sz w:val="15"/>
                <w:szCs w:val="15"/>
                <w:color w:val="auto"/>
              </w:rPr>
            </w:pPr>
          </w:p>
        </w:tc>
        <w:tc>
          <w:tcPr>
            <w:tcW w:w="260" w:type="dxa"/>
            <w:vAlign w:val="bottom"/>
            <w:shd w:val="clear" w:color="auto" w:fill="E5FF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8"/>
              <w:spacing w:after="0" w:line="183" w:lineRule="exact"/>
              <w:rPr>
                <w:sz w:val="20"/>
                <w:szCs w:val="20"/>
                <w:color w:val="auto"/>
              </w:rPr>
            </w:pPr>
            <w:r>
              <w:rPr>
                <w:rFonts w:ascii="Arial" w:cs="Arial" w:eastAsia="Arial" w:hAnsi="Arial"/>
                <w:sz w:val="18"/>
                <w:szCs w:val="18"/>
                <w:color w:val="auto"/>
              </w:rPr>
              <w:t>2,116</w:t>
            </w:r>
          </w:p>
        </w:tc>
        <w:tc>
          <w:tcPr>
            <w:tcW w:w="360" w:type="dxa"/>
            <w:vAlign w:val="bottom"/>
            <w:gridSpan w:val="2"/>
            <w:shd w:val="clear" w:color="auto" w:fill="E5FFFF"/>
          </w:tcPr>
          <w:p>
            <w:pPr>
              <w:spacing w:after="0"/>
              <w:rPr>
                <w:sz w:val="15"/>
                <w:szCs w:val="15"/>
                <w:color w:val="auto"/>
              </w:rPr>
            </w:pPr>
          </w:p>
        </w:tc>
        <w:tc>
          <w:tcPr>
            <w:tcW w:w="240" w:type="dxa"/>
            <w:vAlign w:val="bottom"/>
            <w:shd w:val="clear" w:color="auto" w:fill="E5FF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5FFFF"/>
          </w:tcPr>
          <w:p>
            <w:pPr>
              <w:jc w:val="right"/>
              <w:ind w:right="14"/>
              <w:spacing w:after="0" w:line="183" w:lineRule="exact"/>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392"/>
        </w:trPr>
        <w:tc>
          <w:tcPr>
            <w:tcW w:w="4640" w:type="dxa"/>
            <w:vAlign w:val="bottom"/>
            <w:gridSpan w:val="5"/>
          </w:tcPr>
          <w:p>
            <w:pPr>
              <w:spacing w:after="0"/>
              <w:rPr>
                <w:sz w:val="20"/>
                <w:szCs w:val="20"/>
                <w:color w:val="auto"/>
              </w:rPr>
            </w:pPr>
            <w:r>
              <w:rPr>
                <w:rFonts w:ascii="Arial" w:cs="Arial" w:eastAsia="Arial" w:hAnsi="Arial"/>
                <w:sz w:val="14"/>
                <w:szCs w:val="14"/>
                <w:b w:val="1"/>
                <w:bCs w:val="1"/>
                <w:color w:val="auto"/>
              </w:rPr>
              <w:t>Average Shares</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2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784.5</w:t>
            </w: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787.6</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784.7</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color w:val="auto"/>
              </w:rPr>
              <w:t>Dilutive securities issuable - stock plans</w:t>
            </w:r>
          </w:p>
        </w:tc>
        <w:tc>
          <w:tcPr>
            <w:tcW w:w="12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11.2</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Total weighted average shares outstanding</w:t>
            </w:r>
          </w:p>
        </w:tc>
        <w:tc>
          <w:tcPr>
            <w:tcW w:w="12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795.4</w:t>
            </w: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798.1</w:t>
            </w:r>
          </w:p>
        </w:tc>
        <w:tc>
          <w:tcPr>
            <w:tcW w:w="3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795.9</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432"/>
        </w:trPr>
        <w:tc>
          <w:tcPr>
            <w:tcW w:w="4640" w:type="dxa"/>
            <w:vAlign w:val="bottom"/>
            <w:gridSpan w:val="5"/>
          </w:tcPr>
          <w:p>
            <w:pPr>
              <w:spacing w:after="0"/>
              <w:rPr>
                <w:sz w:val="20"/>
                <w:szCs w:val="20"/>
                <w:color w:val="auto"/>
              </w:rPr>
            </w:pPr>
            <w:r>
              <w:rPr>
                <w:rFonts w:ascii="Arial" w:cs="Arial" w:eastAsia="Arial" w:hAnsi="Arial"/>
                <w:sz w:val="18"/>
                <w:szCs w:val="18"/>
                <w:color w:val="auto"/>
              </w:rPr>
              <w:t>Earnings per share of common stock</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2.66</w:t>
            </w:r>
          </w:p>
        </w:tc>
        <w:tc>
          <w:tcPr>
            <w:tcW w:w="60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and six months ended June 30, 2014, the weighted average number of stock options excluded from the computations were 5.7 million and 3.9 million, respectively. For the three and six months ended June 30, 2013, the weighted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average number of stock options excluded from the computations were 6.0 million and 4.1 million, respectively. These stock options were outstanding at the end of each of the respective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Accounts, Notes and Other Receivables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140" w:type="dxa"/>
            <w:vAlign w:val="bottom"/>
          </w:tcPr>
          <w:p>
            <w:pPr>
              <w:jc w:val="right"/>
              <w:ind w:right="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4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r>
      <w:tr>
        <w:trPr>
          <w:trHeight w:val="196"/>
        </w:trPr>
        <w:tc>
          <w:tcPr>
            <w:tcW w:w="4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6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Trade</w:t>
            </w:r>
          </w:p>
        </w:tc>
        <w:tc>
          <w:tcPr>
            <w:tcW w:w="188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7,949</w:t>
            </w:r>
          </w:p>
        </w:tc>
        <w:tc>
          <w:tcPr>
            <w:tcW w:w="28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7,530</w:t>
            </w:r>
          </w:p>
        </w:tc>
      </w:tr>
      <w:tr>
        <w:trPr>
          <w:trHeight w:val="216"/>
        </w:trPr>
        <w:tc>
          <w:tcPr>
            <w:tcW w:w="46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196"/>
        </w:trPr>
        <w:tc>
          <w:tcPr>
            <w:tcW w:w="4640" w:type="dxa"/>
            <w:vAlign w:val="bottom"/>
            <w:shd w:val="clear" w:color="auto" w:fill="E5FFFF"/>
          </w:tcPr>
          <w:p>
            <w:pPr>
              <w:spacing w:after="0"/>
              <w:rPr>
                <w:sz w:val="17"/>
                <w:szCs w:val="17"/>
                <w:color w:val="auto"/>
              </w:rPr>
            </w:pPr>
          </w:p>
        </w:tc>
        <w:tc>
          <w:tcPr>
            <w:tcW w:w="16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8,602</w:t>
            </w:r>
          </w:p>
        </w:tc>
        <w:tc>
          <w:tcPr>
            <w:tcW w:w="2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8,176</w:t>
            </w:r>
          </w:p>
        </w:tc>
      </w:tr>
      <w:tr>
        <w:trPr>
          <w:trHeight w:val="216"/>
        </w:trPr>
        <w:tc>
          <w:tcPr>
            <w:tcW w:w="46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 Allowance for doubtful accounts</w:t>
            </w:r>
          </w:p>
        </w:tc>
        <w:tc>
          <w:tcPr>
            <w:tcW w:w="16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10"/>
        </w:trPr>
        <w:tc>
          <w:tcPr>
            <w:tcW w:w="46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8,350</w:t>
            </w: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7,929</w:t>
            </w:r>
          </w:p>
        </w:tc>
      </w:tr>
      <w:tr>
        <w:trPr>
          <w:trHeight w:val="20"/>
        </w:trPr>
        <w:tc>
          <w:tcPr>
            <w:tcW w:w="4640" w:type="dxa"/>
            <w:vAlign w:val="bottom"/>
            <w:tcBorders>
              <w:top w:val="single" w:sz="8" w:color="E5FFFF"/>
            </w:tcBorders>
          </w:tcPr>
          <w:p>
            <w:pPr>
              <w:spacing w:after="0" w:line="20" w:lineRule="exact"/>
              <w:rPr>
                <w:sz w:val="1"/>
                <w:szCs w:val="1"/>
                <w:color w:val="auto"/>
              </w:rPr>
            </w:pPr>
          </w:p>
        </w:tc>
        <w:tc>
          <w:tcPr>
            <w:tcW w:w="16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Trade receivables include $ 1,670 million and $1,609 million of unbilled balances under long-term contracts as of June 30, 2014 and December 31, 2013, respectively. These amounts are billed in accordance with the terms of customer contracts to which they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4300" w:type="dxa"/>
            <w:vAlign w:val="bottom"/>
            <w:tcBorders>
              <w:bottom w:val="single" w:sz="8" w:color="E5FFFF"/>
            </w:tcBorders>
          </w:tcPr>
          <w:p>
            <w:pPr>
              <w:spacing w:after="0"/>
              <w:rPr>
                <w:sz w:val="16"/>
                <w:szCs w:val="16"/>
                <w:color w:val="auto"/>
              </w:rPr>
            </w:pPr>
          </w:p>
        </w:tc>
        <w:tc>
          <w:tcPr>
            <w:tcW w:w="1980" w:type="dxa"/>
            <w:vAlign w:val="bottom"/>
            <w:tcBorders>
              <w:bottom w:val="single" w:sz="8" w:color="E5FF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E5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196"/>
        </w:trPr>
        <w:tc>
          <w:tcPr>
            <w:tcW w:w="43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Raw materials</w:t>
            </w:r>
          </w:p>
        </w:tc>
        <w:tc>
          <w:tcPr>
            <w:tcW w:w="198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1,156</w:t>
            </w:r>
          </w:p>
        </w:tc>
        <w:tc>
          <w:tcPr>
            <w:tcW w:w="28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1,121</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861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841</w:t>
            </w:r>
          </w:p>
        </w:tc>
      </w:tr>
      <w:tr>
        <w:trPr>
          <w:trHeight w:val="216"/>
        </w:trPr>
        <w:tc>
          <w:tcPr>
            <w:tcW w:w="4300" w:type="dxa"/>
            <w:vAlign w:val="bottom"/>
            <w:shd w:val="clear" w:color="auto" w:fill="E5FFFF"/>
          </w:tcPr>
          <w:p>
            <w:pPr>
              <w:spacing w:after="0"/>
              <w:rPr>
                <w:sz w:val="20"/>
                <w:szCs w:val="20"/>
                <w:color w:val="auto"/>
              </w:rPr>
            </w:pPr>
            <w:r>
              <w:rPr>
                <w:rFonts w:ascii="Arial" w:cs="Arial" w:eastAsia="Arial" w:hAnsi="Arial"/>
                <w:sz w:val="18"/>
                <w:szCs w:val="18"/>
                <w:color w:val="auto"/>
              </w:rPr>
              <w:t>Finished products</w:t>
            </w:r>
          </w:p>
        </w:tc>
        <w:tc>
          <w:tcPr>
            <w:tcW w:w="19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2,661</w:t>
            </w:r>
          </w:p>
        </w:tc>
        <w:tc>
          <w:tcPr>
            <w:tcW w:w="28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2,497</w:t>
            </w:r>
          </w:p>
        </w:tc>
      </w:tr>
      <w:tr>
        <w:trPr>
          <w:trHeight w:val="196"/>
        </w:trPr>
        <w:tc>
          <w:tcPr>
            <w:tcW w:w="4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4,678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4,459</w:t>
            </w:r>
          </w:p>
        </w:tc>
      </w:tr>
      <w:tr>
        <w:trPr>
          <w:trHeight w:val="216"/>
        </w:trPr>
        <w:tc>
          <w:tcPr>
            <w:tcW w:w="4300" w:type="dxa"/>
            <w:vAlign w:val="bottom"/>
            <w:shd w:val="clear" w:color="auto" w:fill="E5FFFF"/>
          </w:tcPr>
          <w:p>
            <w:pPr>
              <w:spacing w:after="0"/>
              <w:rPr>
                <w:sz w:val="20"/>
                <w:szCs w:val="20"/>
                <w:color w:val="auto"/>
              </w:rPr>
            </w:pPr>
            <w:r>
              <w:rPr>
                <w:rFonts w:ascii="Arial" w:cs="Arial" w:eastAsia="Arial" w:hAnsi="Arial"/>
                <w:sz w:val="18"/>
                <w:szCs w:val="18"/>
                <w:color w:val="auto"/>
              </w:rPr>
              <w:t>Reduction to LIFO cost basis</w:t>
            </w:r>
          </w:p>
        </w:tc>
        <w:tc>
          <w:tcPr>
            <w:tcW w:w="19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(166)</w:t>
            </w:r>
          </w:p>
        </w:tc>
      </w:tr>
      <w:tr>
        <w:trPr>
          <w:trHeight w:val="210"/>
        </w:trPr>
        <w:tc>
          <w:tcPr>
            <w:tcW w:w="4300" w:type="dxa"/>
            <w:vAlign w:val="bottom"/>
          </w:tcPr>
          <w:p>
            <w:pPr>
              <w:spacing w:after="0"/>
              <w:rPr>
                <w:sz w:val="18"/>
                <w:szCs w:val="18"/>
                <w:color w:val="auto"/>
              </w:rPr>
            </w:pPr>
          </w:p>
        </w:tc>
        <w:tc>
          <w:tcPr>
            <w:tcW w:w="2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4,511</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4,293</w:t>
            </w:r>
          </w:p>
        </w:tc>
      </w:tr>
      <w:tr>
        <w:trPr>
          <w:trHeight w:val="20"/>
        </w:trPr>
        <w:tc>
          <w:tcPr>
            <w:tcW w:w="4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 Assets -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carrying amount of goodwill for the six months ended June 30, 2014 by segment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77"/>
              <w:spacing w:after="0"/>
              <w:rPr>
                <w:sz w:val="20"/>
                <w:szCs w:val="20"/>
                <w:color w:val="auto"/>
              </w:rPr>
            </w:pPr>
            <w:r>
              <w:rPr>
                <w:rFonts w:ascii="Arial" w:cs="Arial" w:eastAsia="Arial" w:hAnsi="Arial"/>
                <w:sz w:val="14"/>
                <w:szCs w:val="14"/>
                <w:b w:val="1"/>
                <w:bCs w:val="1"/>
                <w:color w:val="auto"/>
              </w:rPr>
              <w:t>Currency</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3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9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tcPr>
          <w:p>
            <w:pPr>
              <w:spacing w:after="0"/>
              <w:rPr>
                <w:sz w:val="15"/>
                <w:szCs w:val="15"/>
                <w:color w:val="auto"/>
              </w:rPr>
            </w:pPr>
          </w:p>
        </w:tc>
        <w:tc>
          <w:tcPr>
            <w:tcW w:w="1060" w:type="dxa"/>
            <w:vAlign w:val="bottom"/>
          </w:tcPr>
          <w:p>
            <w:pPr>
              <w:jc w:val="center"/>
              <w:ind w:right="77"/>
              <w:spacing w:after="0"/>
              <w:rPr>
                <w:sz w:val="20"/>
                <w:szCs w:val="20"/>
                <w:color w:val="auto"/>
              </w:rPr>
            </w:pPr>
            <w:r>
              <w:rPr>
                <w:rFonts w:ascii="Arial" w:cs="Arial" w:eastAsia="Arial" w:hAnsi="Arial"/>
                <w:sz w:val="14"/>
                <w:szCs w:val="14"/>
                <w:b w:val="1"/>
                <w:bCs w:val="1"/>
                <w:color w:val="auto"/>
              </w:rPr>
              <w:t>Translation</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55"/>
              <w:spacing w:after="0"/>
              <w:rPr>
                <w:sz w:val="20"/>
                <w:szCs w:val="20"/>
                <w:color w:val="auto"/>
              </w:rPr>
            </w:pPr>
            <w:r>
              <w:rPr>
                <w:rFonts w:ascii="Arial" w:cs="Arial" w:eastAsia="Arial" w:hAnsi="Arial"/>
                <w:sz w:val="14"/>
                <w:szCs w:val="14"/>
                <w:b w:val="1"/>
                <w:bCs w:val="1"/>
                <w:color w:val="auto"/>
              </w:rPr>
              <w:t>June 30,</w:t>
            </w:r>
          </w:p>
        </w:tc>
        <w:tc>
          <w:tcPr>
            <w:tcW w:w="1140" w:type="dxa"/>
            <w:vAlign w:val="bottom"/>
          </w:tcPr>
          <w:p>
            <w:pPr>
              <w:spacing w:after="0"/>
              <w:rPr>
                <w:sz w:val="15"/>
                <w:szCs w:val="15"/>
                <w:color w:val="auto"/>
              </w:rPr>
            </w:pPr>
          </w:p>
        </w:tc>
      </w:tr>
      <w:tr>
        <w:trPr>
          <w:trHeight w:val="175"/>
        </w:trPr>
        <w:tc>
          <w:tcPr>
            <w:tcW w:w="3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Divestitures</w:t>
            </w:r>
          </w:p>
        </w:tc>
        <w:tc>
          <w:tcPr>
            <w:tcW w:w="160" w:type="dxa"/>
            <w:vAlign w:val="bottom"/>
          </w:tcPr>
          <w:p>
            <w:pPr>
              <w:spacing w:after="0"/>
              <w:rPr>
                <w:sz w:val="15"/>
                <w:szCs w:val="15"/>
                <w:color w:val="auto"/>
              </w:rPr>
            </w:pPr>
          </w:p>
        </w:tc>
        <w:tc>
          <w:tcPr>
            <w:tcW w:w="1060" w:type="dxa"/>
            <w:vAlign w:val="bottom"/>
          </w:tcPr>
          <w:p>
            <w:pPr>
              <w:jc w:val="center"/>
              <w:ind w:right="77"/>
              <w:spacing w:after="0"/>
              <w:rPr>
                <w:sz w:val="20"/>
                <w:szCs w:val="20"/>
                <w:color w:val="auto"/>
              </w:rPr>
            </w:pPr>
            <w:r>
              <w:rPr>
                <w:rFonts w:ascii="Arial" w:cs="Arial" w:eastAsia="Arial" w:hAnsi="Arial"/>
                <w:sz w:val="14"/>
                <w:szCs w:val="14"/>
                <w:b w:val="1"/>
                <w:bCs w:val="1"/>
                <w:color w:val="auto"/>
              </w:rPr>
              <w:t>Adjustment</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140" w:type="dxa"/>
            <w:vAlign w:val="bottom"/>
          </w:tcPr>
          <w:p>
            <w:pPr>
              <w:spacing w:after="0"/>
              <w:rPr>
                <w:sz w:val="15"/>
                <w:szCs w:val="15"/>
                <w:color w:val="auto"/>
              </w:rPr>
            </w:pPr>
          </w:p>
        </w:tc>
      </w:tr>
      <w:tr>
        <w:trPr>
          <w:trHeight w:val="196"/>
        </w:trPr>
        <w:tc>
          <w:tcPr>
            <w:tcW w:w="37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48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2,076</w:t>
            </w:r>
          </w:p>
        </w:tc>
        <w:tc>
          <w:tcPr>
            <w:tcW w:w="10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w:t>
            </w:r>
          </w:p>
        </w:tc>
        <w:tc>
          <w:tcPr>
            <w:tcW w:w="3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2,082</w:t>
            </w:r>
          </w:p>
        </w:tc>
        <w:tc>
          <w:tcPr>
            <w:tcW w:w="1140" w:type="dxa"/>
            <w:vAlign w:val="bottom"/>
          </w:tcPr>
          <w:p>
            <w:pPr>
              <w:spacing w:after="0"/>
              <w:rPr>
                <w:sz w:val="17"/>
                <w:szCs w:val="17"/>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8,006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8,008</w:t>
            </w:r>
          </w:p>
        </w:tc>
        <w:tc>
          <w:tcPr>
            <w:tcW w:w="1140" w:type="dxa"/>
            <w:vAlign w:val="bottom"/>
          </w:tcPr>
          <w:p>
            <w:pPr>
              <w:spacing w:after="0"/>
              <w:rPr>
                <w:sz w:val="17"/>
                <w:szCs w:val="17"/>
                <w:color w:val="auto"/>
              </w:rPr>
            </w:pPr>
          </w:p>
        </w:tc>
      </w:tr>
      <w:tr>
        <w:trPr>
          <w:trHeight w:val="203"/>
        </w:trPr>
        <w:tc>
          <w:tcPr>
            <w:tcW w:w="37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4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2,767</w:t>
            </w:r>
          </w:p>
        </w:tc>
        <w:tc>
          <w:tcPr>
            <w:tcW w:w="1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3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2,762</w:t>
            </w:r>
          </w:p>
        </w:tc>
        <w:tc>
          <w:tcPr>
            <w:tcW w:w="1140" w:type="dxa"/>
            <w:vAlign w:val="bottom"/>
          </w:tcPr>
          <w:p>
            <w:pPr>
              <w:spacing w:after="0"/>
              <w:rPr>
                <w:sz w:val="17"/>
                <w:szCs w:val="17"/>
                <w:color w:val="auto"/>
              </w:rPr>
            </w:pPr>
          </w:p>
        </w:tc>
      </w:tr>
      <w:tr>
        <w:trPr>
          <w:trHeight w:val="216"/>
        </w:trPr>
        <w:tc>
          <w:tcPr>
            <w:tcW w:w="37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Transportation Systems</w:t>
            </w:r>
          </w:p>
        </w:tc>
        <w:tc>
          <w:tcPr>
            <w:tcW w:w="48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197</w:t>
            </w:r>
          </w:p>
        </w:tc>
        <w:tc>
          <w:tcPr>
            <w:tcW w:w="1140" w:type="dxa"/>
            <w:vAlign w:val="bottom"/>
          </w:tcPr>
          <w:p>
            <w:pPr>
              <w:spacing w:after="0"/>
              <w:rPr>
                <w:sz w:val="18"/>
                <w:szCs w:val="18"/>
                <w:color w:val="auto"/>
              </w:rPr>
            </w:pPr>
          </w:p>
        </w:tc>
      </w:tr>
      <w:tr>
        <w:trPr>
          <w:trHeight w:val="210"/>
        </w:trPr>
        <w:tc>
          <w:tcPr>
            <w:tcW w:w="3740" w:type="dxa"/>
            <w:vAlign w:val="bottom"/>
            <w:shd w:val="clear" w:color="auto" w:fill="E5FFFF"/>
          </w:tcPr>
          <w:p>
            <w:pPr>
              <w:spacing w:after="0"/>
              <w:rPr>
                <w:sz w:val="18"/>
                <w:szCs w:val="18"/>
                <w:color w:val="auto"/>
              </w:rPr>
            </w:pP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13,046</w:t>
            </w: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52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13,049</w:t>
            </w:r>
          </w:p>
        </w:tc>
        <w:tc>
          <w:tcPr>
            <w:tcW w:w="1140" w:type="dxa"/>
            <w:vAlign w:val="bottom"/>
          </w:tcPr>
          <w:p>
            <w:pPr>
              <w:spacing w:after="0"/>
              <w:rPr>
                <w:sz w:val="18"/>
                <w:szCs w:val="18"/>
                <w:color w:val="auto"/>
              </w:rPr>
            </w:pPr>
          </w:p>
        </w:tc>
      </w:tr>
      <w:tr>
        <w:trPr>
          <w:trHeight w:val="20"/>
        </w:trPr>
        <w:tc>
          <w:tcPr>
            <w:tcW w:w="3740" w:type="dxa"/>
            <w:vAlign w:val="bottom"/>
            <w:tcBorders>
              <w:top w:val="single" w:sz="8" w:color="E5FFFF"/>
            </w:tcBorders>
          </w:tcPr>
          <w:p>
            <w:pPr>
              <w:spacing w:after="0" w:line="20" w:lineRule="exact"/>
              <w:rPr>
                <w:sz w:val="1"/>
                <w:szCs w:val="1"/>
                <w:color w:val="auto"/>
              </w:rPr>
            </w:pPr>
          </w:p>
        </w:tc>
        <w:tc>
          <w:tcPr>
            <w:tcW w:w="4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6"/>
        </w:trPr>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374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2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1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2013</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Net</w:t>
            </w:r>
          </w:p>
        </w:tc>
      </w:tr>
      <w:tr>
        <w:trPr>
          <w:trHeight w:val="176"/>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r>
      <w:tr>
        <w:trPr>
          <w:trHeight w:val="237"/>
        </w:trPr>
        <w:tc>
          <w:tcPr>
            <w:tcW w:w="47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Determinable life intangibles:</w:t>
            </w:r>
          </w:p>
        </w:tc>
        <w:tc>
          <w:tcPr>
            <w:tcW w:w="140" w:type="dxa"/>
            <w:vAlign w:val="bottom"/>
            <w:tcBorders>
              <w:top w:val="single" w:sz="8" w:color="auto"/>
            </w:tcBorders>
            <w:shd w:val="clear" w:color="auto" w:fill="E5FFFF"/>
          </w:tcPr>
          <w:p>
            <w:pPr>
              <w:spacing w:after="0"/>
              <w:rPr>
                <w:sz w:val="20"/>
                <w:szCs w:val="20"/>
                <w:color w:val="auto"/>
              </w:rPr>
            </w:pPr>
          </w:p>
        </w:tc>
        <w:tc>
          <w:tcPr>
            <w:tcW w:w="740" w:type="dxa"/>
            <w:vAlign w:val="bottom"/>
            <w:tcBorders>
              <w:top w:val="single" w:sz="8" w:color="auto"/>
            </w:tcBorders>
            <w:shd w:val="clear" w:color="auto" w:fill="E5FFFF"/>
          </w:tcPr>
          <w:p>
            <w:pPr>
              <w:spacing w:after="0"/>
              <w:rPr>
                <w:sz w:val="20"/>
                <w:szCs w:val="20"/>
                <w:color w:val="auto"/>
              </w:rPr>
            </w:pPr>
          </w:p>
        </w:tc>
        <w:tc>
          <w:tcPr>
            <w:tcW w:w="220" w:type="dxa"/>
            <w:vAlign w:val="bottom"/>
            <w:tcBorders>
              <w:top w:val="single" w:sz="8" w:color="E5FFFF"/>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900" w:type="dxa"/>
            <w:vAlign w:val="bottom"/>
            <w:tcBorders>
              <w:top w:val="single" w:sz="8" w:color="auto"/>
            </w:tcBorders>
            <w:shd w:val="clear" w:color="auto" w:fill="E5FFFF"/>
          </w:tcPr>
          <w:p>
            <w:pPr>
              <w:spacing w:after="0"/>
              <w:rPr>
                <w:sz w:val="20"/>
                <w:szCs w:val="20"/>
                <w:color w:val="auto"/>
              </w:rPr>
            </w:pPr>
          </w:p>
        </w:tc>
        <w:tc>
          <w:tcPr>
            <w:tcW w:w="120" w:type="dxa"/>
            <w:vAlign w:val="bottom"/>
            <w:tcBorders>
              <w:top w:val="single" w:sz="8" w:color="E5FFFF"/>
            </w:tcBorders>
            <w:shd w:val="clear" w:color="auto" w:fill="E5FFFF"/>
          </w:tcPr>
          <w:p>
            <w:pPr>
              <w:spacing w:after="0"/>
              <w:rPr>
                <w:sz w:val="20"/>
                <w:szCs w:val="20"/>
                <w:color w:val="auto"/>
              </w:rPr>
            </w:pPr>
          </w:p>
        </w:tc>
        <w:tc>
          <w:tcPr>
            <w:tcW w:w="10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20" w:type="dxa"/>
            <w:vAlign w:val="bottom"/>
            <w:tcBorders>
              <w:top w:val="single" w:sz="8" w:color="auto"/>
            </w:tcBorders>
            <w:shd w:val="clear" w:color="auto" w:fill="E5FFFF"/>
          </w:tcPr>
          <w:p>
            <w:pPr>
              <w:spacing w:after="0"/>
              <w:rPr>
                <w:sz w:val="20"/>
                <w:szCs w:val="20"/>
                <w:color w:val="auto"/>
              </w:rPr>
            </w:pPr>
          </w:p>
        </w:tc>
        <w:tc>
          <w:tcPr>
            <w:tcW w:w="22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40" w:type="dxa"/>
            <w:vAlign w:val="bottom"/>
            <w:tcBorders>
              <w:top w:val="single" w:sz="8" w:color="auto"/>
            </w:tcBorders>
            <w:shd w:val="clear" w:color="auto" w:fill="E5FFFF"/>
          </w:tcPr>
          <w:p>
            <w:pPr>
              <w:spacing w:after="0"/>
              <w:rPr>
                <w:sz w:val="20"/>
                <w:szCs w:val="20"/>
                <w:color w:val="auto"/>
              </w:rPr>
            </w:pPr>
          </w:p>
        </w:tc>
        <w:tc>
          <w:tcPr>
            <w:tcW w:w="220" w:type="dxa"/>
            <w:vAlign w:val="bottom"/>
            <w:tcBorders>
              <w:top w:val="single" w:sz="8" w:color="E5FFFF"/>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900" w:type="dxa"/>
            <w:vAlign w:val="bottom"/>
            <w:tcBorders>
              <w:top w:val="single" w:sz="8" w:color="auto"/>
            </w:tcBorders>
            <w:shd w:val="clear" w:color="auto" w:fill="E5FFFF"/>
          </w:tcPr>
          <w:p>
            <w:pPr>
              <w:spacing w:after="0"/>
              <w:rPr>
                <w:sz w:val="20"/>
                <w:szCs w:val="20"/>
                <w:color w:val="auto"/>
              </w:rPr>
            </w:pPr>
          </w:p>
        </w:tc>
        <w:tc>
          <w:tcPr>
            <w:tcW w:w="180" w:type="dxa"/>
            <w:vAlign w:val="bottom"/>
            <w:tcBorders>
              <w:top w:val="single" w:sz="8" w:color="E5FFFF"/>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740" w:type="dxa"/>
            <w:vAlign w:val="bottom"/>
            <w:tcBorders>
              <w:top w:val="single" w:sz="8" w:color="auto"/>
            </w:tcBorders>
            <w:shd w:val="clear" w:color="auto" w:fill="E5FFFF"/>
          </w:tcPr>
          <w:p>
            <w:pPr>
              <w:spacing w:after="0"/>
              <w:rPr>
                <w:sz w:val="20"/>
                <w:szCs w:val="20"/>
                <w:color w:val="auto"/>
              </w:rPr>
            </w:pP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Patents and technology</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1,441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(984)</w:t>
            </w:r>
          </w:p>
        </w:tc>
        <w:tc>
          <w:tcPr>
            <w:tcW w:w="120" w:type="dxa"/>
            <w:vAlign w:val="bottom"/>
          </w:tcPr>
          <w:p>
            <w:pPr>
              <w:spacing w:after="0"/>
              <w:rPr>
                <w:sz w:val="17"/>
                <w:szCs w:val="17"/>
                <w:color w:val="auto"/>
              </w:rPr>
            </w:pP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457</w:t>
            </w:r>
          </w:p>
        </w:tc>
        <w:tc>
          <w:tcPr>
            <w:tcW w:w="2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1,438</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(935)</w:t>
            </w:r>
          </w:p>
        </w:tc>
        <w:tc>
          <w:tcPr>
            <w:tcW w:w="180" w:type="dxa"/>
            <w:vAlign w:val="bottom"/>
          </w:tcPr>
          <w:p>
            <w:pPr>
              <w:spacing w:after="0"/>
              <w:rPr>
                <w:sz w:val="17"/>
                <w:szCs w:val="17"/>
                <w:color w:val="auto"/>
              </w:rPr>
            </w:pPr>
          </w:p>
        </w:tc>
        <w:tc>
          <w:tcPr>
            <w:tcW w:w="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503</w:t>
            </w:r>
          </w:p>
        </w:tc>
      </w:tr>
      <w:tr>
        <w:trPr>
          <w:trHeight w:val="203"/>
        </w:trPr>
        <w:tc>
          <w:tcPr>
            <w:tcW w:w="47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1,909</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(817)</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1,092</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1,904</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(749)</w:t>
            </w:r>
          </w:p>
        </w:tc>
        <w:tc>
          <w:tcPr>
            <w:tcW w:w="1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1,155</w:t>
            </w:r>
          </w:p>
        </w:tc>
      </w:tr>
      <w:tr>
        <w:trPr>
          <w:trHeight w:val="203"/>
        </w:trPr>
        <w:tc>
          <w:tcPr>
            <w:tcW w:w="4780" w:type="dxa"/>
            <w:vAlign w:val="bottom"/>
          </w:tcPr>
          <w:p>
            <w:pPr>
              <w:ind w:left="180"/>
              <w:spacing w:after="0" w:line="202" w:lineRule="exact"/>
              <w:rPr>
                <w:sz w:val="20"/>
                <w:szCs w:val="20"/>
                <w:color w:val="auto"/>
              </w:rPr>
            </w:pPr>
            <w:r>
              <w:rPr>
                <w:rFonts w:ascii="Arial" w:cs="Arial" w:eastAsia="Arial" w:hAnsi="Arial"/>
                <w:sz w:val="18"/>
                <w:szCs w:val="18"/>
                <w:color w:val="auto"/>
              </w:rPr>
              <w:t>Trademarks</w:t>
            </w:r>
          </w:p>
        </w:tc>
        <w:tc>
          <w:tcPr>
            <w:tcW w:w="14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76</w:t>
            </w:r>
          </w:p>
        </w:tc>
      </w:tr>
      <w:tr>
        <w:trPr>
          <w:trHeight w:val="216"/>
        </w:trPr>
        <w:tc>
          <w:tcPr>
            <w:tcW w:w="47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18"/>
                <w:szCs w:val="18"/>
                <w:color w:val="auto"/>
              </w:rPr>
              <w:t>41</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5"/>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18"/>
                <w:szCs w:val="18"/>
                <w:color w:val="auto"/>
              </w:rPr>
              <w:t>60</w:t>
            </w:r>
          </w:p>
        </w:tc>
      </w:tr>
      <w:tr>
        <w:trPr>
          <w:trHeight w:val="196"/>
        </w:trPr>
        <w:tc>
          <w:tcPr>
            <w:tcW w:w="478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3,839</w:t>
            </w:r>
          </w:p>
        </w:tc>
        <w:tc>
          <w:tcPr>
            <w:tcW w:w="22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(2,182)</w:t>
            </w:r>
          </w:p>
        </w:tc>
        <w:tc>
          <w:tcPr>
            <w:tcW w:w="12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1,657</w:t>
            </w:r>
          </w:p>
        </w:tc>
        <w:tc>
          <w:tcPr>
            <w:tcW w:w="2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3,830</w:t>
            </w:r>
          </w:p>
        </w:tc>
        <w:tc>
          <w:tcPr>
            <w:tcW w:w="220" w:type="dxa"/>
            <w:vAlign w:val="bottom"/>
            <w:tcBorders>
              <w:bottom w:val="single" w:sz="8" w:color="E5FF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(2,036)</w:t>
            </w:r>
          </w:p>
        </w:tc>
        <w:tc>
          <w:tcPr>
            <w:tcW w:w="18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1,794</w:t>
            </w:r>
          </w:p>
        </w:tc>
      </w:tr>
      <w:tr>
        <w:trPr>
          <w:trHeight w:val="237"/>
        </w:trPr>
        <w:tc>
          <w:tcPr>
            <w:tcW w:w="4780" w:type="dxa"/>
            <w:vAlign w:val="bottom"/>
            <w:shd w:val="clear" w:color="auto" w:fill="E5FFFF"/>
          </w:tcPr>
          <w:p>
            <w:pPr>
              <w:spacing w:after="0"/>
              <w:rPr>
                <w:sz w:val="20"/>
                <w:szCs w:val="20"/>
                <w:color w:val="auto"/>
              </w:rPr>
            </w:pPr>
            <w:r>
              <w:rPr>
                <w:rFonts w:ascii="Arial" w:cs="Arial" w:eastAsia="Arial" w:hAnsi="Arial"/>
                <w:sz w:val="18"/>
                <w:szCs w:val="18"/>
                <w:color w:val="auto"/>
              </w:rPr>
              <w:t>Indefinite life intangibles:</w:t>
            </w:r>
          </w:p>
        </w:tc>
        <w:tc>
          <w:tcPr>
            <w:tcW w:w="14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9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9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r>
      <w:tr>
        <w:trPr>
          <w:trHeight w:val="216"/>
        </w:trPr>
        <w:tc>
          <w:tcPr>
            <w:tcW w:w="478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Trademarks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721</w:t>
            </w:r>
          </w:p>
        </w:tc>
        <w:tc>
          <w:tcPr>
            <w:tcW w:w="22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721</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720</w:t>
            </w:r>
          </w:p>
        </w:tc>
        <w:tc>
          <w:tcPr>
            <w:tcW w:w="22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720</w:t>
            </w:r>
          </w:p>
        </w:tc>
      </w:tr>
      <w:tr>
        <w:trPr>
          <w:trHeight w:val="210"/>
        </w:trPr>
        <w:tc>
          <w:tcPr>
            <w:tcW w:w="478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4,560</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(2,182)</w:t>
            </w:r>
          </w:p>
        </w:tc>
        <w:tc>
          <w:tcPr>
            <w:tcW w:w="120" w:type="dxa"/>
            <w:vAlign w:val="bottom"/>
            <w:shd w:val="clear" w:color="auto" w:fill="E5FFFF"/>
          </w:tcPr>
          <w:p>
            <w:pPr>
              <w:spacing w:after="0"/>
              <w:rPr>
                <w:sz w:val="18"/>
                <w:szCs w:val="18"/>
                <w:color w:val="auto"/>
              </w:rPr>
            </w:pPr>
          </w:p>
        </w:tc>
        <w:tc>
          <w:tcPr>
            <w:tcW w:w="26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2,378</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4,550</w:t>
            </w: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(2,036)</w:t>
            </w:r>
          </w:p>
        </w:tc>
        <w:tc>
          <w:tcPr>
            <w:tcW w:w="180" w:type="dxa"/>
            <w:vAlign w:val="bottom"/>
            <w:shd w:val="clear" w:color="auto" w:fill="E5FFFF"/>
          </w:tcPr>
          <w:p>
            <w:pPr>
              <w:spacing w:after="0"/>
              <w:rPr>
                <w:sz w:val="18"/>
                <w:szCs w:val="18"/>
                <w:color w:val="auto"/>
              </w:rPr>
            </w:pPr>
          </w:p>
        </w:tc>
        <w:tc>
          <w:tcPr>
            <w:tcW w:w="1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2,514</w:t>
            </w:r>
          </w:p>
        </w:tc>
      </w:tr>
      <w:tr>
        <w:trPr>
          <w:trHeight w:val="20"/>
        </w:trPr>
        <w:tc>
          <w:tcPr>
            <w:tcW w:w="47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Amortization expense related to intangible assets for the three and six months ended June 30, 2014 was $69 million and $139 million, respectively. Amortization expense related to intangible assets for the three and six months ended June 30, 2013 was $78 million and $160 million, respectively.</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completed our annual impairment testing of goodwill and indefinite-lived intangibles as of March 31, 2014 and determined that there was no impairment as of that date. No further matters have arisen subsequent to that date which have resulted in a change to this assessment.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 and Credit Agreements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72"/>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60" w:type="dxa"/>
            <w:vAlign w:val="bottom"/>
            <w:tcBorders>
              <w:bottom w:val="single" w:sz="8" w:color="E5FFFF"/>
            </w:tcBorders>
          </w:tcPr>
          <w:p>
            <w:pPr>
              <w:spacing w:after="0"/>
              <w:rPr>
                <w:sz w:val="15"/>
                <w:szCs w:val="15"/>
                <w:color w:val="auto"/>
              </w:rPr>
            </w:pPr>
          </w:p>
        </w:tc>
        <w:tc>
          <w:tcPr>
            <w:tcW w:w="240" w:type="dxa"/>
            <w:vAlign w:val="bottom"/>
            <w:tcBorders>
              <w:bottom w:val="single" w:sz="8" w:color="E5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3.875% notes due 2014</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600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Floating rate notes due 2015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5.40% notes due 2016</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5.30% notes due 2017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5.30% notes due 2018</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5.00% notes due 2019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4.25% notes due 2021</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3.35% notes due 2023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2036</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550</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550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5.70% notes due 2037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5.375% notes due 2041</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rPr>
              <w:t>Industrial development bond obligations, floating rate maturing at various dates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80"/>
              <w:spacing w:after="0" w:line="203" w:lineRule="exact"/>
              <w:rPr>
                <w:sz w:val="20"/>
                <w:szCs w:val="20"/>
                <w:color w:val="auto"/>
              </w:rPr>
            </w:pPr>
            <w:r>
              <w:rPr>
                <w:rFonts w:ascii="Arial" w:cs="Arial" w:eastAsia="Arial" w:hAnsi="Arial"/>
                <w:sz w:val="18"/>
                <w:szCs w:val="18"/>
                <w:color w:val="auto"/>
              </w:rPr>
              <w:t>through 2037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12"/>
              <w:spacing w:after="0" w:line="203"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Arial" w:cs="Arial" w:eastAsia="Arial" w:hAnsi="Arial"/>
                <w:sz w:val="18"/>
                <w:szCs w:val="18"/>
                <w:color w:val="auto"/>
              </w:rPr>
              <w:t>35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6.625% debentures due 2028</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216</w:t>
            </w: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216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9.065% debentures due 2033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Other (including capitalized leases), 0.6%-13.3% maturing at various dates through</w:t>
            </w: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381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6,899</w:t>
            </w:r>
          </w:p>
        </w:tc>
        <w:tc>
          <w:tcPr>
            <w:tcW w:w="30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7,433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spacing w:after="0"/>
              <w:rPr>
                <w:sz w:val="17"/>
                <w:szCs w:val="17"/>
                <w:color w:val="auto"/>
              </w:rPr>
            </w:pPr>
          </w:p>
        </w:tc>
        <w:tc>
          <w:tcPr>
            <w:tcW w:w="11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(60)</w:t>
            </w:r>
          </w:p>
        </w:tc>
        <w:tc>
          <w:tcPr>
            <w:tcW w:w="30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(632)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6,839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6,801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6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6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26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4" w:name="page15"/>
    <w:bookmarkEnd w:id="14"/>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660" w:type="dxa"/>
            <w:vAlign w:val="bottom"/>
          </w:tcPr>
          <w:p>
            <w:pPr>
              <w:jc w:val="center"/>
              <w:ind w:left="2990"/>
              <w:spacing w:after="0"/>
              <w:rPr>
                <w:sz w:val="20"/>
                <w:szCs w:val="20"/>
                <w:color w:val="auto"/>
              </w:rPr>
            </w:pPr>
            <w:r>
              <w:rPr>
                <w:rFonts w:ascii="Arial" w:cs="Arial" w:eastAsia="Arial" w:hAnsi="Arial"/>
                <w:sz w:val="18"/>
                <w:szCs w:val="18"/>
                <w:b w:val="1"/>
                <w:bCs w:val="1"/>
                <w:color w:val="auto"/>
                <w:w w:val="99"/>
              </w:rPr>
              <w:t>Honeywell International Inc.</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660" w:type="dxa"/>
            <w:vAlign w:val="bottom"/>
          </w:tcPr>
          <w:p>
            <w:pPr>
              <w:jc w:val="center"/>
              <w:ind w:left="2990"/>
              <w:spacing w:after="0" w:line="202" w:lineRule="exact"/>
              <w:rPr>
                <w:sz w:val="20"/>
                <w:szCs w:val="20"/>
                <w:color w:val="auto"/>
              </w:rPr>
            </w:pPr>
            <w:r>
              <w:rPr>
                <w:rFonts w:ascii="Arial" w:cs="Arial" w:eastAsia="Arial" w:hAnsi="Arial"/>
                <w:sz w:val="18"/>
                <w:szCs w:val="18"/>
                <w:b w:val="1"/>
                <w:bCs w:val="1"/>
                <w:color w:val="auto"/>
              </w:rPr>
              <w:t>Notes to Financial Statements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660" w:type="dxa"/>
            <w:vAlign w:val="bottom"/>
          </w:tcPr>
          <w:p>
            <w:pPr>
              <w:jc w:val="center"/>
              <w:ind w:left="3010"/>
              <w:spacing w:after="0" w:line="202" w:lineRule="exact"/>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9"/>
        </w:trPr>
        <w:tc>
          <w:tcPr>
            <w:tcW w:w="7660" w:type="dxa"/>
            <w:vAlign w:val="bottom"/>
          </w:tcPr>
          <w:p>
            <w:pPr>
              <w:jc w:val="center"/>
              <w:ind w:left="3010"/>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5"/>
        </w:trPr>
        <w:tc>
          <w:tcPr>
            <w:tcW w:w="7660" w:type="dxa"/>
            <w:vAlign w:val="bottom"/>
          </w:tcPr>
          <w:p>
            <w:pPr>
              <w:ind w:left="320"/>
              <w:spacing w:after="0"/>
              <w:rPr>
                <w:sz w:val="20"/>
                <w:szCs w:val="20"/>
                <w:color w:val="auto"/>
              </w:rPr>
            </w:pPr>
            <w:r>
              <w:rPr>
                <w:rFonts w:ascii="Arial" w:cs="Arial" w:eastAsia="Arial" w:hAnsi="Arial"/>
                <w:sz w:val="18"/>
                <w:szCs w:val="18"/>
                <w:color w:val="auto"/>
              </w:rPr>
              <w:t>The schedule of principal payments on long-term debt is as follows: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7660" w:type="dxa"/>
            <w:vAlign w:val="bottom"/>
            <w:tcBorders>
              <w:bottom w:val="single" w:sz="8" w:color="E5FF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June 30, 2014</w:t>
            </w:r>
          </w:p>
        </w:tc>
      </w:tr>
      <w:tr>
        <w:trPr>
          <w:trHeight w:val="196"/>
        </w:trPr>
        <w:tc>
          <w:tcPr>
            <w:tcW w:w="76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2014</w:t>
            </w: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r>
      <w:tr>
        <w:trPr>
          <w:trHeight w:val="203"/>
        </w:trPr>
        <w:tc>
          <w:tcPr>
            <w:tcW w:w="76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2016</w:t>
            </w: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489</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444</w:t>
            </w:r>
          </w:p>
        </w:tc>
      </w:tr>
      <w:tr>
        <w:trPr>
          <w:trHeight w:val="203"/>
        </w:trPr>
        <w:tc>
          <w:tcPr>
            <w:tcW w:w="76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2018</w:t>
            </w: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901</w:t>
            </w:r>
          </w:p>
        </w:tc>
      </w:tr>
      <w:tr>
        <w:trPr>
          <w:trHeight w:val="216"/>
        </w:trPr>
        <w:tc>
          <w:tcPr>
            <w:tcW w:w="76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r>
      <w:tr>
        <w:trPr>
          <w:trHeight w:val="196"/>
        </w:trPr>
        <w:tc>
          <w:tcPr>
            <w:tcW w:w="76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6,899</w:t>
            </w:r>
          </w:p>
        </w:tc>
      </w:tr>
      <w:tr>
        <w:trPr>
          <w:trHeight w:val="216"/>
        </w:trPr>
        <w:tc>
          <w:tcPr>
            <w:tcW w:w="76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7660" w:type="dxa"/>
            <w:vAlign w:val="bottom"/>
            <w:tcBorders>
              <w:bottom w:val="single" w:sz="8" w:color="E5FFFF"/>
            </w:tcBorders>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6,839</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February 2014, the Company repaid its $600 million of 3.875 percent notes. The repayment was funded through the issuance of commercial paper.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 and Fair Value Measures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b w:val="1"/>
          <w:bCs w:val="1"/>
          <w:i w:val="1"/>
          <w:iCs w:val="1"/>
          <w:color w:val="auto"/>
        </w:rPr>
        <w:t>Credit and Market Risk—</w:t>
      </w:r>
      <w:r>
        <w:rPr>
          <w:rFonts w:ascii="Arial" w:cs="Arial" w:eastAsia="Arial" w:hAnsi="Arial"/>
          <w:sz w:val="18"/>
          <w:szCs w:val="18"/>
          <w:color w:val="auto"/>
        </w:rPr>
        <w:t>Financial instruments, including derivatives, expose us to counterparty credit risk for nonperformance and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risk related to changes in interest and currency exchange rates and commodity prices. We manage our exposure to counterparty credit risk through specific minimum credit standards, diversification of counterparties, and procedures to monitor concentrations of credit risk. Our counterparties in derivative transactions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rates, currency exchange rates and commodity prices and restrict the use of derivative financial instruments to hedging activities.</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continually monitor the creditworthiness of our customers to which we grant credit terms in the normal course of business. The terms and conditions of our credit sales are designed to mitigate or eliminate concentrations of credit risk with any single customer. Our sales are not materially dependent on a single customer or a small group of customers.</w:t>
      </w:r>
    </w:p>
    <w:p>
      <w:pPr>
        <w:spacing w:after="0" w:line="16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Foreign Currency Risk Management—</w:t>
      </w:r>
      <w:r>
        <w:rPr>
          <w:rFonts w:ascii="Arial" w:cs="Arial" w:eastAsia="Arial" w:hAnsi="Arial"/>
          <w:sz w:val="18"/>
          <w:szCs w:val="18"/>
          <w:color w:val="auto"/>
        </w:rPr>
        <w:t>We conduct our business on a multinational basis in a wide variety of foreign currencies.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exposure to market risk for changes in foreign currency exchange rates arises from international financing activities between subsidiaries, foreign currency denominated monetary assets and liabilities and transactions arising from international trade. Our objective is to preserve the economic value of non-functional currency denominated cash flows. We attempt to hedge transaction exposures with natural offsets to the fullest extent possible and, once these opportunities have been exhausted, through foreign currency exchange forward and option contracts with third parties.</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We partially hedge forecasted sales and purchases, which predominantly occur in the next twelve months and are denominated in non-functional currencies, with currency forward contracts. Changes in the forecasted non-functional currency cash flows due to movements in exchange rates are substantially offset by changes in the fair value of the currency forward contracts designated as hedges. Market value gains and losses on these contracts are recognized in earnings when the hedged transaction is</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recognized. Open foreign currency exchange forward contracts mature predominantly in the next twelve months. At June 30, 2014 and December 31, 2013, we had contracts with notional amounts of $6,366 million and $7,298 million respectively, to exchange foreign currencies, principally the Euro, Canadian Dollar, U.S. Dollar, Indian Rupee, Chinese Renminbi, Mexican Peso, British Pound, Swiss Franc and Czech Koruna.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Commodity Price Risk Management—</w:t>
      </w:r>
      <w:r>
        <w:rPr>
          <w:rFonts w:ascii="Arial" w:cs="Arial" w:eastAsia="Arial" w:hAnsi="Arial"/>
          <w:sz w:val="18"/>
          <w:szCs w:val="18"/>
          <w:color w:val="auto"/>
        </w:rPr>
        <w:t>Our exposure to market risk for commodity prices can result in changes in our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We primarily mitigate our exposure to commodity price risk through the use of long-term, fixed-price contracts with our suppliers and formula price agreements with suppliers and customers. We also enter into forward commodity contracts with third parties designated as hedges of anticipated purchases of several commodities. Forward commodity contracts are marked-to-market, with the resulting gains and</w:t>
      </w:r>
    </w:p>
    <w:p>
      <w:pPr>
        <w:spacing w:after="0" w:line="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losses recognized in earnings when the hedged transaction is recognized. At June 30, 2014 and December 31, 2013, we had contracts with notional amounts of $25 million and $1 million, respectively, related to forward commodity agreements for natural gas and base metals.</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b w:val="1"/>
          <w:bCs w:val="1"/>
          <w:i w:val="1"/>
          <w:iCs w:val="1"/>
          <w:color w:val="auto"/>
        </w:rPr>
        <w:t>Interest Rate Risk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a combination of financial instruments, including long-term, medium-term and short-term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variable-rate commercial paper, and interest rate swaps to manage the interest rate mix of our total debt portfolio and related overall cost of borrowing. At June 30, 2014 and December 31, 2013, interest rate swap agreements designated as fair value hedges effectively changed $1,100 million and $1,700 million, respectively, of fixed rate debt at a rate of 4.00 and 3.96, respectively, to LIBOR based floating rate debt. Our interest rate swaps mature at various dates through 2023.</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 The FASB’s accounting guidance defines fair value as the price that would be received to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asset or paid to transfer a liability in an orderly transaction between market participants at the measurement date (exit price). The FASB’s guidance classifies the inputs used to measure fair value into the following hierarchy:</w:t>
      </w:r>
    </w:p>
    <w:p>
      <w:pPr>
        <w:sectPr>
          <w:pgSz w:w="11900" w:h="16838" w:orient="portrait"/>
          <w:cols w:equalWidth="0" w:num="1">
            <w:col w:w="11420"/>
          </w:cols>
          <w:pgMar w:left="240" w:top="400" w:right="239" w:bottom="1440" w:gutter="0" w:footer="0" w:header="0"/>
        </w:sectPr>
      </w:pP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Unadjusted quoted prices in active markets for identical assets or liabilities</w:t>
      </w:r>
    </w:p>
    <w:p>
      <w:pPr>
        <w:spacing w:after="0" w:line="200" w:lineRule="exact"/>
        <w:rPr>
          <w:sz w:val="20"/>
          <w:szCs w:val="20"/>
          <w:color w:val="auto"/>
        </w:rPr>
      </w:pPr>
    </w:p>
    <w:p>
      <w:pPr>
        <w:sectPr>
          <w:pgSz w:w="11900" w:h="16838" w:orient="portrait"/>
          <w:cols w:equalWidth="0" w:num="2">
            <w:col w:w="1580" w:space="720"/>
            <w:col w:w="9120"/>
          </w:cols>
          <w:pgMar w:left="240" w:top="400" w:right="239" w:bottom="1440" w:gutter="0" w:footer="0" w:header="0"/>
          <w:type w:val="continuous"/>
        </w:sectPr>
      </w:pPr>
    </w:p>
    <w:p>
      <w:pPr>
        <w:spacing w:after="0" w:line="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Unadjusted quoted prices in active markets for similar assets or liabilities, or</w:t>
      </w:r>
    </w:p>
    <w:p>
      <w:pPr>
        <w:spacing w:after="0" w:line="200" w:lineRule="exact"/>
        <w:rPr>
          <w:sz w:val="20"/>
          <w:szCs w:val="20"/>
          <w:color w:val="auto"/>
        </w:rPr>
      </w:pPr>
    </w:p>
    <w:p>
      <w:pPr>
        <w:sectPr>
          <w:pgSz w:w="11900" w:h="16838" w:orient="portrait"/>
          <w:cols w:equalWidth="0" w:num="2">
            <w:col w:w="1580" w:space="720"/>
            <w:col w:w="9120"/>
          </w:cols>
          <w:pgMar w:left="240" w:top="400" w:right="239" w:bottom="1440" w:gutter="0" w:footer="0" w:header="0"/>
          <w:type w:val="continuous"/>
        </w:sectPr>
      </w:pPr>
    </w:p>
    <w:p>
      <w:pPr>
        <w:spacing w:after="0" w:line="10" w:lineRule="exact"/>
        <w:rPr>
          <w:sz w:val="20"/>
          <w:szCs w:val="20"/>
          <w:color w:val="auto"/>
        </w:rPr>
      </w:pPr>
    </w:p>
    <w:p>
      <w:pPr>
        <w:ind w:left="2300" w:right="1200"/>
        <w:spacing w:after="0" w:line="469" w:lineRule="auto"/>
        <w:rPr>
          <w:sz w:val="20"/>
          <w:szCs w:val="20"/>
          <w:color w:val="auto"/>
        </w:rPr>
      </w:pPr>
      <w:r>
        <w:rPr>
          <w:rFonts w:ascii="Arial" w:cs="Arial" w:eastAsia="Arial" w:hAnsi="Arial"/>
          <w:sz w:val="18"/>
          <w:szCs w:val="18"/>
          <w:color w:val="auto"/>
        </w:rPr>
        <w:t>Unadjusted quoted prices for identical or similar assets or liabilities in markets that are not active, or Inputs other than quoted prices that are observable for the asset or liability</w:t>
      </w:r>
    </w:p>
    <w:p>
      <w:pPr>
        <w:sectPr>
          <w:pgSz w:w="11900" w:h="16838" w:orient="portrait"/>
          <w:cols w:equalWidth="0" w:num="1">
            <w:col w:w="11420"/>
          </w:cols>
          <w:pgMar w:left="240" w:top="400" w:right="239" w:bottom="1440" w:gutter="0" w:footer="0" w:header="0"/>
          <w:type w:val="continuous"/>
        </w:sectPr>
      </w:pPr>
    </w:p>
    <w:p>
      <w:pPr>
        <w:spacing w:after="0" w:line="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Unobservable inputs for the asset or liability</w:t>
      </w:r>
    </w:p>
    <w:p>
      <w:pPr>
        <w:spacing w:after="0" w:line="200" w:lineRule="exact"/>
        <w:rPr>
          <w:sz w:val="20"/>
          <w:szCs w:val="20"/>
          <w:color w:val="auto"/>
        </w:rPr>
      </w:pPr>
    </w:p>
    <w:p>
      <w:pPr>
        <w:sectPr>
          <w:pgSz w:w="11900" w:h="16838" w:orient="portrait"/>
          <w:cols w:equalWidth="0" w:num="2">
            <w:col w:w="1580" w:space="720"/>
            <w:col w:w="9120"/>
          </w:cols>
          <w:pgMar w:left="240" w:top="400" w:right="239" w:bottom="1440" w:gutter="0" w:footer="0" w:header="0"/>
          <w:type w:val="continuous"/>
        </w:sectPr>
      </w:pPr>
    </w:p>
    <w:p>
      <w:pPr>
        <w:spacing w:after="0" w:line="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endeavors to utilize the best available information in measuring fair value.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June 30, 2014 and December 31, 2013:</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00" w:type="dxa"/>
            <w:vAlign w:val="bottom"/>
            <w:tcBorders>
              <w:bottom w:val="single" w:sz="8" w:color="E5FFFF"/>
            </w:tcBorders>
          </w:tcPr>
          <w:p>
            <w:pPr>
              <w:spacing w:after="0"/>
              <w:rPr>
                <w:sz w:val="16"/>
                <w:szCs w:val="16"/>
                <w:color w:val="auto"/>
              </w:rPr>
            </w:pPr>
          </w:p>
        </w:tc>
        <w:tc>
          <w:tcPr>
            <w:tcW w:w="1780" w:type="dxa"/>
            <w:vAlign w:val="bottom"/>
            <w:tcBorders>
              <w:bottom w:val="single" w:sz="8" w:color="E5FF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E5FF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2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30</w:t>
            </w:r>
          </w:p>
        </w:tc>
        <w:tc>
          <w:tcPr>
            <w:tcW w:w="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Available for sale investments</w:t>
            </w:r>
          </w:p>
        </w:tc>
        <w:tc>
          <w:tcPr>
            <w:tcW w:w="17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1,506</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Interest rate swap agreements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7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2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w:t>
            </w:r>
          </w:p>
        </w:tc>
        <w:tc>
          <w:tcPr>
            <w:tcW w:w="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Interest rate swap agreements</w:t>
            </w:r>
          </w:p>
        </w:tc>
        <w:tc>
          <w:tcPr>
            <w:tcW w:w="17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foreign currency exchange contracts, interest rate swap agreements, and forward commodity contracts are valued using broker quotations, or market transactions in either the listed or over-the-counter markets. As such, these derivative instruments are classified within level 2. The Company holds investments 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marketable equity securities that are designated as available for sale and are valued using quoted market prices. As such, these investments are classified within level 1. The Company also holds investments in commercial paper, certificates of deposits, and time deposits that are designated as available for sale and are valued using market transactions in over-the-counter markets. As such, these investments are classified within level 2.</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 2014</w:t>
            </w:r>
          </w:p>
        </w:tc>
        <w:tc>
          <w:tcPr>
            <w:tcW w:w="8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December 31, 2013</w:t>
            </w:r>
          </w:p>
        </w:tc>
      </w:tr>
      <w:tr>
        <w:trPr>
          <w:trHeight w:val="156"/>
        </w:trPr>
        <w:tc>
          <w:tcPr>
            <w:tcW w:w="4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01"/>
              <w:spacing w:after="0" w:line="156"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ind w:right="359"/>
              <w:spacing w:after="0" w:line="156"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81"/>
              <w:spacing w:after="0" w:line="156"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9"/>
              <w:spacing w:after="0" w:line="156" w:lineRule="exact"/>
              <w:rPr>
                <w:sz w:val="20"/>
                <w:szCs w:val="20"/>
                <w:color w:val="auto"/>
              </w:rPr>
            </w:pPr>
            <w:r>
              <w:rPr>
                <w:rFonts w:ascii="Arial" w:cs="Arial" w:eastAsia="Arial" w:hAnsi="Arial"/>
                <w:sz w:val="14"/>
                <w:szCs w:val="14"/>
                <w:b w:val="1"/>
                <w:bCs w:val="1"/>
                <w:color w:val="auto"/>
              </w:rPr>
              <w:t>Fair</w:t>
            </w:r>
          </w:p>
        </w:tc>
      </w:tr>
      <w:tr>
        <w:trPr>
          <w:trHeight w:val="175"/>
        </w:trPr>
        <w:tc>
          <w:tcPr>
            <w:tcW w:w="4820" w:type="dxa"/>
            <w:vAlign w:val="bottom"/>
            <w:tcBorders>
              <w:bottom w:val="single" w:sz="8" w:color="E5FFFF"/>
            </w:tcBorders>
          </w:tcPr>
          <w:p>
            <w:pPr>
              <w:spacing w:after="0"/>
              <w:rPr>
                <w:sz w:val="15"/>
                <w:szCs w:val="15"/>
                <w:color w:val="auto"/>
              </w:rPr>
            </w:pPr>
          </w:p>
        </w:tc>
        <w:tc>
          <w:tcPr>
            <w:tcW w:w="10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E5FF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Value</w:t>
            </w:r>
          </w:p>
        </w:tc>
      </w:tr>
      <w:tr>
        <w:trPr>
          <w:trHeight w:val="237"/>
        </w:trPr>
        <w:tc>
          <w:tcPr>
            <w:tcW w:w="48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96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94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41"/>
              <w:spacing w:after="0" w:line="202" w:lineRule="exact"/>
              <w:rPr>
                <w:sz w:val="20"/>
                <w:szCs w:val="20"/>
                <w:color w:val="auto"/>
              </w:rPr>
            </w:pPr>
            <w:r>
              <w:rPr>
                <w:rFonts w:ascii="Arial" w:cs="Arial" w:eastAsia="Arial" w:hAnsi="Arial"/>
                <w:sz w:val="18"/>
                <w:szCs w:val="18"/>
                <w:color w:val="auto"/>
              </w:rPr>
              <w:t>325</w:t>
            </w: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319</w:t>
            </w:r>
          </w:p>
        </w:tc>
        <w:tc>
          <w:tcPr>
            <w:tcW w:w="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250</w:t>
            </w:r>
          </w:p>
        </w:tc>
        <w:tc>
          <w:tcPr>
            <w:tcW w:w="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245</w:t>
            </w:r>
          </w:p>
        </w:tc>
      </w:tr>
      <w:tr>
        <w:trPr>
          <w:trHeight w:val="243"/>
        </w:trPr>
        <w:tc>
          <w:tcPr>
            <w:tcW w:w="48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Liabilities</w:t>
            </w:r>
          </w:p>
        </w:tc>
        <w:tc>
          <w:tcPr>
            <w:tcW w:w="10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r>
      <w:tr>
        <w:trPr>
          <w:trHeight w:val="217"/>
        </w:trPr>
        <w:tc>
          <w:tcPr>
            <w:tcW w:w="482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1"/>
              <w:spacing w:after="0"/>
              <w:rPr>
                <w:sz w:val="20"/>
                <w:szCs w:val="20"/>
                <w:color w:val="auto"/>
              </w:rPr>
            </w:pPr>
            <w:r>
              <w:rPr>
                <w:rFonts w:ascii="Arial" w:cs="Arial" w:eastAsia="Arial" w:hAnsi="Arial"/>
                <w:sz w:val="18"/>
                <w:szCs w:val="18"/>
                <w:color w:val="auto"/>
              </w:rPr>
              <w:t>6,899</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7,665</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7,433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8,066</w:t>
            </w:r>
          </w:p>
        </w:tc>
      </w:tr>
    </w:tbl>
    <w:p>
      <w:pPr>
        <w:spacing w:after="0" w:line="18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188"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8"/>
          <w:szCs w:val="18"/>
          <w:color w:val="auto"/>
        </w:rPr>
        <w:t>At June 30, 2014 the Company had nonfinancial assets, principally property, plant and equipment, with a net book value of $21 million which were accounted for at fair value on a nonrecurring basis. These assets were tested for impairment and based on the fair value of these assets the Company recognized losses of $ 11 million and $20 million, respectively, in the three and six months ended June 30, 2014, primarily in connection with our repositioning actions (see Note 4 Repositioning and Other Charges). At June 30, 2013, the Company had nonfinancial assets with a net book value of $6 million that were accounted for at fair value on a nonrecurring basis. Based on the fair value of these assets the Company recognized losses of $2 million and $6 million, respectively, in the three and six months ended June 30, 2013. The Company has determined that the fair value measurements of these nonfinancial assets are level 3 in the fair value hierarchy. The Company utilizes the market, income or cost approaches or a combination of these valuation techniques for its non-recurring level 3 fair value measures. Inputs to such measures include observable market data obtained from independent sources such as broker quotes and recent market transactions for similar assets. It is the Company’s policy to maximize the use of observable inputs in the measurement of fair value or non-recurring level 3 measurements. To the extent observable inputs are not available the Company utilizes unobservable inputs based upon the assumptions market participants would use in valuing the asset. Examples of utilized unobservable inputs are future cash flows, long-term growth rates and applicable discount rates.</w:t>
      </w:r>
    </w:p>
    <w:p>
      <w:pPr>
        <w:spacing w:after="0" w:line="19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enter into transactions that are subject to arrangements designed to provide for netting of offsetting obligations in the event of the insolvency or default of a counterparty. However, we have not elected to offset multiple contracts with a single counterparty, therefore the fair value of the derivative instruments in a loss position is not offset against the fair value of derivative instruments in a gain position. The derivatives utilized for risk management purposes as detailed above are included on the Consolidated Balance Sheet and impacted the Statement of Operations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Fair value of derivatives classified as assets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center"/>
              <w:ind w:left="282"/>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2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Designated as a Hedge</w:t>
            </w:r>
          </w:p>
        </w:tc>
        <w:tc>
          <w:tcPr>
            <w:tcW w:w="41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 Sheet Classification</w:t>
            </w:r>
          </w:p>
        </w:tc>
        <w:tc>
          <w:tcPr>
            <w:tcW w:w="1020" w:type="dxa"/>
            <w:vAlign w:val="bottom"/>
          </w:tcPr>
          <w:p>
            <w:pPr>
              <w:jc w:val="center"/>
              <w:ind w:left="262"/>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2013</w:t>
            </w:r>
          </w:p>
        </w:tc>
      </w:tr>
      <w:tr>
        <w:trPr>
          <w:trHeight w:val="195"/>
        </w:trPr>
        <w:tc>
          <w:tcPr>
            <w:tcW w:w="39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Foreign currency exchange contracts</w:t>
            </w:r>
          </w:p>
        </w:tc>
        <w:tc>
          <w:tcPr>
            <w:tcW w:w="340" w:type="dxa"/>
            <w:vAlign w:val="bottom"/>
          </w:tcPr>
          <w:p>
            <w:pPr>
              <w:spacing w:after="0"/>
              <w:rPr>
                <w:sz w:val="16"/>
                <w:szCs w:val="16"/>
                <w:color w:val="auto"/>
              </w:rPr>
            </w:pPr>
          </w:p>
        </w:tc>
        <w:tc>
          <w:tcPr>
            <w:tcW w:w="37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Accounts, notes, and other receivables</w:t>
            </w:r>
          </w:p>
        </w:tc>
        <w:tc>
          <w:tcPr>
            <w:tcW w:w="340" w:type="dxa"/>
            <w:vAlign w:val="bottom"/>
          </w:tcPr>
          <w:p>
            <w:pPr>
              <w:spacing w:after="0"/>
              <w:rPr>
                <w:sz w:val="16"/>
                <w:szCs w:val="16"/>
                <w:color w:val="auto"/>
              </w:rPr>
            </w:pPr>
          </w:p>
        </w:tc>
        <w:tc>
          <w:tcPr>
            <w:tcW w:w="1020" w:type="dxa"/>
            <w:vAlign w:val="bottom"/>
            <w:tcBorders>
              <w:top w:val="single" w:sz="8" w:color="auto"/>
            </w:tcBorders>
          </w:tcPr>
          <w:p>
            <w:pPr>
              <w:jc w:val="right"/>
              <w:ind w:right="842"/>
              <w:spacing w:after="0" w:line="195"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28</w:t>
            </w:r>
          </w:p>
        </w:tc>
        <w:tc>
          <w:tcPr>
            <w:tcW w:w="3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20"/>
              <w:spacing w:after="0" w:line="195" w:lineRule="exact"/>
              <w:rPr>
                <w:sz w:val="20"/>
                <w:szCs w:val="20"/>
                <w:color w:val="auto"/>
              </w:rPr>
            </w:pPr>
            <w:r>
              <w:rPr>
                <w:rFonts w:ascii="Arial" w:cs="Arial" w:eastAsia="Arial" w:hAnsi="Arial"/>
                <w:sz w:val="18"/>
                <w:szCs w:val="18"/>
                <w:color w:val="auto"/>
              </w:rPr>
              <w:t>16</w:t>
            </w:r>
          </w:p>
        </w:tc>
      </w:tr>
      <w:tr>
        <w:trPr>
          <w:trHeight w:val="217"/>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Interest rate swap agreements</w:t>
            </w: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63</w:t>
            </w:r>
          </w:p>
        </w:tc>
      </w:tr>
      <w:tr>
        <w:trPr>
          <w:trHeight w:val="351"/>
        </w:trPr>
        <w:tc>
          <w:tcPr>
            <w:tcW w:w="3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center"/>
              <w:ind w:left="282"/>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2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 Designated as a Hedge</w:t>
            </w:r>
          </w:p>
        </w:tc>
        <w:tc>
          <w:tcPr>
            <w:tcW w:w="41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 Sheet Classification</w:t>
            </w:r>
          </w:p>
        </w:tc>
        <w:tc>
          <w:tcPr>
            <w:tcW w:w="1020" w:type="dxa"/>
            <w:vAlign w:val="bottom"/>
          </w:tcPr>
          <w:p>
            <w:pPr>
              <w:jc w:val="center"/>
              <w:ind w:left="262"/>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2013</w:t>
            </w:r>
          </w:p>
        </w:tc>
      </w:tr>
      <w:tr>
        <w:trPr>
          <w:trHeight w:val="210"/>
        </w:trPr>
        <w:tc>
          <w:tcPr>
            <w:tcW w:w="39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Foreign currency exchange contracts</w:t>
            </w:r>
          </w:p>
        </w:tc>
        <w:tc>
          <w:tcPr>
            <w:tcW w:w="340" w:type="dxa"/>
            <w:vAlign w:val="bottom"/>
          </w:tcPr>
          <w:p>
            <w:pPr>
              <w:spacing w:after="0"/>
              <w:rPr>
                <w:sz w:val="18"/>
                <w:szCs w:val="18"/>
                <w:color w:val="auto"/>
              </w:rPr>
            </w:pPr>
          </w:p>
        </w:tc>
        <w:tc>
          <w:tcPr>
            <w:tcW w:w="37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Accounts, notes, and other receivables</w:t>
            </w:r>
          </w:p>
        </w:tc>
        <w:tc>
          <w:tcPr>
            <w:tcW w:w="340" w:type="dxa"/>
            <w:vAlign w:val="bottom"/>
          </w:tcPr>
          <w:p>
            <w:pPr>
              <w:spacing w:after="0"/>
              <w:rPr>
                <w:sz w:val="18"/>
                <w:szCs w:val="18"/>
                <w:color w:val="auto"/>
              </w:rPr>
            </w:pPr>
          </w:p>
        </w:tc>
        <w:tc>
          <w:tcPr>
            <w:tcW w:w="1020" w:type="dxa"/>
            <w:vAlign w:val="bottom"/>
            <w:tcBorders>
              <w:top w:val="single" w:sz="8" w:color="auto"/>
            </w:tcBorders>
          </w:tcPr>
          <w:p>
            <w:pPr>
              <w:jc w:val="right"/>
              <w:ind w:right="84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Fair value of derivatives classified as liabilities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center"/>
              <w:ind w:left="222"/>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2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Designated as a Hedge</w:t>
            </w:r>
          </w:p>
        </w:tc>
        <w:tc>
          <w:tcPr>
            <w:tcW w:w="41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 Sheet Classification</w:t>
            </w:r>
          </w:p>
        </w:tc>
        <w:tc>
          <w:tcPr>
            <w:tcW w:w="1080" w:type="dxa"/>
            <w:vAlign w:val="bottom"/>
          </w:tcPr>
          <w:p>
            <w:pPr>
              <w:jc w:val="center"/>
              <w:ind w:left="20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2013</w:t>
            </w:r>
          </w:p>
        </w:tc>
      </w:tr>
      <w:tr>
        <w:trPr>
          <w:trHeight w:val="195"/>
        </w:trPr>
        <w:tc>
          <w:tcPr>
            <w:tcW w:w="39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Foreign currency exchange contracts</w:t>
            </w:r>
          </w:p>
        </w:tc>
        <w:tc>
          <w:tcPr>
            <w:tcW w:w="340" w:type="dxa"/>
            <w:vAlign w:val="bottom"/>
          </w:tcPr>
          <w:p>
            <w:pPr>
              <w:spacing w:after="0"/>
              <w:rPr>
                <w:sz w:val="16"/>
                <w:szCs w:val="16"/>
                <w:color w:val="auto"/>
              </w:rPr>
            </w:pPr>
          </w:p>
        </w:tc>
        <w:tc>
          <w:tcPr>
            <w:tcW w:w="37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6"/>
                <w:szCs w:val="16"/>
                <w:color w:val="auto"/>
              </w:rPr>
            </w:pPr>
          </w:p>
        </w:tc>
        <w:tc>
          <w:tcPr>
            <w:tcW w:w="1080" w:type="dxa"/>
            <w:vAlign w:val="bottom"/>
            <w:tcBorders>
              <w:top w:val="single" w:sz="8" w:color="auto"/>
            </w:tcBorders>
          </w:tcPr>
          <w:p>
            <w:pPr>
              <w:jc w:val="right"/>
              <w:ind w:right="902"/>
              <w:spacing w:after="0" w:line="195"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20"/>
              <w:spacing w:after="0" w:line="195" w:lineRule="exact"/>
              <w:rPr>
                <w:sz w:val="20"/>
                <w:szCs w:val="20"/>
                <w:color w:val="auto"/>
              </w:rPr>
            </w:pPr>
            <w:r>
              <w:rPr>
                <w:rFonts w:ascii="Arial" w:cs="Arial" w:eastAsia="Arial" w:hAnsi="Arial"/>
                <w:sz w:val="18"/>
                <w:szCs w:val="18"/>
                <w:color w:val="auto"/>
              </w:rPr>
              <w:t>23</w:t>
            </w:r>
          </w:p>
        </w:tc>
      </w:tr>
      <w:tr>
        <w:trPr>
          <w:trHeight w:val="217"/>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Interest rate swap agreements</w:t>
            </w: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Accrued liabilities</w:t>
            </w:r>
          </w:p>
        </w:tc>
        <w:tc>
          <w:tcPr>
            <w:tcW w:w="108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8</w:t>
            </w:r>
          </w:p>
        </w:tc>
      </w:tr>
      <w:tr>
        <w:trPr>
          <w:trHeight w:val="351"/>
        </w:trPr>
        <w:tc>
          <w:tcPr>
            <w:tcW w:w="3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center"/>
              <w:ind w:left="222"/>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2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 Designated as a Hedge</w:t>
            </w:r>
          </w:p>
        </w:tc>
        <w:tc>
          <w:tcPr>
            <w:tcW w:w="41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 Sheet Classification</w:t>
            </w:r>
          </w:p>
        </w:tc>
        <w:tc>
          <w:tcPr>
            <w:tcW w:w="1080" w:type="dxa"/>
            <w:vAlign w:val="bottom"/>
          </w:tcPr>
          <w:p>
            <w:pPr>
              <w:jc w:val="center"/>
              <w:ind w:left="20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2013</w:t>
            </w:r>
          </w:p>
        </w:tc>
      </w:tr>
      <w:tr>
        <w:trPr>
          <w:trHeight w:val="210"/>
        </w:trPr>
        <w:tc>
          <w:tcPr>
            <w:tcW w:w="39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Foreign currency exchange contracts</w:t>
            </w:r>
          </w:p>
        </w:tc>
        <w:tc>
          <w:tcPr>
            <w:tcW w:w="340" w:type="dxa"/>
            <w:vAlign w:val="bottom"/>
          </w:tcPr>
          <w:p>
            <w:pPr>
              <w:spacing w:after="0"/>
              <w:rPr>
                <w:sz w:val="18"/>
                <w:szCs w:val="18"/>
                <w:color w:val="auto"/>
              </w:rPr>
            </w:pPr>
          </w:p>
        </w:tc>
        <w:tc>
          <w:tcPr>
            <w:tcW w:w="37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1080" w:type="dxa"/>
            <w:vAlign w:val="bottom"/>
            <w:tcBorders>
              <w:top w:val="single" w:sz="8" w:color="auto"/>
            </w:tcBorders>
          </w:tcPr>
          <w:p>
            <w:pPr>
              <w:jc w:val="right"/>
              <w:ind w:right="90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w:t>
            </w:r>
          </w:p>
        </w:tc>
      </w:tr>
    </w:tbl>
    <w:p>
      <w:pPr>
        <w:spacing w:after="0" w:line="3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Gains (losses) recognized in other comprehensive income (effective portions) consist of the following:</w:t>
      </w:r>
    </w:p>
    <w:p>
      <w:pPr>
        <w:spacing w:after="0" w:line="186" w:lineRule="exact"/>
        <w:rPr>
          <w:sz w:val="20"/>
          <w:szCs w:val="20"/>
          <w:color w:val="auto"/>
        </w:rPr>
      </w:pPr>
    </w:p>
    <w:tbl>
      <w:tblPr>
        <w:tblLayout w:type="fixed"/>
        <w:tblInd w:w="4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10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Designated Cash Flow Hedge</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w w:val="99"/>
              </w:rPr>
              <w:t>June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404"/>
              <w:spacing w:after="0" w:line="155"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3"/>
                <w:szCs w:val="13"/>
                <w:color w:val="auto"/>
              </w:rPr>
            </w:pPr>
          </w:p>
        </w:tc>
        <w:tc>
          <w:tcPr>
            <w:tcW w:w="78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404"/>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3"/>
                <w:szCs w:val="13"/>
                <w:color w:val="auto"/>
              </w:rPr>
            </w:pPr>
          </w:p>
        </w:tc>
        <w:tc>
          <w:tcPr>
            <w:tcW w:w="76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84"/>
              <w:spacing w:after="0"/>
              <w:rPr>
                <w:sz w:val="20"/>
                <w:szCs w:val="20"/>
                <w:color w:val="auto"/>
              </w:rPr>
            </w:pPr>
            <w:r>
              <w:rPr>
                <w:rFonts w:ascii="Arial" w:cs="Arial" w:eastAsia="Arial" w:hAnsi="Arial"/>
                <w:sz w:val="18"/>
                <w:szCs w:val="18"/>
                <w:color w:val="auto"/>
              </w:rPr>
              <w:t>20</w:t>
            </w:r>
          </w:p>
        </w:tc>
        <w:tc>
          <w:tcPr>
            <w:tcW w:w="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84"/>
              <w:spacing w:after="0"/>
              <w:rPr>
                <w:sz w:val="20"/>
                <w:szCs w:val="20"/>
                <w:color w:val="auto"/>
              </w:rPr>
            </w:pPr>
            <w:r>
              <w:rPr>
                <w:rFonts w:ascii="Arial" w:cs="Arial" w:eastAsia="Arial" w:hAnsi="Arial"/>
                <w:sz w:val="18"/>
                <w:szCs w:val="18"/>
                <w:color w:val="auto"/>
              </w:rPr>
              <w:t>32</w:t>
            </w:r>
          </w:p>
        </w:tc>
        <w:tc>
          <w:tcPr>
            <w:tcW w:w="4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Gains (losses) reclassified from accumulated other comprehensive income to income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3"/>
          </w:tcPr>
          <w:p>
            <w:pPr>
              <w:jc w:val="center"/>
              <w:ind w:left="25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3"/>
          </w:tcPr>
          <w:p>
            <w:pPr>
              <w:jc w:val="center"/>
              <w:ind w:left="259"/>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r>
      <w:tr>
        <w:trPr>
          <w:trHeight w:val="176"/>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Designated</w:t>
            </w: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5"/>
                <w:szCs w:val="15"/>
                <w:color w:val="auto"/>
              </w:rPr>
            </w:pPr>
          </w:p>
        </w:tc>
      </w:tr>
      <w:tr>
        <w:trPr>
          <w:trHeight w:val="175"/>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Cash Flow Hedge</w:t>
            </w:r>
          </w:p>
        </w:tc>
        <w:tc>
          <w:tcPr>
            <w:tcW w:w="2860" w:type="dxa"/>
            <w:vAlign w:val="bottom"/>
          </w:tcPr>
          <w:p>
            <w:pPr>
              <w:spacing w:after="0"/>
              <w:rPr>
                <w:sz w:val="20"/>
                <w:szCs w:val="20"/>
                <w:color w:val="auto"/>
              </w:rPr>
            </w:pPr>
            <w:r>
              <w:rPr>
                <w:rFonts w:ascii="Arial" w:cs="Arial" w:eastAsia="Arial" w:hAnsi="Arial"/>
                <w:sz w:val="14"/>
                <w:szCs w:val="14"/>
                <w:b w:val="1"/>
                <w:bCs w:val="1"/>
                <w:color w:val="auto"/>
              </w:rPr>
              <w:t>Income Statement Location</w:t>
            </w:r>
          </w:p>
        </w:tc>
        <w:tc>
          <w:tcPr>
            <w:tcW w:w="104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5"/>
                <w:szCs w:val="15"/>
                <w:color w:val="auto"/>
              </w:rPr>
            </w:pPr>
          </w:p>
        </w:tc>
        <w:tc>
          <w:tcPr>
            <w:tcW w:w="9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5"/>
                <w:szCs w:val="15"/>
                <w:color w:val="auto"/>
              </w:rPr>
            </w:pPr>
          </w:p>
        </w:tc>
      </w:tr>
      <w:tr>
        <w:trPr>
          <w:trHeight w:val="196"/>
        </w:trPr>
        <w:tc>
          <w:tcPr>
            <w:tcW w:w="274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2860" w:type="dxa"/>
            <w:vAlign w:val="bottom"/>
            <w:tcBorders>
              <w:top w:val="single" w:sz="8" w:color="auto"/>
            </w:tcBorders>
            <w:shd w:val="clear" w:color="auto" w:fill="E5FFFF"/>
          </w:tcPr>
          <w:p>
            <w:pPr>
              <w:jc w:val="center"/>
              <w:ind w:right="1634"/>
              <w:spacing w:after="0" w:line="196" w:lineRule="exact"/>
              <w:rPr>
                <w:sz w:val="20"/>
                <w:szCs w:val="20"/>
                <w:color w:val="auto"/>
              </w:rPr>
            </w:pPr>
            <w:r>
              <w:rPr>
                <w:rFonts w:ascii="Arial" w:cs="Arial" w:eastAsia="Arial" w:hAnsi="Arial"/>
                <w:sz w:val="18"/>
                <w:szCs w:val="18"/>
                <w:color w:val="auto"/>
              </w:rPr>
              <w:t>Product sales</w:t>
            </w:r>
          </w:p>
        </w:tc>
        <w:tc>
          <w:tcPr>
            <w:tcW w:w="24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ind w:right="61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5FFFF"/>
          </w:tcPr>
          <w:p>
            <w:pPr>
              <w:jc w:val="right"/>
              <w:ind w:right="74"/>
              <w:spacing w:after="0" w:line="196" w:lineRule="exact"/>
              <w:rPr>
                <w:sz w:val="20"/>
                <w:szCs w:val="20"/>
                <w:color w:val="auto"/>
              </w:rPr>
            </w:pPr>
            <w:r>
              <w:rPr>
                <w:rFonts w:ascii="Arial" w:cs="Arial" w:eastAsia="Arial" w:hAnsi="Arial"/>
                <w:sz w:val="18"/>
                <w:szCs w:val="18"/>
                <w:color w:val="auto"/>
              </w:rPr>
              <w:t>2</w:t>
            </w:r>
          </w:p>
        </w:tc>
        <w:tc>
          <w:tcPr>
            <w:tcW w:w="1000" w:type="dxa"/>
            <w:vAlign w:val="bottom"/>
            <w:tcBorders>
              <w:top w:val="single" w:sz="8" w:color="auto"/>
            </w:tcBorders>
            <w:shd w:val="clear" w:color="auto" w:fill="E5FFFF"/>
          </w:tcPr>
          <w:p>
            <w:pPr>
              <w:jc w:val="right"/>
              <w:ind w:right="639"/>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220" w:type="dxa"/>
            <w:vAlign w:val="bottom"/>
            <w:tcBorders>
              <w:top w:val="single" w:sz="8" w:color="E5FFFF"/>
            </w:tcBorders>
            <w:shd w:val="clear" w:color="auto" w:fill="E5FFFF"/>
          </w:tcPr>
          <w:p>
            <w:pPr>
              <w:spacing w:after="0"/>
              <w:rPr>
                <w:sz w:val="17"/>
                <w:szCs w:val="17"/>
                <w:color w:val="auto"/>
              </w:rPr>
            </w:pPr>
          </w:p>
        </w:tc>
        <w:tc>
          <w:tcPr>
            <w:tcW w:w="760" w:type="dxa"/>
            <w:vAlign w:val="bottom"/>
            <w:tcBorders>
              <w:top w:val="single" w:sz="8" w:color="auto"/>
            </w:tcBorders>
            <w:shd w:val="clear" w:color="auto" w:fill="E5FFFF"/>
          </w:tcPr>
          <w:p>
            <w:pPr>
              <w:jc w:val="right"/>
              <w:ind w:right="57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w:t>
            </w:r>
          </w:p>
        </w:tc>
        <w:tc>
          <w:tcPr>
            <w:tcW w:w="920" w:type="dxa"/>
            <w:vAlign w:val="bottom"/>
            <w:tcBorders>
              <w:top w:val="single" w:sz="8" w:color="auto"/>
            </w:tcBorders>
            <w:shd w:val="clear" w:color="auto" w:fill="E5FFFF"/>
          </w:tcPr>
          <w:p>
            <w:pPr>
              <w:jc w:val="right"/>
              <w:ind w:right="599"/>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w:t>
            </w: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w:t>
            </w:r>
          </w:p>
        </w:tc>
        <w:tc>
          <w:tcPr>
            <w:tcW w:w="9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2"/>
        </w:trPr>
        <w:tc>
          <w:tcPr>
            <w:tcW w:w="310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exchange contracts</w:t>
            </w:r>
          </w:p>
        </w:tc>
        <w:tc>
          <w:tcPr>
            <w:tcW w:w="28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r>
      <w:tr>
        <w:trPr>
          <w:trHeight w:val="203"/>
        </w:trPr>
        <w:tc>
          <w:tcPr>
            <w:tcW w:w="27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860" w:type="dxa"/>
            <w:vAlign w:val="bottom"/>
            <w:shd w:val="clear" w:color="auto" w:fill="E5FFFF"/>
          </w:tcPr>
          <w:p>
            <w:pPr>
              <w:jc w:val="center"/>
              <w:ind w:right="1634"/>
              <w:spacing w:after="0" w:line="203" w:lineRule="exact"/>
              <w:rPr>
                <w:sz w:val="20"/>
                <w:szCs w:val="20"/>
                <w:color w:val="auto"/>
              </w:rPr>
            </w:pPr>
            <w:r>
              <w:rPr>
                <w:rFonts w:ascii="Arial" w:cs="Arial" w:eastAsia="Arial" w:hAnsi="Arial"/>
                <w:sz w:val="18"/>
                <w:szCs w:val="18"/>
                <w:color w:val="auto"/>
              </w:rPr>
              <w:t>expenses</w:t>
            </w: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74"/>
              <w:spacing w:after="0" w:line="203" w:lineRule="exact"/>
              <w:rPr>
                <w:sz w:val="20"/>
                <w:szCs w:val="20"/>
                <w:color w:val="auto"/>
              </w:rPr>
            </w:pPr>
            <w:r>
              <w:rPr>
                <w:rFonts w:ascii="Arial" w:cs="Arial" w:eastAsia="Arial" w:hAnsi="Arial"/>
                <w:sz w:val="18"/>
                <w:szCs w:val="18"/>
                <w:color w:val="auto"/>
              </w:rPr>
              <w:t>3</w:t>
            </w:r>
          </w:p>
        </w:tc>
        <w:tc>
          <w:tcPr>
            <w:tcW w:w="1000" w:type="dxa"/>
            <w:vAlign w:val="bottom"/>
            <w:shd w:val="clear" w:color="auto" w:fill="E5FFFF"/>
          </w:tcPr>
          <w:p>
            <w:pPr>
              <w:spacing w:after="0"/>
              <w:rPr>
                <w:sz w:val="17"/>
                <w:szCs w:val="17"/>
                <w:color w:val="auto"/>
              </w:rPr>
            </w:pPr>
          </w:p>
        </w:tc>
        <w:tc>
          <w:tcPr>
            <w:tcW w:w="3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440" w:type="dxa"/>
            <w:vAlign w:val="bottom"/>
            <w:shd w:val="clear" w:color="auto" w:fill="E5FFFF"/>
          </w:tcPr>
          <w:p>
            <w:pPr>
              <w:jc w:val="right"/>
              <w:ind w:right="94"/>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E5FFFF"/>
          </w:tcPr>
          <w:p>
            <w:pPr>
              <w:spacing w:after="0"/>
              <w:rPr>
                <w:sz w:val="17"/>
                <w:szCs w:val="17"/>
                <w:color w:val="auto"/>
              </w:rPr>
            </w:pPr>
          </w:p>
        </w:tc>
        <w:tc>
          <w:tcPr>
            <w:tcW w:w="34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Ineffective portions of commodity derivative instruments designated in cash flow hedge relationships were insignificant in the three and six months ended June 30, 2014 and 2013 and are located in cost of products sold.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Foreign currency exchange contracts in cash flow hedge relationships qualify as critical matched terms hedge relationships and as a result have no ineffectiveness.</w:t>
      </w:r>
    </w:p>
    <w:p>
      <w:pPr>
        <w:spacing w:after="0" w:line="183"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six months ended June 30, 2014, we recognized $15 million and $28 million of gains, respectively, in earnings on interest rate swap agreements. For the three and six months ended June 30, 2013, we recognized $45 million and $59 million of losses, respectively, in earnings on interest rate swap agreements. Gains and losses are fully offset by losses and gains on the underlying debt being hedged.</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$82 million and $25 million of expense in Other (Income) Expense for the three and six months ended June 30, 2014, respectively. We recognized $ 34 million of income and $12 million of expense in Other (Income) Expense for the three and six months ended June 30, 2013, respectively. See Note 5 Other (Income) Expense for the net impact of these economic foreign currency hedges.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by Component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Changes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rPr>
              <w:t>Changes in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Fair Value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rPr>
              <w:t>Fair Value of</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Exchange</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Available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rPr>
              <w:t>Effective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Translation</w:t>
            </w: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5"/>
                <w:szCs w:val="15"/>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for Sale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rPr>
              <w:t>Hedges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8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2013</w:t>
            </w: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304</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355</w:t>
            </w: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170</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818</w:t>
            </w:r>
          </w:p>
        </w:tc>
      </w:tr>
      <w:tr>
        <w:trPr>
          <w:trHeight w:val="202"/>
        </w:trPr>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20" w:type="dxa"/>
            <w:vAlign w:val="bottom"/>
          </w:tcPr>
          <w:p>
            <w:pPr>
              <w:ind w:left="360"/>
              <w:spacing w:after="0" w:line="203" w:lineRule="exact"/>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7"/>
                <w:szCs w:val="17"/>
                <w:color w:val="auto"/>
              </w:rPr>
            </w:pPr>
          </w:p>
        </w:tc>
        <w:tc>
          <w:tcPr>
            <w:tcW w:w="1020" w:type="dxa"/>
            <w:vAlign w:val="bottom"/>
          </w:tcPr>
          <w:p>
            <w:pPr>
              <w:jc w:val="right"/>
              <w:ind w:right="38"/>
              <w:spacing w:after="0" w:line="203" w:lineRule="exact"/>
              <w:rPr>
                <w:sz w:val="20"/>
                <w:szCs w:val="20"/>
                <w:color w:val="auto"/>
              </w:rPr>
            </w:pPr>
            <w:r>
              <w:rPr>
                <w:rFonts w:ascii="Arial" w:cs="Arial" w:eastAsia="Arial" w:hAnsi="Arial"/>
                <w:sz w:val="18"/>
                <w:szCs w:val="18"/>
                <w:color w:val="auto"/>
              </w:rPr>
              <w:t>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7"/>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line="203"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3"/>
              <w:spacing w:after="0" w:line="203" w:lineRule="exact"/>
              <w:rPr>
                <w:sz w:val="20"/>
                <w:szCs w:val="20"/>
                <w:color w:val="auto"/>
              </w:rPr>
            </w:pPr>
            <w:r>
              <w:rPr>
                <w:rFonts w:ascii="Arial" w:cs="Arial" w:eastAsia="Arial" w:hAnsi="Arial"/>
                <w:sz w:val="18"/>
                <w:szCs w:val="18"/>
                <w:color w:val="auto"/>
              </w:rPr>
              <w:t>80</w:t>
            </w:r>
          </w:p>
        </w:tc>
      </w:tr>
      <w:tr>
        <w:trPr>
          <w:trHeight w:val="202"/>
        </w:trPr>
        <w:tc>
          <w:tcPr>
            <w:tcW w:w="482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r>
      <w:tr>
        <w:trPr>
          <w:trHeight w:val="217"/>
        </w:trPr>
        <w:tc>
          <w:tcPr>
            <w:tcW w:w="48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ind w:right="37"/>
              <w:spacing w:after="0"/>
              <w:rPr>
                <w:sz w:val="20"/>
                <w:szCs w:val="20"/>
                <w:color w:val="auto"/>
              </w:rPr>
            </w:pPr>
            <w:r>
              <w:rPr>
                <w:rFonts w:ascii="Arial" w:cs="Arial" w:eastAsia="Arial" w:hAnsi="Arial"/>
                <w:sz w:val="18"/>
                <w:szCs w:val="18"/>
                <w:color w:val="auto"/>
              </w:rPr>
              <w:t>9</w:t>
            </w:r>
          </w:p>
        </w:tc>
        <w:tc>
          <w:tcPr>
            <w:tcW w:w="2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482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61</w:t>
            </w:r>
          </w:p>
        </w:tc>
        <w:tc>
          <w:tcPr>
            <w:tcW w:w="22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rPr>
              <w:t>9</w:t>
            </w:r>
          </w:p>
        </w:tc>
        <w:tc>
          <w:tcPr>
            <w:tcW w:w="24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w:t>
            </w:r>
          </w:p>
        </w:tc>
        <w:tc>
          <w:tcPr>
            <w:tcW w:w="22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22</w:t>
            </w:r>
          </w:p>
        </w:tc>
        <w:tc>
          <w:tcPr>
            <w:tcW w:w="2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19</w:t>
            </w:r>
          </w:p>
        </w:tc>
      </w:tr>
      <w:tr>
        <w:trPr>
          <w:trHeight w:val="210"/>
        </w:trPr>
        <w:tc>
          <w:tcPr>
            <w:tcW w:w="482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June 30, 2014</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38"/>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37"/>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19"/>
              <w:spacing w:after="0"/>
              <w:rPr>
                <w:sz w:val="20"/>
                <w:szCs w:val="20"/>
                <w:color w:val="auto"/>
              </w:rPr>
            </w:pPr>
            <w:r>
              <w:rPr>
                <w:rFonts w:ascii="Arial" w:cs="Arial" w:eastAsia="Arial" w:hAnsi="Arial"/>
                <w:sz w:val="18"/>
                <w:szCs w:val="18"/>
                <w:color w:val="auto"/>
              </w:rPr>
              <w:t>97</w:t>
            </w: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19"/>
              <w:spacing w:after="0"/>
              <w:rPr>
                <w:sz w:val="20"/>
                <w:szCs w:val="20"/>
                <w:color w:val="auto"/>
              </w:rPr>
            </w:pPr>
            <w:r>
              <w:rPr>
                <w:rFonts w:ascii="Arial" w:cs="Arial" w:eastAsia="Arial" w:hAnsi="Arial"/>
                <w:sz w:val="18"/>
                <w:szCs w:val="18"/>
                <w:color w:val="auto"/>
              </w:rPr>
              <w:t>11</w:t>
            </w:r>
          </w:p>
        </w:tc>
        <w:tc>
          <w:tcPr>
            <w:tcW w:w="46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837</w:t>
            </w:r>
          </w:p>
        </w:tc>
      </w:tr>
      <w:tr>
        <w:trPr>
          <w:trHeight w:val="20"/>
        </w:trPr>
        <w:tc>
          <w:tcPr>
            <w:tcW w:w="48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Changes in</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rPr>
              <w:t>Changes in</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Fair Value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rPr>
              <w:t>Fair Value of</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Exchange</w:t>
            </w: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Available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rPr>
              <w:t>Effective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6"/>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Translation</w:t>
            </w: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5"/>
                <w:szCs w:val="15"/>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for Sale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rPr>
              <w:t>Hedges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8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2012</w:t>
            </w: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356</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(1,848)</w:t>
            </w: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157</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2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(1,339)</w:t>
            </w:r>
          </w:p>
        </w:tc>
      </w:tr>
      <w:tr>
        <w:trPr>
          <w:trHeight w:val="202"/>
        </w:trPr>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20" w:type="dxa"/>
            <w:vAlign w:val="bottom"/>
          </w:tcPr>
          <w:p>
            <w:pPr>
              <w:ind w:left="360"/>
              <w:spacing w:after="0" w:line="203" w:lineRule="exact"/>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7"/>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9"/>
              <w:spacing w:after="0" w:line="203" w:lineRule="exact"/>
              <w:rPr>
                <w:sz w:val="20"/>
                <w:szCs w:val="20"/>
                <w:color w:val="auto"/>
              </w:rPr>
            </w:pPr>
            <w:r>
              <w:rPr>
                <w:rFonts w:ascii="Arial" w:cs="Arial" w:eastAsia="Arial" w:hAnsi="Arial"/>
                <w:sz w:val="18"/>
                <w:szCs w:val="18"/>
                <w:color w:val="auto"/>
              </w:rPr>
              <w:t>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(427)</w:t>
            </w:r>
          </w:p>
        </w:tc>
      </w:tr>
      <w:tr>
        <w:trPr>
          <w:trHeight w:val="202"/>
        </w:trPr>
        <w:tc>
          <w:tcPr>
            <w:tcW w:w="482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r>
      <w:tr>
        <w:trPr>
          <w:trHeight w:val="217"/>
        </w:trPr>
        <w:tc>
          <w:tcPr>
            <w:tcW w:w="4820" w:type="dxa"/>
            <w:vAlign w:val="bottom"/>
            <w:shd w:val="clear" w:color="auto" w:fill="E5FFFF"/>
          </w:tcPr>
          <w:p>
            <w:pPr>
              <w:ind w:left="36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8"/>
                <w:szCs w:val="18"/>
                <w:color w:val="auto"/>
              </w:rPr>
              <w:t>7</w:t>
            </w:r>
          </w:p>
        </w:tc>
        <w:tc>
          <w:tcPr>
            <w:tcW w:w="2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82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(456)</w:t>
            </w:r>
          </w:p>
        </w:tc>
        <w:tc>
          <w:tcPr>
            <w:tcW w:w="22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c>
          <w:tcPr>
            <w:tcW w:w="24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rPr>
              <w:t>57</w:t>
            </w:r>
          </w:p>
        </w:tc>
        <w:tc>
          <w:tcPr>
            <w:tcW w:w="220" w:type="dxa"/>
            <w:vAlign w:val="bottom"/>
            <w:tcBorders>
              <w:bottom w:val="single" w:sz="8" w:color="E5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w:t>
            </w:r>
          </w:p>
        </w:tc>
        <w:tc>
          <w:tcPr>
            <w:tcW w:w="22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(428)</w:t>
            </w:r>
          </w:p>
        </w:tc>
      </w:tr>
      <w:tr>
        <w:trPr>
          <w:trHeight w:val="210"/>
        </w:trPr>
        <w:tc>
          <w:tcPr>
            <w:tcW w:w="482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June 30, 2013</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(1,856)</w:t>
            </w:r>
          </w:p>
        </w:tc>
        <w:tc>
          <w:tcPr>
            <w:tcW w:w="24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ind w:right="19"/>
              <w:spacing w:after="0"/>
              <w:rPr>
                <w:sz w:val="20"/>
                <w:szCs w:val="20"/>
                <w:color w:val="auto"/>
              </w:rPr>
            </w:pPr>
            <w:r>
              <w:rPr>
                <w:rFonts w:ascii="Arial" w:cs="Arial" w:eastAsia="Arial" w:hAnsi="Arial"/>
                <w:sz w:val="18"/>
                <w:szCs w:val="18"/>
                <w:color w:val="auto"/>
              </w:rPr>
              <w:t>214</w:t>
            </w: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w:t>
            </w:r>
          </w:p>
        </w:tc>
        <w:tc>
          <w:tcPr>
            <w:tcW w:w="46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(1,767)</w:t>
            </w:r>
          </w:p>
        </w:tc>
      </w:tr>
      <w:tr>
        <w:trPr>
          <w:trHeight w:val="20"/>
        </w:trPr>
        <w:tc>
          <w:tcPr>
            <w:tcW w:w="48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48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Out of Accumulated Other Comprehensive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Six Months Ended June 30, 2014</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gridSpan w:val="9"/>
          </w:tcPr>
          <w:p>
            <w:pPr>
              <w:jc w:val="center"/>
              <w:ind w:right="116"/>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Selling,</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General and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rPr>
              <w:t>Products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Administrative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rPr>
              <w:t>Sold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Sold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Expenses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Expense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4"/>
                <w:szCs w:val="14"/>
                <w:b w:val="1"/>
                <w:bCs w:val="1"/>
                <w:color w:val="auto"/>
              </w:rPr>
              <w:t>Amortization of Pension and Other Postretirement Items:</w:t>
            </w:r>
          </w:p>
        </w:tc>
        <w:tc>
          <w:tcPr>
            <w:tcW w:w="140" w:type="dxa"/>
            <w:vAlign w:val="bottom"/>
            <w:tcBorders>
              <w:top w:val="single" w:sz="8" w:color="auto"/>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700" w:type="dxa"/>
            <w:vAlign w:val="bottom"/>
            <w:tcBorders>
              <w:top w:val="single" w:sz="8" w:color="auto"/>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Actuarial losses recognized</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8</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0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3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Prior service cost recognized</w:t>
            </w:r>
          </w:p>
        </w:tc>
        <w:tc>
          <w:tcPr>
            <w:tcW w:w="1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57"/>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Transition obligation recognized</w:t>
            </w:r>
          </w:p>
        </w:tc>
        <w:tc>
          <w:tcPr>
            <w:tcW w:w="140" w:type="dxa"/>
            <w:vAlign w:val="bottom"/>
          </w:tcPr>
          <w:p>
            <w:pPr>
              <w:spacing w:after="0"/>
              <w:rPr>
                <w:sz w:val="17"/>
                <w:szCs w:val="17"/>
                <w:color w:val="auto"/>
              </w:rPr>
            </w:pP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360" w:type="dxa"/>
            <w:vAlign w:val="bottom"/>
            <w:shd w:val="clear" w:color="auto" w:fill="E5FFFF"/>
          </w:tcPr>
          <w:p>
            <w:pPr>
              <w:spacing w:after="0"/>
              <w:rPr>
                <w:sz w:val="20"/>
                <w:szCs w:val="20"/>
                <w:color w:val="auto"/>
              </w:rPr>
            </w:pPr>
            <w:r>
              <w:rPr>
                <w:rFonts w:ascii="Arial" w:cs="Arial" w:eastAsia="Arial" w:hAnsi="Arial"/>
                <w:sz w:val="14"/>
                <w:szCs w:val="14"/>
                <w:b w:val="1"/>
                <w:bCs w:val="1"/>
                <w:color w:val="auto"/>
              </w:rPr>
              <w:t>(Gains) Losses on Cash Flow Hedges:</w:t>
            </w:r>
          </w:p>
        </w:tc>
        <w:tc>
          <w:tcPr>
            <w:tcW w:w="1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exchange contracts</w:t>
            </w:r>
          </w:p>
        </w:tc>
        <w:tc>
          <w:tcPr>
            <w:tcW w:w="140" w:type="dxa"/>
            <w:vAlign w:val="bottom"/>
          </w:tcPr>
          <w:p>
            <w:pPr>
              <w:spacing w:after="0"/>
              <w:rPr>
                <w:sz w:val="17"/>
                <w:szCs w:val="17"/>
                <w:color w:val="auto"/>
              </w:rPr>
            </w:pP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360" w:type="dxa"/>
            <w:vAlign w:val="bottom"/>
            <w:shd w:val="clear" w:color="auto" w:fill="E5FFFF"/>
          </w:tcPr>
          <w:p>
            <w:pPr>
              <w:spacing w:after="0"/>
              <w:rPr>
                <w:sz w:val="20"/>
                <w:szCs w:val="20"/>
                <w:color w:val="auto"/>
              </w:rPr>
            </w:pPr>
            <w:r>
              <w:rPr>
                <w:rFonts w:ascii="Arial" w:cs="Arial" w:eastAsia="Arial" w:hAnsi="Arial"/>
                <w:sz w:val="14"/>
                <w:szCs w:val="14"/>
                <w:b w:val="1"/>
                <w:bCs w:val="1"/>
                <w:color w:val="auto"/>
              </w:rPr>
              <w:t>Unrealized Gains on Available for Sale Investments:</w:t>
            </w:r>
          </w:p>
        </w:tc>
        <w:tc>
          <w:tcPr>
            <w:tcW w:w="14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180"/>
              <w:spacing w:after="0" w:line="201" w:lineRule="exact"/>
              <w:rPr>
                <w:sz w:val="20"/>
                <w:szCs w:val="20"/>
                <w:color w:val="auto"/>
              </w:rPr>
            </w:pPr>
            <w:r>
              <w:rPr>
                <w:rFonts w:ascii="Arial" w:cs="Arial" w:eastAsia="Arial" w:hAnsi="Arial"/>
                <w:sz w:val="18"/>
                <w:szCs w:val="18"/>
                <w:color w:val="auto"/>
              </w:rPr>
              <w:t>Reclassification adjustment for gains included in</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6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436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Total before tax</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2</w:t>
            </w:r>
          </w:p>
        </w:tc>
        <w:tc>
          <w:tcPr>
            <w:tcW w:w="24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ind w:right="57"/>
              <w:spacing w:after="0"/>
              <w:rPr>
                <w:sz w:val="20"/>
                <w:szCs w:val="20"/>
                <w:color w:val="auto"/>
              </w:rPr>
            </w:pPr>
            <w:r>
              <w:rPr>
                <w:rFonts w:ascii="Arial" w:cs="Arial" w:eastAsia="Arial" w:hAnsi="Arial"/>
                <w:sz w:val="18"/>
                <w:szCs w:val="18"/>
                <w:color w:val="auto"/>
              </w:rPr>
              <w:t>7</w:t>
            </w:r>
          </w:p>
        </w:tc>
        <w:tc>
          <w:tcPr>
            <w:tcW w:w="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ind w:right="36"/>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ind w:right="16"/>
              <w:spacing w:after="0"/>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(105)</w:t>
            </w:r>
          </w:p>
        </w:tc>
        <w:tc>
          <w:tcPr>
            <w:tcW w:w="4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436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Tax expense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tcBorders>
              <w:bottom w:val="single" w:sz="8" w:color="E5FFFF"/>
            </w:tcBorders>
            <w:vMerge w:val="continue"/>
          </w:tcPr>
          <w:p>
            <w:pPr>
              <w:spacing w:after="0"/>
              <w:rPr>
                <w:sz w:val="15"/>
                <w:szCs w:val="15"/>
                <w:color w:val="auto"/>
              </w:rPr>
            </w:pPr>
          </w:p>
        </w:tc>
        <w:tc>
          <w:tcPr>
            <w:tcW w:w="140" w:type="dxa"/>
            <w:vAlign w:val="bottom"/>
            <w:tcBorders>
              <w:bottom w:val="single" w:sz="8" w:color="E5FFFF"/>
            </w:tcBorders>
          </w:tcPr>
          <w:p>
            <w:pPr>
              <w:spacing w:after="0"/>
              <w:rPr>
                <w:sz w:val="15"/>
                <w:szCs w:val="15"/>
                <w:color w:val="auto"/>
              </w:rPr>
            </w:pPr>
          </w:p>
        </w:tc>
        <w:tc>
          <w:tcPr>
            <w:tcW w:w="780" w:type="dxa"/>
            <w:vAlign w:val="bottom"/>
            <w:tcBorders>
              <w:bottom w:val="single" w:sz="8" w:color="E5FFFF"/>
            </w:tcBorders>
          </w:tcPr>
          <w:p>
            <w:pPr>
              <w:spacing w:after="0"/>
              <w:rPr>
                <w:sz w:val="15"/>
                <w:szCs w:val="15"/>
                <w:color w:val="auto"/>
              </w:rPr>
            </w:pPr>
          </w:p>
        </w:tc>
        <w:tc>
          <w:tcPr>
            <w:tcW w:w="240" w:type="dxa"/>
            <w:vAlign w:val="bottom"/>
            <w:tcBorders>
              <w:bottom w:val="single" w:sz="8" w:color="E5FFFF"/>
            </w:tcBorders>
          </w:tcPr>
          <w:p>
            <w:pPr>
              <w:spacing w:after="0"/>
              <w:rPr>
                <w:sz w:val="15"/>
                <w:szCs w:val="15"/>
                <w:color w:val="auto"/>
              </w:rPr>
            </w:pPr>
          </w:p>
        </w:tc>
        <w:tc>
          <w:tcPr>
            <w:tcW w:w="120" w:type="dxa"/>
            <w:vAlign w:val="bottom"/>
            <w:tcBorders>
              <w:bottom w:val="single" w:sz="8" w:color="E5FFFF"/>
            </w:tcBorders>
          </w:tcPr>
          <w:p>
            <w:pPr>
              <w:spacing w:after="0"/>
              <w:rPr>
                <w:sz w:val="15"/>
                <w:szCs w:val="15"/>
                <w:color w:val="auto"/>
              </w:rPr>
            </w:pPr>
          </w:p>
        </w:tc>
        <w:tc>
          <w:tcPr>
            <w:tcW w:w="820" w:type="dxa"/>
            <w:vAlign w:val="bottom"/>
            <w:tcBorders>
              <w:bottom w:val="single" w:sz="8" w:color="E5FFFF"/>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160" w:type="dxa"/>
            <w:vAlign w:val="bottom"/>
            <w:tcBorders>
              <w:bottom w:val="single" w:sz="8" w:color="E5FFFF"/>
            </w:tcBorders>
          </w:tcPr>
          <w:p>
            <w:pPr>
              <w:spacing w:after="0"/>
              <w:rPr>
                <w:sz w:val="15"/>
                <w:szCs w:val="15"/>
                <w:color w:val="auto"/>
              </w:rPr>
            </w:pPr>
          </w:p>
        </w:tc>
        <w:tc>
          <w:tcPr>
            <w:tcW w:w="900" w:type="dxa"/>
            <w:vAlign w:val="bottom"/>
            <w:tcBorders>
              <w:bottom w:val="single" w:sz="8" w:color="E5FFFF"/>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120" w:type="dxa"/>
            <w:vAlign w:val="bottom"/>
            <w:tcBorders>
              <w:bottom w:val="single" w:sz="8" w:color="E5FFFF"/>
            </w:tcBorders>
          </w:tcPr>
          <w:p>
            <w:pPr>
              <w:spacing w:after="0"/>
              <w:rPr>
                <w:sz w:val="15"/>
                <w:szCs w:val="15"/>
                <w:color w:val="auto"/>
              </w:rPr>
            </w:pPr>
          </w:p>
        </w:tc>
        <w:tc>
          <w:tcPr>
            <w:tcW w:w="1000" w:type="dxa"/>
            <w:vAlign w:val="bottom"/>
            <w:tcBorders>
              <w:bottom w:val="single" w:sz="8" w:color="E5FFFF"/>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1020" w:type="dxa"/>
            <w:vAlign w:val="bottom"/>
            <w:tcBorders>
              <w:bottom w:val="single" w:sz="8" w:color="E5FFFF"/>
            </w:tcBorders>
          </w:tcPr>
          <w:p>
            <w:pPr>
              <w:spacing w:after="0"/>
              <w:rPr>
                <w:sz w:val="15"/>
                <w:szCs w:val="15"/>
                <w:color w:val="auto"/>
              </w:rPr>
            </w:pPr>
          </w:p>
        </w:tc>
        <w:tc>
          <w:tcPr>
            <w:tcW w:w="20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
              <w:spacing w:after="0" w:line="183"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436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Total reclassifications for the period, net of tax</w:t>
            </w:r>
          </w:p>
        </w:tc>
        <w:tc>
          <w:tcPr>
            <w:tcW w:w="14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4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620" w:type="dxa"/>
            <w:vAlign w:val="bottom"/>
            <w:tcBorders>
              <w:top w:val="single" w:sz="8" w:color="E5FFFF"/>
              <w:bottom w:val="single" w:sz="8" w:color="E5FFFF"/>
            </w:tcBorders>
            <w:gridSpan w:val="6"/>
            <w:vMerge w:val="restart"/>
          </w:tcPr>
          <w:p>
            <w:pPr>
              <w:jc w:val="center"/>
              <w:ind w:right="200"/>
              <w:spacing w:after="0"/>
              <w:rPr>
                <w:sz w:val="20"/>
                <w:szCs w:val="20"/>
                <w:color w:val="auto"/>
              </w:rPr>
            </w:pPr>
            <w:r>
              <w:rPr>
                <w:rFonts w:ascii="Arial" w:cs="Arial" w:eastAsia="Arial" w:hAnsi="Arial"/>
                <w:sz w:val="14"/>
                <w:szCs w:val="14"/>
                <w:b w:val="1"/>
                <w:bCs w:val="1"/>
                <w:color w:val="auto"/>
              </w:rPr>
              <w:t>Six Months Ended June 30, 2013</w:t>
            </w:r>
          </w:p>
        </w:tc>
        <w:tc>
          <w:tcPr>
            <w:tcW w:w="10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6"/>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gridSpan w:val="9"/>
          </w:tcPr>
          <w:p>
            <w:pPr>
              <w:jc w:val="center"/>
              <w:ind w:right="116"/>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Selling,</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General and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rPr>
              <w:t>Products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Administrative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rPr>
              <w:t>Sold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Sold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Expenses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Expense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4"/>
                <w:szCs w:val="14"/>
                <w:b w:val="1"/>
                <w:bCs w:val="1"/>
                <w:color w:val="auto"/>
              </w:rPr>
              <w:t>Amortization of Pension and Other Postretirement Items:</w:t>
            </w:r>
          </w:p>
        </w:tc>
        <w:tc>
          <w:tcPr>
            <w:tcW w:w="140" w:type="dxa"/>
            <w:vAlign w:val="bottom"/>
            <w:tcBorders>
              <w:top w:val="single" w:sz="8" w:color="auto"/>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700" w:type="dxa"/>
            <w:vAlign w:val="bottom"/>
            <w:tcBorders>
              <w:top w:val="single" w:sz="8" w:color="auto"/>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Actuarial losses recognized</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13</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0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43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Prior service cost recognized</w:t>
            </w:r>
          </w:p>
        </w:tc>
        <w:tc>
          <w:tcPr>
            <w:tcW w:w="1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57"/>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0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Transition obligation recognized</w:t>
            </w:r>
          </w:p>
        </w:tc>
        <w:tc>
          <w:tcPr>
            <w:tcW w:w="140" w:type="dxa"/>
            <w:vAlign w:val="bottom"/>
          </w:tcPr>
          <w:p>
            <w:pPr>
              <w:spacing w:after="0"/>
              <w:rPr>
                <w:sz w:val="17"/>
                <w:szCs w:val="17"/>
                <w:color w:val="auto"/>
              </w:rPr>
            </w:pP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3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Settlements and curtailments</w:t>
            </w:r>
          </w:p>
        </w:tc>
        <w:tc>
          <w:tcPr>
            <w:tcW w:w="1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E5FFFF"/>
          </w:tcPr>
          <w:p>
            <w:pPr>
              <w:spacing w:after="0"/>
              <w:rPr>
                <w:sz w:val="17"/>
                <w:szCs w:val="17"/>
                <w:color w:val="auto"/>
              </w:rPr>
            </w:pPr>
          </w:p>
        </w:tc>
        <w:tc>
          <w:tcPr>
            <w:tcW w:w="102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4"/>
                <w:szCs w:val="14"/>
                <w:b w:val="1"/>
                <w:bCs w:val="1"/>
                <w:color w:val="auto"/>
              </w:rPr>
              <w:t>(Gains) Losses on Cash Flow Hedges: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2</w:t>
            </w:r>
          </w:p>
        </w:tc>
        <w:tc>
          <w:tcPr>
            <w:tcW w:w="2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57"/>
              <w:spacing w:after="0"/>
              <w:rPr>
                <w:sz w:val="20"/>
                <w:szCs w:val="20"/>
                <w:color w:val="auto"/>
              </w:rPr>
            </w:pPr>
            <w:r>
              <w:rPr>
                <w:rFonts w:ascii="Arial" w:cs="Arial" w:eastAsia="Arial" w:hAnsi="Arial"/>
                <w:sz w:val="18"/>
                <w:szCs w:val="18"/>
                <w:color w:val="auto"/>
              </w:rPr>
              <w:t>3</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4360" w:type="dxa"/>
            <w:vAlign w:val="bottom"/>
          </w:tcPr>
          <w:p>
            <w:pPr>
              <w:spacing w:after="0" w:line="197" w:lineRule="exact"/>
              <w:rPr>
                <w:sz w:val="20"/>
                <w:szCs w:val="20"/>
                <w:color w:val="auto"/>
              </w:rPr>
            </w:pPr>
            <w:r>
              <w:rPr>
                <w:rFonts w:ascii="Arial" w:cs="Arial" w:eastAsia="Arial" w:hAnsi="Arial"/>
                <w:sz w:val="18"/>
                <w:szCs w:val="18"/>
                <w:color w:val="auto"/>
              </w:rPr>
              <w:t>Total before tax</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7"/>
        </w:trPr>
        <w:tc>
          <w:tcPr>
            <w:tcW w:w="43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Tax expense</w:t>
            </w:r>
          </w:p>
        </w:tc>
        <w:tc>
          <w:tcPr>
            <w:tcW w:w="140" w:type="dxa"/>
            <w:vAlign w:val="bottom"/>
            <w:tcBorders>
              <w:top w:val="single" w:sz="8" w:color="auto"/>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bottom w:val="single" w:sz="8" w:color="auto"/>
            </w:tcBorders>
            <w:shd w:val="clear" w:color="auto" w:fill="E5FFFF"/>
          </w:tcPr>
          <w:p>
            <w:pPr>
              <w:spacing w:after="0"/>
              <w:rPr>
                <w:sz w:val="17"/>
                <w:szCs w:val="17"/>
                <w:color w:val="auto"/>
              </w:rPr>
            </w:pPr>
          </w:p>
        </w:tc>
        <w:tc>
          <w:tcPr>
            <w:tcW w:w="700" w:type="dxa"/>
            <w:vAlign w:val="bottom"/>
            <w:tcBorders>
              <w:top w:val="single" w:sz="8" w:color="auto"/>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4360" w:type="dxa"/>
            <w:vAlign w:val="bottom"/>
          </w:tcPr>
          <w:p>
            <w:pPr>
              <w:spacing w:after="0" w:line="197" w:lineRule="exact"/>
              <w:rPr>
                <w:sz w:val="20"/>
                <w:szCs w:val="20"/>
                <w:color w:val="auto"/>
              </w:rPr>
            </w:pPr>
            <w:r>
              <w:rPr>
                <w:rFonts w:ascii="Arial" w:cs="Arial" w:eastAsia="Arial" w:hAnsi="Arial"/>
                <w:sz w:val="18"/>
                <w:szCs w:val="18"/>
                <w:color w:val="auto"/>
              </w:rPr>
              <w:t>Total reclassifications for the period, net of tax</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vMerge w:val="restart"/>
          </w:tcPr>
          <w:p>
            <w:pPr>
              <w:jc w:val="right"/>
              <w:ind w:right="557"/>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Noncontrolling Interest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noncontrolling interest consist of the following:</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rPr>
              <w:t>Six Months Ended</w:t>
            </w:r>
          </w:p>
        </w:tc>
      </w:tr>
      <w:tr>
        <w:trPr>
          <w:trHeight w:val="176"/>
        </w:trPr>
        <w:tc>
          <w:tcPr>
            <w:tcW w:w="8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Pr>
          <w:p>
            <w:pPr>
              <w:spacing w:after="0"/>
              <w:rPr>
                <w:sz w:val="15"/>
                <w:szCs w:val="15"/>
                <w:color w:val="auto"/>
              </w:rPr>
            </w:pPr>
          </w:p>
        </w:tc>
      </w:tr>
      <w:tr>
        <w:trPr>
          <w:trHeight w:val="175"/>
        </w:trPr>
        <w:tc>
          <w:tcPr>
            <w:tcW w:w="83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E5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r>
      <w:tr>
        <w:trPr>
          <w:trHeight w:val="196"/>
        </w:trPr>
        <w:tc>
          <w:tcPr>
            <w:tcW w:w="83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Balance beginning of period, December 31</w:t>
            </w: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112</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90</w:t>
            </w:r>
          </w:p>
        </w:tc>
      </w:tr>
      <w:tr>
        <w:trPr>
          <w:trHeight w:val="203"/>
        </w:trPr>
        <w:tc>
          <w:tcPr>
            <w:tcW w:w="8340" w:type="dxa"/>
            <w:vAlign w:val="bottom"/>
          </w:tcPr>
          <w:p>
            <w:pPr>
              <w:spacing w:after="0" w:line="202" w:lineRule="exact"/>
              <w:rPr>
                <w:sz w:val="20"/>
                <w:szCs w:val="20"/>
                <w:color w:val="auto"/>
              </w:rPr>
            </w:pPr>
            <w:r>
              <w:rPr>
                <w:rFonts w:ascii="Arial" w:cs="Arial" w:eastAsia="Arial" w:hAnsi="Arial"/>
                <w:sz w:val="18"/>
                <w:szCs w:val="18"/>
                <w:color w:val="auto"/>
              </w:rPr>
              <w:t>Interest sold</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83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Comprehensive income (loss) attributable to the noncontrolling interest</w:t>
            </w: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19</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8340" w:type="dxa"/>
            <w:vAlign w:val="bottom"/>
          </w:tcPr>
          <w:p>
            <w:pPr>
              <w:spacing w:after="0" w:line="202" w:lineRule="exact"/>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16"/>
        </w:trPr>
        <w:tc>
          <w:tcPr>
            <w:tcW w:w="8340" w:type="dxa"/>
            <w:vAlign w:val="bottom"/>
            <w:shd w:val="clear" w:color="auto" w:fill="E5FFFF"/>
          </w:tcPr>
          <w:p>
            <w:pPr>
              <w:spacing w:after="0"/>
              <w:rPr>
                <w:sz w:val="20"/>
                <w:szCs w:val="20"/>
                <w:color w:val="auto"/>
              </w:rPr>
            </w:pPr>
            <w:r>
              <w:rPr>
                <w:rFonts w:ascii="Arial" w:cs="Arial" w:eastAsia="Arial" w:hAnsi="Arial"/>
                <w:sz w:val="18"/>
                <w:szCs w:val="18"/>
                <w:color w:val="auto"/>
              </w:rPr>
              <w:t>Other owner changes</w:t>
            </w:r>
          </w:p>
        </w:tc>
        <w:tc>
          <w:tcPr>
            <w:tcW w:w="2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1</w:t>
            </w:r>
          </w:p>
        </w:tc>
        <w:tc>
          <w:tcPr>
            <w:tcW w:w="3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4</w:t>
            </w:r>
          </w:p>
        </w:tc>
      </w:tr>
      <w:tr>
        <w:trPr>
          <w:trHeight w:val="210"/>
        </w:trPr>
        <w:tc>
          <w:tcPr>
            <w:tcW w:w="8340" w:type="dxa"/>
            <w:vAlign w:val="bottom"/>
          </w:tcPr>
          <w:p>
            <w:pPr>
              <w:spacing w:after="0" w:line="197" w:lineRule="exact"/>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the six months ended June 30, 2014, there was a $4 million decrease to Honeywell additional paid in capital for purchases of existing noncontrolling interests.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the six months ended June 30, 2013, there was a $1 million decrease to Honeywell additional paid in capital for sales of existing noncontrolling interests.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Redeemable Noncontrolling Interest</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 October 22, 2012, the Company acquired a 70 percent controlling interest in Thomas Russell Co. During the calendar year 2016, Honeywell has the right to acquire and the noncontrolling shareholder has the right to sell to Honeywell the remaining 30 percent interest at a price based on a multiple of Thomas Russell Co.’s average annual operating income from 2013 to 2015, subject to a predetermined cap and floor. Additionally, Honeywell has the right to acquire the remaining 30 percent interest for a fixed price equivalent to the cap at any time on or before December 31, 2015. Noncontrolling interests with redemption features, such as the arrangement described above, that are not solely within the Company’s control are considered redeemable noncontrolling interests. Redeemable noncontrolling interest is considered temporary equity and is therefore reported outside of permanent equity on the Company’s Consolidated Balance Sheet at the greater of the initial carrying amount adjusted for the noncontrolling interest’s share of net income (loss) or its redemption value. The Company accretes changes in the redemption value over the period from the date of acquisition to the date that the redemption feature becomes puttable. The Company will reflect redemption value adjustments in the earnings per share calculation if redemption value is in excess of the fair value of the noncontrolling interest.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roll forward of redeemable noncontrolling interest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88"/>
        </w:trPr>
        <w:tc>
          <w:tcPr>
            <w:tcW w:w="340" w:type="dxa"/>
            <w:vAlign w:val="bottom"/>
          </w:tcPr>
          <w:p>
            <w:pPr>
              <w:spacing w:after="0"/>
              <w:rPr>
                <w:sz w:val="16"/>
                <w:szCs w:val="16"/>
                <w:color w:val="auto"/>
              </w:rPr>
            </w:pPr>
          </w:p>
        </w:tc>
        <w:tc>
          <w:tcPr>
            <w:tcW w:w="4340" w:type="dxa"/>
            <w:vAlign w:val="bottom"/>
            <w:tcBorders>
              <w:bottom w:val="single" w:sz="8" w:color="E5FFFF"/>
            </w:tcBorders>
          </w:tcPr>
          <w:p>
            <w:pPr>
              <w:spacing w:after="0"/>
              <w:rPr>
                <w:sz w:val="16"/>
                <w:szCs w:val="16"/>
                <w:color w:val="auto"/>
              </w:rPr>
            </w:pPr>
          </w:p>
        </w:tc>
        <w:tc>
          <w:tcPr>
            <w:tcW w:w="4000" w:type="dxa"/>
            <w:vAlign w:val="bottom"/>
            <w:tcBorders>
              <w:bottom w:val="single" w:sz="8" w:color="E5FF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E5FF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43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Balance beginning of period, December 31</w:t>
            </w:r>
          </w:p>
        </w:tc>
        <w:tc>
          <w:tcPr>
            <w:tcW w:w="400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167</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150</w:t>
            </w:r>
          </w:p>
        </w:tc>
        <w:tc>
          <w:tcPr>
            <w:tcW w:w="2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w:t>
            </w:r>
          </w:p>
        </w:tc>
        <w:tc>
          <w:tcPr>
            <w:tcW w:w="2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Distributions</w:t>
            </w:r>
          </w:p>
        </w:tc>
        <w:tc>
          <w:tcPr>
            <w:tcW w:w="40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w:t>
            </w:r>
          </w:p>
        </w:tc>
        <w:tc>
          <w:tcPr>
            <w:tcW w:w="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Adjustments to redemption value</w:t>
            </w: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40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4340" w:type="dxa"/>
            <w:vAlign w:val="bottom"/>
          </w:tcPr>
          <w:p>
            <w:pPr>
              <w:spacing w:after="0" w:line="196" w:lineRule="exact"/>
              <w:rPr>
                <w:sz w:val="20"/>
                <w:szCs w:val="20"/>
                <w:color w:val="auto"/>
              </w:rPr>
            </w:pPr>
            <w:r>
              <w:rPr>
                <w:rFonts w:ascii="Arial" w:cs="Arial" w:eastAsia="Arial" w:hAnsi="Arial"/>
                <w:sz w:val="18"/>
                <w:szCs w:val="18"/>
                <w:color w:val="auto"/>
              </w:rPr>
              <w:t>Balance end of period, June 30</w:t>
            </w:r>
          </w:p>
        </w:tc>
        <w:tc>
          <w:tcPr>
            <w:tcW w:w="40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189</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154</w:t>
            </w:r>
          </w:p>
        </w:tc>
        <w:tc>
          <w:tcPr>
            <w:tcW w:w="260" w:type="dxa"/>
            <w:vAlign w:val="bottom"/>
          </w:tcPr>
          <w:p>
            <w:pPr>
              <w:spacing w:after="0"/>
              <w:rPr>
                <w:sz w:val="17"/>
                <w:szCs w:val="17"/>
                <w:color w:val="auto"/>
              </w:rPr>
            </w:pPr>
          </w:p>
        </w:tc>
      </w:tr>
      <w:tr>
        <w:trPr>
          <w:trHeight w:val="399"/>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00" w:type="dxa"/>
            <w:vAlign w:val="bottom"/>
          </w:tcPr>
          <w:p>
            <w:pPr>
              <w:jc w:val="right"/>
              <w:ind w:right="277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7"/>
        </w:trPr>
        <w:tc>
          <w:tcPr>
            <w:tcW w:w="340" w:type="dxa"/>
            <w:vAlign w:val="bottom"/>
            <w:tcBorders>
              <w:bottom w:val="single" w:sz="8" w:color="C0C0C0"/>
            </w:tcBorders>
          </w:tcPr>
          <w:p>
            <w:pPr>
              <w:spacing w:after="0"/>
              <w:rPr>
                <w:sz w:val="20"/>
                <w:szCs w:val="20"/>
                <w:color w:val="auto"/>
              </w:rPr>
            </w:pPr>
          </w:p>
        </w:tc>
        <w:tc>
          <w:tcPr>
            <w:tcW w:w="4340" w:type="dxa"/>
            <w:vAlign w:val="bottom"/>
            <w:tcBorders>
              <w:bottom w:val="single" w:sz="8" w:color="C0C0C0"/>
            </w:tcBorders>
          </w:tcPr>
          <w:p>
            <w:pPr>
              <w:spacing w:after="0"/>
              <w:rPr>
                <w:sz w:val="20"/>
                <w:szCs w:val="20"/>
                <w:color w:val="auto"/>
              </w:rPr>
            </w:pPr>
          </w:p>
        </w:tc>
        <w:tc>
          <w:tcPr>
            <w:tcW w:w="40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Financial Data</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income (expense), stock compensation expense, repositioning and other charges and accounting changes.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April 2014, the Company announced the realignment of our Honeywell Process Solutions business from Automation and Control Solutions into Performance Materials and Technologies. Effective with the quarter ended June 30, 2014, the Company has reported its financial performance based on the inclusion of Honeywell Process Solutions in Performance Materials and Technologies.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July 2014, following the closing of the sale of its Friction Materials business, the Company announced that it will realign its Transportation Systems business segment with its Aerospace business segment. Under the realigned segment reporting structure, the Company will have three business segments: Aerospace, Automation and Control Solutions and Performance Materials and Technologies. This realignment has no impact on the Company’s historical consolidated financial position, results of operations or cash flows. Effective with the reporting of third quarter 2014 results, the Company will report its financial performance based on the inclusion of Transportation Systems in Aerospace.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Borders>
              <w:bottom w:val="single" w:sz="8" w:color="E5FFFF"/>
            </w:tcBorders>
          </w:tcPr>
          <w:p>
            <w:pPr>
              <w:spacing w:after="0"/>
              <w:rPr>
                <w:sz w:val="14"/>
                <w:szCs w:val="14"/>
                <w:color w:val="auto"/>
              </w:rPr>
            </w:pPr>
          </w:p>
        </w:tc>
        <w:tc>
          <w:tcPr>
            <w:tcW w:w="420" w:type="dxa"/>
            <w:vAlign w:val="bottom"/>
            <w:tcBorders>
              <w:bottom w:val="single" w:sz="8" w:color="E5FFFF"/>
            </w:tcBorders>
          </w:tcPr>
          <w:p>
            <w:pPr>
              <w:spacing w:after="0"/>
              <w:rPr>
                <w:sz w:val="14"/>
                <w:szCs w:val="14"/>
                <w:color w:val="auto"/>
              </w:rPr>
            </w:pPr>
          </w:p>
        </w:tc>
        <w:tc>
          <w:tcPr>
            <w:tcW w:w="2940" w:type="dxa"/>
            <w:vAlign w:val="bottom"/>
            <w:tcBorders>
              <w:bottom w:val="single" w:sz="8" w:color="E5FFFF"/>
            </w:tcBorders>
          </w:tcPr>
          <w:p>
            <w:pPr>
              <w:spacing w:after="0"/>
              <w:rPr>
                <w:sz w:val="14"/>
                <w:szCs w:val="14"/>
                <w:color w:val="auto"/>
              </w:rPr>
            </w:pPr>
          </w:p>
        </w:tc>
        <w:tc>
          <w:tcPr>
            <w:tcW w:w="80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E5FF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E5FF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E5FF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20" w:type="dxa"/>
            <w:vAlign w:val="bottom"/>
            <w:gridSpan w:val="3"/>
            <w:shd w:val="clear" w:color="auto" w:fill="E5FFFF"/>
          </w:tcPr>
          <w:p>
            <w:pPr>
              <w:spacing w:after="0" w:line="170" w:lineRule="exact"/>
              <w:rPr>
                <w:sz w:val="20"/>
                <w:szCs w:val="20"/>
                <w:color w:val="auto"/>
              </w:rPr>
            </w:pPr>
            <w:r>
              <w:rPr>
                <w:rFonts w:ascii="Arial" w:cs="Arial" w:eastAsia="Arial" w:hAnsi="Arial"/>
                <w:sz w:val="18"/>
                <w:szCs w:val="18"/>
                <w:color w:val="auto"/>
              </w:rPr>
              <w:t>Net Sales</w:t>
            </w:r>
          </w:p>
        </w:tc>
        <w:tc>
          <w:tcPr>
            <w:tcW w:w="80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06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520" w:type="dxa"/>
            <w:vAlign w:val="bottom"/>
            <w:shd w:val="clear" w:color="auto" w:fill="E5FFFF"/>
          </w:tcPr>
          <w:p>
            <w:pPr>
              <w:spacing w:after="0"/>
              <w:rPr>
                <w:sz w:val="14"/>
                <w:szCs w:val="14"/>
                <w:color w:val="auto"/>
              </w:rPr>
            </w:pPr>
          </w:p>
        </w:tc>
        <w:tc>
          <w:tcPr>
            <w:tcW w:w="84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06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500" w:type="dxa"/>
            <w:vAlign w:val="bottom"/>
            <w:shd w:val="clear" w:color="auto" w:fill="E5FFFF"/>
          </w:tcPr>
          <w:p>
            <w:pPr>
              <w:spacing w:after="0"/>
              <w:rPr>
                <w:sz w:val="14"/>
                <w:szCs w:val="14"/>
                <w:color w:val="auto"/>
              </w:rPr>
            </w:pPr>
          </w:p>
        </w:tc>
        <w:tc>
          <w:tcPr>
            <w:tcW w:w="86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shd w:val="clear" w:color="auto" w:fill="E5FFFF"/>
          </w:tcPr>
          <w:p>
            <w:pPr>
              <w:spacing w:after="0"/>
              <w:rPr>
                <w:sz w:val="2"/>
                <w:szCs w:val="2"/>
                <w:color w:val="auto"/>
              </w:rPr>
            </w:pPr>
          </w:p>
        </w:tc>
        <w:tc>
          <w:tcPr>
            <w:tcW w:w="2940" w:type="dxa"/>
            <w:vAlign w:val="bottom"/>
            <w:shd w:val="clear" w:color="auto" w:fill="E5FFFF"/>
          </w:tcPr>
          <w:p>
            <w:pPr>
              <w:spacing w:after="0"/>
              <w:rPr>
                <w:sz w:val="2"/>
                <w:szCs w:val="2"/>
                <w:color w:val="auto"/>
              </w:rPr>
            </w:pPr>
          </w:p>
        </w:tc>
        <w:tc>
          <w:tcPr>
            <w:tcW w:w="80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1060" w:type="dxa"/>
            <w:vAlign w:val="bottom"/>
            <w:shd w:val="clear" w:color="auto" w:fill="E5FFFF"/>
          </w:tcPr>
          <w:p>
            <w:pPr>
              <w:spacing w:after="0"/>
              <w:rPr>
                <w:sz w:val="2"/>
                <w:szCs w:val="2"/>
                <w:color w:val="auto"/>
              </w:rPr>
            </w:pPr>
          </w:p>
        </w:tc>
        <w:tc>
          <w:tcPr>
            <w:tcW w:w="360" w:type="dxa"/>
            <w:vAlign w:val="bottom"/>
            <w:shd w:val="clear" w:color="auto" w:fill="E5FFFF"/>
          </w:tcPr>
          <w:p>
            <w:pPr>
              <w:spacing w:after="0"/>
              <w:rPr>
                <w:sz w:val="2"/>
                <w:szCs w:val="2"/>
                <w:color w:val="auto"/>
              </w:rPr>
            </w:pPr>
          </w:p>
        </w:tc>
        <w:tc>
          <w:tcPr>
            <w:tcW w:w="520" w:type="dxa"/>
            <w:vAlign w:val="bottom"/>
            <w:shd w:val="clear" w:color="auto" w:fill="E5FFFF"/>
          </w:tcPr>
          <w:p>
            <w:pPr>
              <w:spacing w:after="0"/>
              <w:rPr>
                <w:sz w:val="2"/>
                <w:szCs w:val="2"/>
                <w:color w:val="auto"/>
              </w:rPr>
            </w:pPr>
          </w:p>
        </w:tc>
        <w:tc>
          <w:tcPr>
            <w:tcW w:w="84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300" w:type="dxa"/>
            <w:vAlign w:val="bottom"/>
            <w:shd w:val="clear" w:color="auto" w:fill="E5FFFF"/>
          </w:tcPr>
          <w:p>
            <w:pPr>
              <w:spacing w:after="0"/>
              <w:rPr>
                <w:sz w:val="2"/>
                <w:szCs w:val="2"/>
                <w:color w:val="auto"/>
              </w:rPr>
            </w:pPr>
          </w:p>
        </w:tc>
        <w:tc>
          <w:tcPr>
            <w:tcW w:w="106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500" w:type="dxa"/>
            <w:vAlign w:val="bottom"/>
            <w:shd w:val="clear" w:color="auto" w:fill="E5FFFF"/>
          </w:tcPr>
          <w:p>
            <w:pPr>
              <w:spacing w:after="0"/>
              <w:rPr>
                <w:sz w:val="2"/>
                <w:szCs w:val="2"/>
                <w:color w:val="auto"/>
              </w:rPr>
            </w:pPr>
          </w:p>
        </w:tc>
        <w:tc>
          <w:tcPr>
            <w:tcW w:w="86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112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1,801</w:t>
            </w:r>
          </w:p>
        </w:tc>
        <w:tc>
          <w:tcPr>
            <w:tcW w:w="88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1,767</w:t>
            </w:r>
          </w:p>
        </w:tc>
        <w:tc>
          <w:tcPr>
            <w:tcW w:w="6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3,500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1,190</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1,230</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2,349</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2,991</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2,997</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5,849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3,287</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2,963</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6,362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320</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307</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607</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3,607</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3,270</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6,969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2,171</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2,067</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4,249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465</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412</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853</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2,636</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2,479</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5,102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Transportation Systems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1,019</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947</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2,012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1,019</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947</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2,012</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10,253</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9,693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19,932</w:t>
            </w:r>
          </w:p>
        </w:tc>
        <w:tc>
          <w:tcPr>
            <w:tcW w:w="3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8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color w:val="auto"/>
                <w:w w:val="97"/>
              </w:rPr>
              <w:t>Segment Profit</w:t>
            </w:r>
          </w:p>
        </w:tc>
        <w:tc>
          <w:tcPr>
            <w:tcW w:w="2940" w:type="dxa"/>
            <w:vAlign w:val="bottom"/>
            <w:tcBorders>
              <w:bottom w:val="single" w:sz="8" w:color="E5FFFF"/>
            </w:tcBorders>
            <w:shd w:val="clear" w:color="auto" w:fill="E5FFFF"/>
          </w:tcPr>
          <w:p>
            <w:pPr>
              <w:spacing w:after="0"/>
              <w:rPr>
                <w:sz w:val="15"/>
                <w:szCs w:val="15"/>
                <w:color w:val="auto"/>
              </w:rPr>
            </w:pPr>
          </w:p>
        </w:tc>
        <w:tc>
          <w:tcPr>
            <w:tcW w:w="80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1060" w:type="dxa"/>
            <w:vAlign w:val="bottom"/>
            <w:tcBorders>
              <w:bottom w:val="single" w:sz="8" w:color="E5FFFF"/>
            </w:tcBorders>
            <w:shd w:val="clear" w:color="auto" w:fill="E5FFFF"/>
          </w:tcPr>
          <w:p>
            <w:pPr>
              <w:spacing w:after="0"/>
              <w:rPr>
                <w:sz w:val="15"/>
                <w:szCs w:val="15"/>
                <w:color w:val="auto"/>
              </w:rPr>
            </w:pPr>
          </w:p>
        </w:tc>
        <w:tc>
          <w:tcPr>
            <w:tcW w:w="36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E5FFFF"/>
            </w:tcBorders>
            <w:shd w:val="clear" w:color="auto" w:fill="E5FFFF"/>
          </w:tcPr>
          <w:p>
            <w:pPr>
              <w:spacing w:after="0"/>
              <w:rPr>
                <w:sz w:val="15"/>
                <w:szCs w:val="15"/>
                <w:color w:val="auto"/>
              </w:rPr>
            </w:pPr>
          </w:p>
        </w:tc>
        <w:tc>
          <w:tcPr>
            <w:tcW w:w="840" w:type="dxa"/>
            <w:vAlign w:val="bottom"/>
            <w:tcBorders>
              <w:bottom w:val="single" w:sz="8" w:color="E5FFFF"/>
            </w:tcBorders>
            <w:shd w:val="clear" w:color="auto" w:fill="E5FFFF"/>
          </w:tcPr>
          <w:p>
            <w:pPr>
              <w:spacing w:after="0"/>
              <w:rPr>
                <w:sz w:val="15"/>
                <w:szCs w:val="15"/>
                <w:color w:val="auto"/>
              </w:rPr>
            </w:pPr>
          </w:p>
        </w:tc>
        <w:tc>
          <w:tcPr>
            <w:tcW w:w="34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106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500" w:type="dxa"/>
            <w:vAlign w:val="bottom"/>
            <w:tcBorders>
              <w:bottom w:val="single" w:sz="8" w:color="E5FFFF"/>
            </w:tcBorders>
            <w:shd w:val="clear" w:color="auto" w:fill="E5FFFF"/>
          </w:tcPr>
          <w:p>
            <w:pPr>
              <w:spacing w:after="0"/>
              <w:rPr>
                <w:sz w:val="15"/>
                <w:szCs w:val="15"/>
                <w:color w:val="auto"/>
              </w:rPr>
            </w:pPr>
          </w:p>
        </w:tc>
        <w:tc>
          <w:tcPr>
            <w:tcW w:w="86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592</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583</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1,141</w:t>
            </w:r>
          </w:p>
        </w:tc>
        <w:tc>
          <w:tcPr>
            <w:tcW w:w="32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533</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467</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1,004</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475</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438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948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Transportation Systems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167</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126</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321</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Corporate</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segment profit</w:t>
            </w:r>
          </w:p>
        </w:tc>
        <w:tc>
          <w:tcPr>
            <w:tcW w:w="80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1,709</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1,559</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3,305</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439"/>
        </w:trPr>
        <w:tc>
          <w:tcPr>
            <w:tcW w:w="4140" w:type="dxa"/>
            <w:vAlign w:val="bottom"/>
            <w:gridSpan w:val="4"/>
          </w:tcPr>
          <w:p>
            <w:pPr>
              <w:spacing w:after="0"/>
              <w:rPr>
                <w:sz w:val="20"/>
                <w:szCs w:val="20"/>
                <w:color w:val="auto"/>
              </w:rPr>
            </w:pPr>
            <w:r>
              <w:rPr>
                <w:rFonts w:ascii="Arial" w:cs="Arial" w:eastAsia="Arial" w:hAnsi="Arial"/>
                <w:sz w:val="18"/>
                <w:szCs w:val="18"/>
                <w:color w:val="auto"/>
              </w:rPr>
              <w:t>Other income (expense)</w:t>
            </w:r>
            <w:r>
              <w:rPr>
                <w:rFonts w:ascii="Arial" w:cs="Arial" w:eastAsia="Arial" w:hAnsi="Arial"/>
                <w:sz w:val="30"/>
                <w:szCs w:val="30"/>
                <w:color w:val="auto"/>
                <w:vertAlign w:val="superscript"/>
              </w:rPr>
              <w:t>(a)</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(80)</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(80)</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8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64</w:t>
            </w:r>
          </w:p>
        </w:tc>
        <w:tc>
          <w:tcPr>
            <w:tcW w:w="3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25</w:t>
            </w:r>
          </w:p>
        </w:tc>
        <w:tc>
          <w:tcPr>
            <w:tcW w:w="3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spacing w:after="0" w:line="243" w:lineRule="exact"/>
              <w:rPr>
                <w:sz w:val="20"/>
                <w:szCs w:val="20"/>
                <w:color w:val="auto"/>
              </w:rPr>
            </w:pPr>
            <w:r>
              <w:rPr>
                <w:rFonts w:ascii="Arial" w:cs="Arial" w:eastAsia="Arial" w:hAnsi="Arial"/>
                <w:sz w:val="17"/>
                <w:szCs w:val="17"/>
                <w:color w:val="auto"/>
              </w:rPr>
              <w:t>Other postretirement income (expense)</w:t>
            </w:r>
            <w:r>
              <w:rPr>
                <w:rFonts w:ascii="Arial" w:cs="Arial" w:eastAsia="Arial" w:hAnsi="Arial"/>
                <w:sz w:val="28"/>
                <w:szCs w:val="28"/>
                <w:color w:val="auto"/>
                <w:vertAlign w:val="superscript"/>
              </w:rPr>
              <w:t>(b)</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800" w:type="dxa"/>
            <w:vAlign w:val="bottom"/>
            <w:shd w:val="clear" w:color="auto" w:fill="E5FFFF"/>
          </w:tcPr>
          <w:p>
            <w:pPr>
              <w:spacing w:after="0"/>
              <w:rPr>
                <w:sz w:val="22"/>
                <w:szCs w:val="22"/>
                <w:color w:val="auto"/>
              </w:rPr>
            </w:pPr>
          </w:p>
        </w:tc>
        <w:tc>
          <w:tcPr>
            <w:tcW w:w="320" w:type="dxa"/>
            <w:vAlign w:val="bottom"/>
            <w:tcBorders>
              <w:bottom w:val="single" w:sz="8" w:color="auto"/>
            </w:tcBorders>
            <w:shd w:val="clear" w:color="auto" w:fill="E5FFFF"/>
          </w:tcPr>
          <w:p>
            <w:pPr>
              <w:spacing w:after="0"/>
              <w:rPr>
                <w:sz w:val="22"/>
                <w:szCs w:val="22"/>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E5FFFF"/>
          </w:tcPr>
          <w:p>
            <w:pPr>
              <w:spacing w:after="0"/>
              <w:rPr>
                <w:sz w:val="22"/>
                <w:szCs w:val="22"/>
                <w:color w:val="auto"/>
              </w:rPr>
            </w:pPr>
          </w:p>
        </w:tc>
        <w:tc>
          <w:tcPr>
            <w:tcW w:w="520" w:type="dxa"/>
            <w:vAlign w:val="bottom"/>
            <w:tcBorders>
              <w:bottom w:val="single" w:sz="8" w:color="auto"/>
            </w:tcBorders>
            <w:shd w:val="clear" w:color="auto" w:fill="E5FFFF"/>
          </w:tcPr>
          <w:p>
            <w:pPr>
              <w:spacing w:after="0"/>
              <w:rPr>
                <w:sz w:val="22"/>
                <w:szCs w:val="22"/>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(171)</w:t>
            </w:r>
          </w:p>
        </w:tc>
        <w:tc>
          <w:tcPr>
            <w:tcW w:w="340" w:type="dxa"/>
            <w:vAlign w:val="bottom"/>
            <w:shd w:val="clear" w:color="auto" w:fill="E5FFFF"/>
          </w:tcPr>
          <w:p>
            <w:pPr>
              <w:spacing w:after="0"/>
              <w:rPr>
                <w:sz w:val="22"/>
                <w:szCs w:val="22"/>
                <w:color w:val="auto"/>
              </w:rPr>
            </w:pPr>
          </w:p>
        </w:tc>
        <w:tc>
          <w:tcPr>
            <w:tcW w:w="300" w:type="dxa"/>
            <w:vAlign w:val="bottom"/>
            <w:tcBorders>
              <w:bottom w:val="single" w:sz="8" w:color="auto"/>
            </w:tcBorders>
            <w:shd w:val="clear" w:color="auto" w:fill="E5FFFF"/>
          </w:tcPr>
          <w:p>
            <w:pPr>
              <w:spacing w:after="0"/>
              <w:rPr>
                <w:sz w:val="22"/>
                <w:szCs w:val="22"/>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E5FFFF"/>
          </w:tcPr>
          <w:p>
            <w:pPr>
              <w:spacing w:after="0"/>
              <w:rPr>
                <w:sz w:val="22"/>
                <w:szCs w:val="22"/>
                <w:color w:val="auto"/>
              </w:rPr>
            </w:pPr>
          </w:p>
        </w:tc>
        <w:tc>
          <w:tcPr>
            <w:tcW w:w="500" w:type="dxa"/>
            <w:vAlign w:val="bottom"/>
            <w:tcBorders>
              <w:bottom w:val="single" w:sz="8" w:color="auto"/>
            </w:tcBorders>
            <w:shd w:val="clear" w:color="auto" w:fill="E5FFFF"/>
          </w:tcPr>
          <w:p>
            <w:pPr>
              <w:spacing w:after="0"/>
              <w:rPr>
                <w:sz w:val="22"/>
                <w:szCs w:val="22"/>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3"/>
          </w:tcPr>
          <w:p>
            <w:pPr>
              <w:spacing w:after="0" w:line="197" w:lineRule="exact"/>
              <w:rPr>
                <w:sz w:val="20"/>
                <w:szCs w:val="20"/>
                <w:color w:val="auto"/>
              </w:rPr>
            </w:pPr>
            <w:r>
              <w:rPr>
                <w:rFonts w:ascii="Arial" w:cs="Arial" w:eastAsia="Arial" w:hAnsi="Arial"/>
                <w:sz w:val="18"/>
                <w:szCs w:val="18"/>
                <w:color w:val="auto"/>
              </w:rPr>
              <w:t>Income before taxes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1,523</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1,329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2,934</w:t>
            </w:r>
          </w:p>
        </w:tc>
        <w:tc>
          <w:tcPr>
            <w:tcW w:w="3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spacing w:after="0" w:line="198" w:lineRule="exact"/>
        <w:rPr>
          <w:rFonts w:ascii="Arial" w:cs="Arial" w:eastAsia="Arial" w:hAnsi="Arial"/>
          <w:sz w:val="18"/>
          <w:szCs w:val="18"/>
          <w:color w:val="auto"/>
        </w:rPr>
      </w:pPr>
    </w:p>
    <w:p>
      <w:pPr>
        <w:ind w:left="5620" w:right="2760" w:hanging="5612"/>
        <w:spacing w:after="0" w:line="465" w:lineRule="auto"/>
        <w:tabs>
          <w:tab w:leader="none" w:pos="284" w:val="left"/>
        </w:tabs>
        <w:numPr>
          <w:ilvl w:val="0"/>
          <w:numId w:val="1"/>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Pension and Other Postretirement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and other postretirement benefits costs for our significant defined benefit plans include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Pension Benefits</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3"/>
            <w:vMerge w:val="restart"/>
          </w:tcPr>
          <w:p>
            <w:pPr>
              <w:jc w:val="right"/>
              <w:ind w:right="170"/>
              <w:spacing w:after="0"/>
              <w:rPr>
                <w:sz w:val="20"/>
                <w:szCs w:val="20"/>
                <w:color w:val="auto"/>
              </w:rPr>
            </w:pPr>
            <w:r>
              <w:rPr>
                <w:rFonts w:ascii="Arial" w:cs="Arial" w:eastAsia="Arial" w:hAnsi="Arial"/>
                <w:sz w:val="14"/>
                <w:szCs w:val="14"/>
                <w:b w:val="1"/>
                <w:bCs w:val="1"/>
                <w:color w:val="auto"/>
              </w:rPr>
              <w:t>U.S. Plans</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Borders>
              <w:top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0" w:type="dxa"/>
            <w:vAlign w:val="bottom"/>
            <w:gridSpan w:val="4"/>
          </w:tcPr>
          <w:p>
            <w:pPr>
              <w:jc w:val="right"/>
              <w:ind w:right="250"/>
              <w:spacing w:after="0" w:line="156" w:lineRule="exact"/>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60" w:type="dxa"/>
            <w:vAlign w:val="bottom"/>
            <w:gridSpan w:val="4"/>
          </w:tcPr>
          <w:p>
            <w:pPr>
              <w:jc w:val="center"/>
              <w:ind w:left="356"/>
              <w:spacing w:after="0" w:line="156" w:lineRule="exact"/>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left="356"/>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3900" w:type="dxa"/>
            <w:vAlign w:val="bottom"/>
            <w:tcBorders>
              <w:top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Service cost</w:t>
            </w:r>
          </w:p>
        </w:tc>
        <w:tc>
          <w:tcPr>
            <w:tcW w:w="104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60</w:t>
            </w:r>
          </w:p>
        </w:tc>
        <w:tc>
          <w:tcPr>
            <w:tcW w:w="36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68</w:t>
            </w:r>
          </w:p>
        </w:tc>
        <w:tc>
          <w:tcPr>
            <w:tcW w:w="3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120</w:t>
            </w:r>
          </w:p>
        </w:tc>
        <w:tc>
          <w:tcPr>
            <w:tcW w:w="3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80" w:type="dxa"/>
            <w:vAlign w:val="bottom"/>
            <w:tcBorders>
              <w:top w:val="single" w:sz="8" w:color="auto"/>
            </w:tcBorders>
            <w:shd w:val="clear" w:color="auto" w:fill="E5FF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3"/>
        </w:trPr>
        <w:tc>
          <w:tcPr>
            <w:tcW w:w="390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192</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168</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385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3"/>
        </w:trPr>
        <w:tc>
          <w:tcPr>
            <w:tcW w:w="390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(315)</w:t>
            </w:r>
          </w:p>
        </w:tc>
        <w:tc>
          <w:tcPr>
            <w:tcW w:w="3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(268)</w:t>
            </w:r>
          </w:p>
        </w:tc>
        <w:tc>
          <w:tcPr>
            <w:tcW w:w="3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(629)</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Amortization of prior service cost</w:t>
            </w:r>
          </w:p>
        </w:tc>
        <w:tc>
          <w:tcPr>
            <w:tcW w:w="104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11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184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699"/>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(57)</w:t>
            </w:r>
          </w:p>
        </w:tc>
        <w:tc>
          <w:tcPr>
            <w:tcW w:w="1220" w:type="dxa"/>
            <w:vAlign w:val="bottom"/>
            <w:gridSpan w:val="2"/>
            <w:shd w:val="clear" w:color="auto" w:fill="E5FF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(26)</w:t>
            </w:r>
          </w:p>
        </w:tc>
        <w:tc>
          <w:tcPr>
            <w:tcW w:w="760" w:type="dxa"/>
            <w:vAlign w:val="bottom"/>
            <w:gridSpan w:val="2"/>
            <w:shd w:val="clear" w:color="auto" w:fill="E5FF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(112)</w:t>
            </w:r>
          </w:p>
        </w:tc>
        <w:tc>
          <w:tcPr>
            <w:tcW w:w="820" w:type="dxa"/>
            <w:vAlign w:val="bottom"/>
            <w:gridSpan w:val="3"/>
            <w:shd w:val="clear" w:color="auto" w:fill="E5FFFF"/>
          </w:tcPr>
          <w:p>
            <w:pPr>
              <w:jc w:val="right"/>
              <w:ind w:right="325"/>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18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E5FFFF"/>
            </w:tcBorders>
          </w:tcPr>
          <w:p>
            <w:pPr>
              <w:spacing w:after="0" w:line="20" w:lineRule="exact"/>
              <w:rPr>
                <w:sz w:val="1"/>
                <w:szCs w:val="1"/>
                <w:color w:val="auto"/>
              </w:rPr>
            </w:pPr>
          </w:p>
        </w:tc>
        <w:tc>
          <w:tcPr>
            <w:tcW w:w="184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Non-U.S. Plans</w:t>
            </w: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0" w:type="dxa"/>
            <w:vAlign w:val="bottom"/>
            <w:gridSpan w:val="4"/>
          </w:tcPr>
          <w:p>
            <w:pPr>
              <w:jc w:val="right"/>
              <w:ind w:right="250"/>
              <w:spacing w:after="0" w:line="156" w:lineRule="exact"/>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60" w:type="dxa"/>
            <w:vAlign w:val="bottom"/>
            <w:gridSpan w:val="4"/>
          </w:tcPr>
          <w:p>
            <w:pPr>
              <w:jc w:val="center"/>
              <w:ind w:left="356"/>
              <w:spacing w:after="0" w:line="156" w:lineRule="exact"/>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left="356"/>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3900" w:type="dxa"/>
            <w:vAlign w:val="bottom"/>
            <w:tcBorders>
              <w:top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Service cost</w:t>
            </w:r>
          </w:p>
        </w:tc>
        <w:tc>
          <w:tcPr>
            <w:tcW w:w="104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15</w:t>
            </w:r>
          </w:p>
        </w:tc>
        <w:tc>
          <w:tcPr>
            <w:tcW w:w="36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14</w:t>
            </w:r>
          </w:p>
        </w:tc>
        <w:tc>
          <w:tcPr>
            <w:tcW w:w="3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29</w:t>
            </w:r>
          </w:p>
        </w:tc>
        <w:tc>
          <w:tcPr>
            <w:tcW w:w="3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80" w:type="dxa"/>
            <w:vAlign w:val="bottom"/>
            <w:tcBorders>
              <w:top w:val="single" w:sz="8" w:color="auto"/>
            </w:tcBorders>
            <w:shd w:val="clear" w:color="auto" w:fill="E5FF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390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60</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53</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118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390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(90)</w:t>
            </w:r>
          </w:p>
        </w:tc>
        <w:tc>
          <w:tcPr>
            <w:tcW w:w="3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(75)</w:t>
            </w:r>
          </w:p>
        </w:tc>
        <w:tc>
          <w:tcPr>
            <w:tcW w:w="3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(179)</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3900" w:type="dxa"/>
            <w:vAlign w:val="bottom"/>
            <w:gridSpan w:val="3"/>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0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Amortization of prior service (credit)</w:t>
            </w:r>
          </w:p>
        </w:tc>
        <w:tc>
          <w:tcPr>
            <w:tcW w:w="1040" w:type="dxa"/>
            <w:vAlign w:val="bottom"/>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2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gridSpan w:val="3"/>
          </w:tcPr>
          <w:p>
            <w:pPr>
              <w:jc w:val="right"/>
              <w:ind w:right="3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Postretirement Benefits</w:t>
            </w:r>
          </w:p>
        </w:tc>
        <w:tc>
          <w:tcPr>
            <w:tcW w:w="1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90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2600" w:type="dxa"/>
            <w:vAlign w:val="bottom"/>
            <w:gridSpan w:val="4"/>
            <w:vMerge w:val="restart"/>
          </w:tcPr>
          <w:p>
            <w:pPr>
              <w:jc w:val="right"/>
              <w:ind w:right="25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4"/>
            <w:vMerge w:val="restart"/>
          </w:tcPr>
          <w:p>
            <w:pPr>
              <w:jc w:val="center"/>
              <w:ind w:left="356"/>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0" w:type="dxa"/>
            <w:vAlign w:val="bottom"/>
            <w:gridSpan w:val="4"/>
            <w:vMerge w:val="continue"/>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6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left="356"/>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3900" w:type="dxa"/>
            <w:vAlign w:val="bottom"/>
            <w:tcBorders>
              <w:top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Service cost</w:t>
            </w:r>
          </w:p>
        </w:tc>
        <w:tc>
          <w:tcPr>
            <w:tcW w:w="104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E5FFFF"/>
            </w:tcBorders>
            <w:gridSpan w:val="2"/>
            <w:shd w:val="clear" w:color="auto" w:fill="E5FFFF"/>
          </w:tcPr>
          <w:p>
            <w:pPr>
              <w:spacing w:after="0"/>
              <w:rPr>
                <w:sz w:val="17"/>
                <w:szCs w:val="17"/>
                <w:color w:val="auto"/>
              </w:rPr>
            </w:pPr>
          </w:p>
        </w:tc>
        <w:tc>
          <w:tcPr>
            <w:tcW w:w="480" w:type="dxa"/>
            <w:vAlign w:val="bottom"/>
            <w:tcBorders>
              <w:top w:val="single" w:sz="8" w:color="auto"/>
            </w:tcBorders>
            <w:shd w:val="clear" w:color="auto" w:fill="E5FF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0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390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Amortization of prior service (credit)</w:t>
            </w:r>
          </w:p>
        </w:tc>
        <w:tc>
          <w:tcPr>
            <w:tcW w:w="10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3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3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3900" w:type="dxa"/>
            <w:vAlign w:val="bottom"/>
            <w:gridSpan w:val="3"/>
          </w:tcPr>
          <w:p>
            <w:pPr>
              <w:spacing w:after="0" w:line="202" w:lineRule="exact"/>
              <w:rPr>
                <w:sz w:val="20"/>
                <w:szCs w:val="20"/>
                <w:color w:val="auto"/>
              </w:rPr>
            </w:pPr>
            <w:r>
              <w:rPr>
                <w:rFonts w:ascii="Arial" w:cs="Arial" w:eastAsia="Arial" w:hAnsi="Arial"/>
                <w:sz w:val="18"/>
                <w:szCs w:val="18"/>
                <w:color w:val="auto"/>
              </w:rPr>
              <w:t>Recognition of actuarial losses</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90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Settlements and curtailments</w:t>
            </w:r>
          </w:p>
        </w:tc>
        <w:tc>
          <w:tcPr>
            <w:tcW w:w="1040" w:type="dxa"/>
            <w:vAlign w:val="bottom"/>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(42)</w:t>
            </w:r>
          </w:p>
        </w:tc>
        <w:tc>
          <w:tcPr>
            <w:tcW w:w="340" w:type="dxa"/>
            <w:vAlign w:val="bottom"/>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2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22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7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820" w:type="dxa"/>
            <w:vAlign w:val="bottom"/>
            <w:gridSpan w:val="3"/>
          </w:tcPr>
          <w:p>
            <w:pPr>
              <w:jc w:val="right"/>
              <w:ind w:right="3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 the six months ended June 30, 2014, the Company contributed $117 million of marketable securities and $23 million of cash to its non-U.S. pension plans.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During the second quarter of 2013, the Company amended its U.S. retiree medical plan eliminating the Company subsidy for certain union employees. The plan amendment resulted in a curtailment gain of $42 million which was included as part of net periodic postretirement benefit cost.</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If required, a mark to market adjustment will be recorded in the fourth quarter of 2014 in accordance with our pension accounting method as described in Note 1 to our financial statements for the year ended December 31, 2013 contained in our Form 10-K filed on February 14, 2014.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With respect to environmental matters involving site contamination, we continually conduct studies, individually or jointly with other potentially responsible parties, to determine the feasibility of various remedial techniques.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195"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5440" w:type="dxa"/>
            <w:vAlign w:val="bottom"/>
            <w:shd w:val="clear" w:color="auto" w:fill="E5FFFF"/>
          </w:tcPr>
          <w:p>
            <w:pPr>
              <w:spacing w:after="0"/>
              <w:rPr>
                <w:sz w:val="20"/>
                <w:szCs w:val="20"/>
                <w:color w:val="auto"/>
              </w:rPr>
            </w:pPr>
            <w:r>
              <w:rPr>
                <w:rFonts w:ascii="Arial" w:cs="Arial" w:eastAsia="Arial" w:hAnsi="Arial"/>
                <w:sz w:val="18"/>
                <w:szCs w:val="18"/>
                <w:color w:val="auto"/>
              </w:rPr>
              <w:t>December 31, 2013</w:t>
            </w:r>
          </w:p>
        </w:tc>
        <w:tc>
          <w:tcPr>
            <w:tcW w:w="54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643</w:t>
            </w: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Accruals for environmental matters deemed probable and</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440" w:type="dxa"/>
            <w:vAlign w:val="bottom"/>
          </w:tcPr>
          <w:p>
            <w:pPr>
              <w:ind w:left="180"/>
              <w:spacing w:after="0" w:line="203" w:lineRule="exact"/>
              <w:rPr>
                <w:sz w:val="20"/>
                <w:szCs w:val="20"/>
                <w:color w:val="auto"/>
              </w:rPr>
            </w:pPr>
            <w:r>
              <w:rPr>
                <w:rFonts w:ascii="Arial" w:cs="Arial" w:eastAsia="Arial" w:hAnsi="Arial"/>
                <w:sz w:val="18"/>
                <w:szCs w:val="18"/>
                <w:color w:val="auto"/>
              </w:rPr>
              <w:t>reasonably estimable</w:t>
            </w:r>
          </w:p>
        </w:tc>
        <w:tc>
          <w:tcPr>
            <w:tcW w:w="5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134</w:t>
            </w:r>
          </w:p>
        </w:tc>
      </w:tr>
      <w:tr>
        <w:trPr>
          <w:trHeight w:val="203"/>
        </w:trPr>
        <w:tc>
          <w:tcPr>
            <w:tcW w:w="54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Environmental liability payments</w:t>
            </w:r>
          </w:p>
        </w:tc>
        <w:tc>
          <w:tcPr>
            <w:tcW w:w="54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16"/>
        </w:trPr>
        <w:tc>
          <w:tcPr>
            <w:tcW w:w="54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440" w:type="dxa"/>
            <w:vAlign w:val="bottom"/>
            <w:tcBorders>
              <w:bottom w:val="single" w:sz="8" w:color="E5FFFF"/>
            </w:tcBorders>
            <w:shd w:val="clear" w:color="auto" w:fill="E5FFFF"/>
          </w:tcPr>
          <w:p>
            <w:pPr>
              <w:spacing w:after="0" w:line="197" w:lineRule="exact"/>
              <w:rPr>
                <w:sz w:val="20"/>
                <w:szCs w:val="20"/>
                <w:color w:val="auto"/>
              </w:rPr>
            </w:pPr>
            <w:r>
              <w:rPr>
                <w:rFonts w:ascii="Arial" w:cs="Arial" w:eastAsia="Arial" w:hAnsi="Arial"/>
                <w:sz w:val="18"/>
                <w:szCs w:val="18"/>
                <w:color w:val="auto"/>
              </w:rPr>
              <w:t>June 30, 2014</w:t>
            </w:r>
          </w:p>
        </w:tc>
        <w:tc>
          <w:tcPr>
            <w:tcW w:w="540" w:type="dxa"/>
            <w:vAlign w:val="bottom"/>
            <w:tcBorders>
              <w:bottom w:val="single" w:sz="8" w:color="auto"/>
            </w:tcBorders>
            <w:shd w:val="clear" w:color="auto" w:fill="E5FF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659</w:t>
            </w:r>
          </w:p>
        </w:tc>
      </w:tr>
      <w:tr>
        <w:trPr>
          <w:trHeight w:val="20"/>
        </w:trPr>
        <w:tc>
          <w:tcPr>
            <w:tcW w:w="5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186" w:lineRule="exact"/>
        <w:rPr>
          <w:sz w:val="20"/>
          <w:szCs w:val="20"/>
          <w:color w:val="auto"/>
        </w:rPr>
      </w:pPr>
    </w:p>
    <w:tbl>
      <w:tblPr>
        <w:tblLayout w:type="fixed"/>
        <w:tblInd w:w="1300" w:type="dxa"/>
        <w:tblCellMar>
          <w:top w:w="0" w:type="dxa"/>
          <w:left w:w="0" w:type="dxa"/>
          <w:bottom w:w="0" w:type="dxa"/>
          <w:right w:w="0" w:type="dxa"/>
        </w:tblCellMar>
      </w:tblPr>
      <w:tr>
        <w:trPr>
          <w:trHeight w:val="176"/>
        </w:trPr>
        <w:tc>
          <w:tcPr>
            <w:tcW w:w="3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240" w:type="dxa"/>
            <w:vAlign w:val="bottom"/>
          </w:tcPr>
          <w:p>
            <w:pPr>
              <w:spacing w:after="0"/>
              <w:rPr>
                <w:sz w:val="15"/>
                <w:szCs w:val="15"/>
                <w:color w:val="auto"/>
              </w:rPr>
            </w:pPr>
          </w:p>
        </w:tc>
        <w:tc>
          <w:tcPr>
            <w:tcW w:w="278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37"/>
              <w:spacing w:after="0"/>
              <w:rPr>
                <w:sz w:val="20"/>
                <w:szCs w:val="20"/>
                <w:color w:val="auto"/>
              </w:rPr>
            </w:pPr>
            <w:r>
              <w:rPr>
                <w:rFonts w:ascii="Arial" w:cs="Arial" w:eastAsia="Arial" w:hAnsi="Arial"/>
                <w:sz w:val="14"/>
                <w:szCs w:val="14"/>
                <w:b w:val="1"/>
                <w:bCs w:val="1"/>
                <w:color w:val="auto"/>
              </w:rPr>
              <w:t>2013</w:t>
            </w:r>
          </w:p>
        </w:tc>
      </w:tr>
      <w:tr>
        <w:trPr>
          <w:trHeight w:val="196"/>
        </w:trPr>
        <w:tc>
          <w:tcPr>
            <w:tcW w:w="3240" w:type="dxa"/>
            <w:vAlign w:val="bottom"/>
            <w:tcBorders>
              <w:top w:val="single" w:sz="8" w:color="E5FFFF"/>
            </w:tcBorders>
            <w:shd w:val="clear" w:color="auto" w:fill="E5FFFF"/>
          </w:tcPr>
          <w:p>
            <w:pPr>
              <w:ind w:left="40"/>
              <w:spacing w:after="0" w:line="196" w:lineRule="exact"/>
              <w:rPr>
                <w:sz w:val="20"/>
                <w:szCs w:val="20"/>
                <w:color w:val="auto"/>
              </w:rPr>
            </w:pPr>
            <w:r>
              <w:rPr>
                <w:rFonts w:ascii="Arial" w:cs="Arial" w:eastAsia="Arial" w:hAnsi="Arial"/>
                <w:sz w:val="18"/>
                <w:szCs w:val="18"/>
                <w:color w:val="auto"/>
              </w:rPr>
              <w:t>Accrued liabilities</w:t>
            </w:r>
          </w:p>
        </w:tc>
        <w:tc>
          <w:tcPr>
            <w:tcW w:w="178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3"/>
              </w:rPr>
              <w:t>305</w:t>
            </w:r>
          </w:p>
        </w:tc>
        <w:tc>
          <w:tcPr>
            <w:tcW w:w="2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304</w:t>
            </w:r>
          </w:p>
        </w:tc>
      </w:tr>
      <w:tr>
        <w:trPr>
          <w:trHeight w:val="216"/>
        </w:trPr>
        <w:tc>
          <w:tcPr>
            <w:tcW w:w="3240" w:type="dxa"/>
            <w:vAlign w:val="bottom"/>
            <w:tcBorders>
              <w:bottom w:val="single" w:sz="8" w:color="E5FFFF"/>
            </w:tcBorders>
          </w:tcPr>
          <w:p>
            <w:pPr>
              <w:ind w:left="60"/>
              <w:spacing w:after="0"/>
              <w:rPr>
                <w:sz w:val="20"/>
                <w:szCs w:val="20"/>
                <w:color w:val="auto"/>
              </w:rPr>
            </w:pPr>
            <w:r>
              <w:rPr>
                <w:rFonts w:ascii="Arial" w:cs="Arial" w:eastAsia="Arial" w:hAnsi="Arial"/>
                <w:sz w:val="18"/>
                <w:szCs w:val="18"/>
                <w:color w:val="auto"/>
              </w:rPr>
              <w:t>Other liabilities</w:t>
            </w:r>
          </w:p>
        </w:tc>
        <w:tc>
          <w:tcPr>
            <w:tcW w:w="1780" w:type="dxa"/>
            <w:vAlign w:val="bottom"/>
            <w:tcBorders>
              <w:bottom w:val="single" w:sz="8" w:color="E5FF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354</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10"/>
        </w:trPr>
        <w:tc>
          <w:tcPr>
            <w:tcW w:w="3240" w:type="dxa"/>
            <w:vAlign w:val="bottom"/>
            <w:shd w:val="clear" w:color="auto" w:fill="E5FFFF"/>
          </w:tcPr>
          <w:p>
            <w:pPr>
              <w:spacing w:after="0"/>
              <w:rPr>
                <w:sz w:val="18"/>
                <w:szCs w:val="18"/>
                <w:color w:val="auto"/>
              </w:rPr>
            </w:pPr>
          </w:p>
        </w:tc>
        <w:tc>
          <w:tcPr>
            <w:tcW w:w="2780" w:type="dxa"/>
            <w:vAlign w:val="bottom"/>
            <w:gridSpan w:val="2"/>
            <w:shd w:val="clear" w:color="auto" w:fill="E5FFFF"/>
          </w:tcPr>
          <w:p>
            <w:pPr>
              <w:jc w:val="right"/>
              <w:ind w:right="819"/>
              <w:spacing w:after="0"/>
              <w:rPr>
                <w:sz w:val="20"/>
                <w:szCs w:val="20"/>
                <w:color w:val="auto"/>
              </w:rPr>
            </w:pPr>
            <w:r>
              <w:rPr>
                <w:rFonts w:ascii="Arial" w:cs="Arial" w:eastAsia="Arial" w:hAnsi="Arial"/>
                <w:sz w:val="18"/>
                <w:szCs w:val="18"/>
                <w:color w:val="auto"/>
              </w:rPr>
              <w:t>$</w:t>
            </w:r>
          </w:p>
        </w:tc>
        <w:tc>
          <w:tcPr>
            <w:tcW w:w="3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3"/>
              </w:rPr>
              <w:t>659</w:t>
            </w:r>
          </w:p>
        </w:tc>
        <w:tc>
          <w:tcPr>
            <w:tcW w:w="22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643</w:t>
            </w:r>
          </w:p>
        </w:tc>
      </w:tr>
      <w:tr>
        <w:trPr>
          <w:trHeight w:val="20"/>
        </w:trPr>
        <w:tc>
          <w:tcPr>
            <w:tcW w:w="3240" w:type="dxa"/>
            <w:vAlign w:val="bottom"/>
            <w:tcBorders>
              <w:top w:val="single" w:sz="8" w:color="E5FFFF"/>
            </w:tcBorders>
          </w:tcPr>
          <w:p>
            <w:pPr>
              <w:spacing w:after="0" w:line="20" w:lineRule="exact"/>
              <w:rPr>
                <w:sz w:val="1"/>
                <w:szCs w:val="1"/>
                <w:color w:val="auto"/>
              </w:rPr>
            </w:pPr>
          </w:p>
        </w:tc>
        <w:tc>
          <w:tcPr>
            <w:tcW w:w="1780" w:type="dxa"/>
            <w:vAlign w:val="bottom"/>
            <w:tcBorders>
              <w:top w:val="single" w:sz="8" w:color="E5FF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Although we do not currently possess sufficient information to reasonably estimate the amounts of liabilities to be recorded upon future completion of studies, litigation or settlements, and neither the timing nor the amount of the ultimate costs associated with environmental matters can be determined, they could be material to our consolidated results of operations or operating cash flows in the periods recognized or paid. However, considering our past experience and existing reserves, we do not expect that these environmental matters will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have a material adverse effect on our consolidated financial position.</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b w:val="1"/>
          <w:bCs w:val="1"/>
          <w:i w:val="1"/>
          <w:iCs w:val="1"/>
          <w:color w:val="auto"/>
        </w:rPr>
        <w:t>New Jersey Chrome Sites</w:t>
      </w:r>
      <w:r>
        <w:rPr>
          <w:rFonts w:ascii="Arial" w:cs="Arial" w:eastAsia="Arial" w:hAnsi="Arial"/>
          <w:sz w:val="18"/>
          <w:szCs w:val="18"/>
          <w:color w:val="auto"/>
        </w:rPr>
        <w:t>—The excavation and offsite disposal of approximately one million tons of chromium residue present 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predecessor Honeywell site located in Jersey City, New Jersey, known as Study Area 7, was completed in January 2010. We are also implementing related groundwater remedial actions, and have conducted related river sediment work. In addition, remedial investigations and related activities are underway at other sites in Hudson County, New Jersey that allegedly have chromium contamination, and for which Honeywell has accepted responsibility in whole or in part. Provisions have been made in our financial statements for the estimated cost of investigations and implementation of these remedies consistent with the accounting policy described above. We do not believe that these matters will have a material adverse impact on our consolidated results of operations, financial position or operating cash flows.</w:t>
      </w:r>
    </w:p>
    <w:p>
      <w:pPr>
        <w:spacing w:after="0" w:line="16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color w:val="auto"/>
        </w:rPr>
        <w:t>—We are implementing a combined dredging/capping remedy of Onondaga Lake pursuant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decree approved by the United States District Court for the Northern District of New York in January 2007. We have accrued for our estimated cost of remediating Onondaga Lake based on currently available information and analysis performed by our engineering consultants. Honeywell is also conducting remedial investigations and activities at other sites in Syracuse. We have recorded reserves for these investigations and activities where appropriate, consistent with the accounting policy described above.</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has entered into a cooperative agreement with potential natural resource trustees to assess alleged natural resource damages relating to this site. It is not possible to predict the outcome or duration of this assessment, or the amounts of, or responsibility for, any damages.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Like many other industrial companies, Honeywell is a defendant in personal injury actions related to asbestos. We did not mine or produce asbestos, nor did we make or sell insulation products or other construction materials that have been identified as the primary cause of asbestos related disease in the vast majority of claimants.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Honeywell’s predecessors owned North American Refractories Company (NARCO) from 1979 to 1986. NARCO produced refractory products (bricks and cement used in high temperature applications). We sold the NARCO business in 1986 and agreed to indemnify NARCO with respect to personal injury claims for products that had been discontinued prior to the sale (as defined in the sale agreement). NARCO retained all liability for all other claims. NARCO and/or Honeywell are defendants in asbestos personal injury cases asserting claims based upon alleged exposure to NARCO asbestos-containing products. Claimants consist largely of individuals who allege exposure to NARCO asbestos-containing refractory products in an occupational setting. These claims, and the filing of subsequent claims, were stayed continuously since January 4, 2002, the date on which NARCO sought bankruptcy protection (see discussion below).</w:t>
      </w:r>
    </w:p>
    <w:p>
      <w:pPr>
        <w:spacing w:after="0" w:line="19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Honeywell’s Bendix friction materials (Bendix) business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 related balances:</w:t>
      </w:r>
    </w:p>
    <w:p>
      <w:pPr>
        <w:sectPr>
          <w:pgSz w:w="11900" w:h="16838" w:orient="portrait"/>
          <w:cols w:equalWidth="0" w:num="1">
            <w:col w:w="11420"/>
          </w:cols>
          <w:pgMar w:left="240" w:top="400" w:right="239" w:bottom="1440" w:gutter="0" w:footer="0" w:header="0"/>
        </w:sectPr>
      </w:pPr>
    </w:p>
    <w:p>
      <w:pPr>
        <w:spacing w:after="0" w:line="186" w:lineRule="exact"/>
        <w:rPr>
          <w:sz w:val="20"/>
          <w:szCs w:val="20"/>
          <w:color w:val="auto"/>
        </w:rPr>
      </w:pPr>
    </w:p>
    <w:p>
      <w:pPr>
        <w:ind w:left="660"/>
        <w:spacing w:after="0"/>
        <w:rPr>
          <w:sz w:val="20"/>
          <w:szCs w:val="20"/>
          <w:color w:val="auto"/>
        </w:rPr>
      </w:pPr>
      <w:r>
        <w:rPr>
          <w:rFonts w:ascii="Arial" w:cs="Arial" w:eastAsia="Arial" w:hAnsi="Arial"/>
          <w:sz w:val="14"/>
          <w:szCs w:val="14"/>
          <w:b w:val="1"/>
          <w:bCs w:val="1"/>
          <w:u w:val="single" w:color="auto"/>
          <w:color w:val="auto"/>
        </w:rPr>
        <w:t>Asbestos Related Liabilities</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2013</w:t>
      </w:r>
    </w:p>
    <w:p>
      <w:pPr>
        <w:ind w:left="840"/>
        <w:spacing w:after="0"/>
        <w:rPr>
          <w:sz w:val="20"/>
          <w:szCs w:val="20"/>
          <w:color w:val="auto"/>
        </w:rPr>
      </w:pPr>
      <w:r>
        <w:rPr>
          <w:rFonts w:ascii="Arial" w:cs="Arial" w:eastAsia="Arial" w:hAnsi="Arial"/>
          <w:sz w:val="17"/>
          <w:szCs w:val="17"/>
          <w:color w:val="auto"/>
        </w:rPr>
        <w:t>Accrual for update to estimated liability</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Asbestos related liability payments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June 30,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00" w:type="dxa"/>
            <w:vAlign w:val="bottom"/>
          </w:tcPr>
          <w:p>
            <w:pPr>
              <w:spacing w:after="0"/>
              <w:rPr>
                <w:sz w:val="15"/>
                <w:szCs w:val="15"/>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Bendix</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NARCO</w:t>
            </w:r>
          </w:p>
        </w:tc>
        <w:tc>
          <w:tcPr>
            <w:tcW w:w="260" w:type="dxa"/>
            <w:vAlign w:val="bottom"/>
          </w:tcPr>
          <w:p>
            <w:pPr>
              <w:spacing w:after="0"/>
              <w:rPr>
                <w:sz w:val="15"/>
                <w:szCs w:val="15"/>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r>
      <w:tr>
        <w:trPr>
          <w:trHeight w:val="195"/>
        </w:trPr>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656</w:t>
            </w:r>
          </w:p>
        </w:tc>
        <w:tc>
          <w:tcPr>
            <w:tcW w:w="44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955</w:t>
            </w:r>
          </w:p>
        </w:tc>
        <w:tc>
          <w:tcPr>
            <w:tcW w:w="440" w:type="dxa"/>
            <w:vAlign w:val="bottom"/>
          </w:tcPr>
          <w:p>
            <w:pPr>
              <w:spacing w:after="0"/>
              <w:rPr>
                <w:sz w:val="16"/>
                <w:szCs w:val="16"/>
                <w:color w:val="auto"/>
              </w:rPr>
            </w:pPr>
          </w:p>
        </w:tc>
        <w:tc>
          <w:tcPr>
            <w:tcW w:w="2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1,611</w:t>
            </w:r>
          </w:p>
        </w:tc>
      </w:tr>
      <w:tr>
        <w:trPr>
          <w:trHeight w:val="216"/>
        </w:trPr>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3"/>
        </w:trPr>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c>
          <w:tcPr>
            <w:tcW w:w="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w:t>
            </w:r>
          </w:p>
        </w:tc>
      </w:tr>
      <w:tr>
        <w:trPr>
          <w:trHeight w:val="21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667</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940</w:t>
            </w:r>
          </w:p>
        </w:tc>
        <w:tc>
          <w:tcPr>
            <w:tcW w:w="4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1,607</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200" w:type="dxa"/>
            <w:vAlign w:val="bottom"/>
          </w:tcPr>
          <w:p>
            <w:pPr>
              <w:spacing w:after="0"/>
              <w:rPr>
                <w:sz w:val="24"/>
                <w:szCs w:val="24"/>
                <w:color w:val="auto"/>
              </w:rPr>
            </w:pPr>
          </w:p>
        </w:tc>
        <w:tc>
          <w:tcPr>
            <w:tcW w:w="1000" w:type="dxa"/>
            <w:vAlign w:val="bottom"/>
          </w:tcPr>
          <w:p>
            <w:pPr>
              <w:jc w:val="right"/>
              <w:ind w:right="613"/>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-831215</wp:posOffset>
            </wp:positionV>
            <wp:extent cx="57975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-565150</wp:posOffset>
            </wp:positionV>
            <wp:extent cx="579755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128905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4600" w:space="720"/>
            <w:col w:w="6100"/>
          </w:cols>
          <w:pgMar w:left="240" w:top="400"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Insurance Recoveries for Asbestos Related Liabilities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366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Bendix</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NARCO</w:t>
            </w:r>
          </w:p>
        </w:tc>
        <w:tc>
          <w:tcPr>
            <w:tcW w:w="260" w:type="dxa"/>
            <w:vAlign w:val="bottom"/>
          </w:tcPr>
          <w:p>
            <w:pPr>
              <w:spacing w:after="0"/>
              <w:rPr>
                <w:sz w:val="17"/>
                <w:szCs w:val="17"/>
                <w:color w:val="auto"/>
              </w:rPr>
            </w:pPr>
          </w:p>
        </w:tc>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rPr>
              <w:t>Total</w:t>
            </w:r>
          </w:p>
        </w:tc>
      </w:tr>
      <w:tr>
        <w:trPr>
          <w:trHeight w:val="196"/>
        </w:trPr>
        <w:tc>
          <w:tcPr>
            <w:tcW w:w="4660" w:type="dxa"/>
            <w:vAlign w:val="bottom"/>
            <w:tcBorders>
              <w:top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December 31, 2013</w:t>
            </w: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141</w:t>
            </w:r>
          </w:p>
        </w:tc>
        <w:tc>
          <w:tcPr>
            <w:tcW w:w="4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531</w:t>
            </w:r>
          </w:p>
        </w:tc>
        <w:tc>
          <w:tcPr>
            <w:tcW w:w="4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672</w:t>
            </w:r>
          </w:p>
        </w:tc>
      </w:tr>
      <w:tr>
        <w:trPr>
          <w:trHeight w:val="202"/>
        </w:trPr>
        <w:tc>
          <w:tcPr>
            <w:tcW w:w="46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Probable insurance recoveries related to</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660" w:type="dxa"/>
            <w:vAlign w:val="bottom"/>
            <w:gridSpan w:val="2"/>
          </w:tcPr>
          <w:p>
            <w:pPr>
              <w:ind w:left="360"/>
              <w:spacing w:after="0" w:line="203" w:lineRule="exact"/>
              <w:rPr>
                <w:sz w:val="20"/>
                <w:szCs w:val="20"/>
                <w:color w:val="auto"/>
              </w:rPr>
            </w:pPr>
            <w:r>
              <w:rPr>
                <w:rFonts w:ascii="Arial" w:cs="Arial" w:eastAsia="Arial" w:hAnsi="Arial"/>
                <w:sz w:val="18"/>
                <w:szCs w:val="18"/>
                <w:color w:val="auto"/>
              </w:rPr>
              <w:t>estimated liability</w:t>
            </w:r>
          </w:p>
        </w:tc>
        <w:tc>
          <w:tcPr>
            <w:tcW w:w="2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r>
      <w:tr>
        <w:trPr>
          <w:trHeight w:val="203"/>
        </w:trPr>
        <w:tc>
          <w:tcPr>
            <w:tcW w:w="4660" w:type="dxa"/>
            <w:vAlign w:val="bottom"/>
            <w:gridSpan w:val="2"/>
            <w:shd w:val="clear" w:color="auto" w:fill="E5FFFF"/>
          </w:tcPr>
          <w:p>
            <w:pPr>
              <w:ind w:left="220"/>
              <w:spacing w:after="0" w:line="202" w:lineRule="exact"/>
              <w:rPr>
                <w:sz w:val="20"/>
                <w:szCs w:val="20"/>
                <w:color w:val="auto"/>
              </w:rPr>
            </w:pPr>
            <w:r>
              <w:rPr>
                <w:rFonts w:ascii="Arial" w:cs="Arial" w:eastAsia="Arial" w:hAnsi="Arial"/>
                <w:sz w:val="18"/>
                <w:szCs w:val="18"/>
                <w:color w:val="auto"/>
              </w:rPr>
              <w:t>Insurance receivables settlements</w:t>
            </w:r>
          </w:p>
        </w:tc>
        <w:tc>
          <w:tcPr>
            <w:tcW w:w="22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4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w:t>
            </w:r>
          </w:p>
        </w:tc>
        <w:tc>
          <w:tcPr>
            <w:tcW w:w="4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Insurance receipts for asbestos related liabilities</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r>
      <w:tr>
        <w:trPr>
          <w:trHeight w:val="216"/>
        </w:trPr>
        <w:tc>
          <w:tcPr>
            <w:tcW w:w="4660" w:type="dxa"/>
            <w:vAlign w:val="bottom"/>
            <w:gridSpan w:val="2"/>
            <w:shd w:val="clear" w:color="auto" w:fill="E5FFFF"/>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4660" w:type="dxa"/>
            <w:vAlign w:val="bottom"/>
            <w:gridSpan w:val="2"/>
          </w:tcPr>
          <w:p>
            <w:pPr>
              <w:spacing w:after="0" w:line="197" w:lineRule="exact"/>
              <w:rPr>
                <w:sz w:val="20"/>
                <w:szCs w:val="20"/>
                <w:color w:val="auto"/>
              </w:rPr>
            </w:pPr>
            <w:r>
              <w:rPr>
                <w:rFonts w:ascii="Arial" w:cs="Arial" w:eastAsia="Arial" w:hAnsi="Arial"/>
                <w:sz w:val="18"/>
                <w:szCs w:val="18"/>
                <w:color w:val="auto"/>
              </w:rPr>
              <w:t>June 30, 2014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365</w:t>
            </w:r>
          </w:p>
        </w:tc>
        <w:tc>
          <w:tcPr>
            <w:tcW w:w="4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E5FFFF"/>
            </w:tcBorders>
          </w:tcPr>
          <w:p>
            <w:pPr>
              <w:spacing w:after="0"/>
              <w:rPr>
                <w:sz w:val="17"/>
                <w:szCs w:val="17"/>
                <w:color w:val="auto"/>
              </w:rPr>
            </w:pPr>
          </w:p>
        </w:tc>
        <w:tc>
          <w:tcPr>
            <w:tcW w:w="90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49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Other current assets</w:t>
            </w:r>
          </w:p>
        </w:tc>
        <w:tc>
          <w:tcPr>
            <w:tcW w:w="90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77</w:t>
            </w:r>
          </w:p>
        </w:tc>
        <w:tc>
          <w:tcPr>
            <w:tcW w:w="3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90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36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0"/>
        </w:trPr>
        <w:tc>
          <w:tcPr>
            <w:tcW w:w="494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28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509</w:t>
            </w:r>
          </w:p>
        </w:tc>
        <w:tc>
          <w:tcPr>
            <w:tcW w:w="360" w:type="dxa"/>
            <w:vAlign w:val="bottom"/>
            <w:shd w:val="clear" w:color="auto" w:fill="E5FFFF"/>
          </w:tcPr>
          <w:p>
            <w:pPr>
              <w:spacing w:after="0"/>
              <w:rPr>
                <w:sz w:val="18"/>
                <w:szCs w:val="18"/>
                <w:color w:val="auto"/>
              </w:rPr>
            </w:pPr>
          </w:p>
        </w:tc>
        <w:tc>
          <w:tcPr>
            <w:tcW w:w="180" w:type="dxa"/>
            <w:vAlign w:val="bottom"/>
            <w:gridSpan w:val="2"/>
            <w:shd w:val="clear" w:color="auto" w:fill="E5FFFF"/>
          </w:tcPr>
          <w:p>
            <w:pPr>
              <w:jc w:val="right"/>
              <w:ind w:right="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494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Accrued liabilities</w:t>
            </w:r>
          </w:p>
        </w:tc>
        <w:tc>
          <w:tcPr>
            <w:tcW w:w="90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3" w:lineRule="exact"/>
              <w:rPr>
                <w:sz w:val="20"/>
                <w:szCs w:val="20"/>
                <w:color w:val="auto"/>
              </w:rPr>
            </w:pPr>
            <w:r>
              <w:rPr>
                <w:rFonts w:ascii="Arial" w:cs="Arial" w:eastAsia="Arial" w:hAnsi="Arial"/>
                <w:sz w:val="18"/>
                <w:szCs w:val="18"/>
                <w:color w:val="auto"/>
              </w:rPr>
              <w:t>461</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83" w:lineRule="exact"/>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liabilities</w:t>
            </w:r>
          </w:p>
        </w:tc>
        <w:tc>
          <w:tcPr>
            <w:tcW w:w="90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1,146</w:t>
            </w:r>
          </w:p>
        </w:tc>
        <w:tc>
          <w:tcPr>
            <w:tcW w:w="3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1,607</w:t>
            </w:r>
          </w:p>
        </w:tc>
        <w:tc>
          <w:tcPr>
            <w:tcW w:w="36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 On January 4, 2002, NARCO filed a petition for reorganization under Chapter 11 of the U.S. Bankruptcy Code.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the filing of NARCO’s petition in 2002, the U.S. Bankruptcy Court for the Western District of Pennsylvania (“the Bankruptcy Court”) issued an injunction staying the prosecution of NARCO-related asbestos claims against the Company, which stayed in place throughout NARCO’s Chapter 11 case. In November 2007, the Bankruptcy Court confirmed NARCO’s Third Amended Plan of Reorganization (NARCO Plan of Reorganization) and it became fully effective on April 30, 2013.</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connection with implementation of the NARCO Plan of Reorganization, a federally authorized 524(g) trust (“NARCO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products to be made against the NARCO Trust. The NARCO Trust will review submitted claims and determine award amounts in accordance with established Trust Distribution Procedures approved by the Bankruptcy Court which set forth all criteria claimants must meet to qualify for compensation including, among other things, exposure and medical criteria that determine the award amount. In addition, Honeywell will continue to provide input to the detailed controls design of the NARCO Trust, and has on-going audit rights to review and monitor claims processors’ adherence to the established requirements of the Trust Distribution Procedures and as a means of detecting and deterring irregularities in claims.</w:t>
      </w:r>
    </w:p>
    <w:p>
      <w:pPr>
        <w:spacing w:after="0" w:line="19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connection with NARCO’s bankruptcy filing, Honeywell agreed to certain obligations which were triggered upon the effective date of the NARCO Plan of Reorganization. As agreed, during the second quarter of 2013, we provided NARCO with $ 17 million in financing and simultaneously forgave such indebtedness. We also paid $40 million to NARCO’s former parent company and $16 million to certain asbestos claimants whose claims were fully resolved during the pendency of the NARCO bankruptcy proceedings.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obligated to fund NARCO asbestos claims submitted to the Trust which qualify for payment</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Trust Distribution Procedures, subject to annual caps of $140 million in the years 2014 through 2018 and $145 million for each year thereafter, provided, however, that the first $100 million of claims processed through the NARCO Trust (the “Initial Claims Amount”) will not count against the first year annual cap and any unused portion of the Initial Claims Amount will roll over to subsequent years until fully utilized.</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will also be responsible for the following funding obligations which are not subject to the annual cap described above: a) previously approved payments due to claimants pursuant to settlement agreements reached during the pendency of the NARCO bankruptcy proceedings which provide that a portion of these settlements is to be paid by the NARCO Trust, which amounts are estimated at $130 million and are expected to be paid during the first year of trust operations ($91 million of which was paid in 2013 and $ 16 million of which was paid in the first six months of 2014 with an additional $4 million of which has been approved and will be paid in the third quarter of 2014) and, b)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which amounts are estimated at $150 million and are expected to be paid during the first two years of trust operations.</w:t>
      </w:r>
    </w:p>
    <w:p>
      <w:pPr>
        <w:spacing w:after="0" w:line="19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consolidated financial statements reflect an estimated liability for the amounts discussed above, unsettled claims pending as of the time NARCO filed for bankruptcy protection and for the estimated value of future NARCO asbestos claims expected to be asserted against the NARCO Trust through 2018. In light of the uncertainties inherent in making long-term projections and in connection with the initial operation of a 524(g) trust, as well as the stay of all NARCO asbestos claims which remained in place throughout NARCO’s Chapter 11 case, we do not believe that we have a reasonable basis for estimating NARCO asbestos claims beyond 2018. In the absence of actual trust experience on which to base the estimate, Honeywell projected the probable value, including trust claim handling costs, of asbestos related future liabilities based on Company specific and general asbestos claims filing rates, expected rates of disease and anticipated claim values. Specifically, the valuation methodology included an analysis of the population likely to have been exposed to asbestos containing products, epidemiological studies estimating the number of people likely to develop asbestos related diseases, NARCO asbestos claims filing history, general asbestos claims filing rates in the tort system and in certain operating asbestos trusts, and the claims experience in those forums, the pending inventory of NARCO asbestos claims, disease criteria and payment values contained in the Trust Distribution Procedures and an estimated approval rate of claims submitted to the NARCO Trust. This methodology used to estimate the liability for future claims has been commonly accepted by numerous bankruptcy courts addressing 524(g) trusts and resulted in a range of estimated liability of $743 million to $961 million. We believe that no amount within this range is a better estimate than any other amount and accordingly, we have recorded the minimum amount in the range.</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determine the amount of insurance that we estimate is probable of recovery in relation to payment of current and estimated future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 In the second quarter of 2014 the Company collected $130 million in connection with a receivable due from one of its insurance carriers.</w:t>
      </w:r>
    </w:p>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There is no assurance that insurance recoveries will be timely or whether there will be any NARCO-related asbestos claims beyond 2018. Given the inherent uncertainty in predicting future events,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Friction Products</w:t>
      </w:r>
      <w:r>
        <w:rPr>
          <w:rFonts w:ascii="Arial" w:cs="Arial" w:eastAsia="Arial" w:hAnsi="Arial"/>
          <w:sz w:val="18"/>
          <w:szCs w:val="18"/>
          <w:color w:val="auto"/>
        </w:rPr>
        <w:t>—The following tables present information regarding Bendix-related asbestos claims activity: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per share amounts)</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Claims Activity</w:t>
      </w:r>
    </w:p>
    <w:p>
      <w:pPr>
        <w:spacing w:after="0" w:line="23" w:lineRule="exact"/>
        <w:rPr>
          <w:sz w:val="20"/>
          <w:szCs w:val="20"/>
          <w:color w:val="auto"/>
        </w:rPr>
      </w:pPr>
    </w:p>
    <w:p>
      <w:pPr>
        <w:ind w:right="840"/>
        <w:spacing w:after="0" w:line="234" w:lineRule="auto"/>
        <w:rPr>
          <w:sz w:val="20"/>
          <w:szCs w:val="20"/>
          <w:color w:val="auto"/>
        </w:rPr>
      </w:pPr>
      <w:r>
        <w:rPr>
          <w:rFonts w:ascii="Arial" w:cs="Arial" w:eastAsia="Arial" w:hAnsi="Arial"/>
          <w:sz w:val="18"/>
          <w:szCs w:val="18"/>
          <w:color w:val="auto"/>
        </w:rPr>
        <w:t>Claims Unresolved at the beginning of period Claims Filed during the period</w:t>
      </w:r>
    </w:p>
    <w:p>
      <w:pPr>
        <w:spacing w:after="0" w:line="2" w:lineRule="exact"/>
        <w:rPr>
          <w:sz w:val="20"/>
          <w:szCs w:val="20"/>
          <w:color w:val="auto"/>
        </w:rPr>
      </w:pPr>
    </w:p>
    <w:p>
      <w:pPr>
        <w:ind w:right="1320"/>
        <w:spacing w:after="0" w:line="205" w:lineRule="auto"/>
        <w:rPr>
          <w:sz w:val="20"/>
          <w:szCs w:val="20"/>
          <w:color w:val="auto"/>
        </w:rPr>
      </w:pPr>
      <w:r>
        <w:rPr>
          <w:rFonts w:ascii="Arial" w:cs="Arial" w:eastAsia="Arial" w:hAnsi="Arial"/>
          <w:sz w:val="18"/>
          <w:szCs w:val="18"/>
          <w:color w:val="auto"/>
        </w:rPr>
        <w:t>Claims Resolved during the period</w:t>
      </w:r>
      <w:r>
        <w:rPr>
          <w:rFonts w:ascii="Arial" w:cs="Arial" w:eastAsia="Arial" w:hAnsi="Arial"/>
          <w:sz w:val="30"/>
          <w:szCs w:val="30"/>
          <w:color w:val="auto"/>
          <w:vertAlign w:val="superscript"/>
        </w:rPr>
        <w:t>(a)</w:t>
      </w:r>
      <w:r>
        <w:rPr>
          <w:rFonts w:ascii="Arial" w:cs="Arial" w:eastAsia="Arial" w:hAnsi="Arial"/>
          <w:sz w:val="18"/>
          <w:szCs w:val="18"/>
          <w:color w:val="auto"/>
        </w:rPr>
        <w:t xml:space="preserve"> Claims Unresolved at the end of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Six Months Ended</w:t>
            </w:r>
          </w:p>
        </w:tc>
        <w:tc>
          <w:tcPr>
            <w:tcW w:w="2040" w:type="dxa"/>
            <w:vAlign w:val="bottom"/>
            <w:gridSpan w:val="3"/>
          </w:tcPr>
          <w:p>
            <w:pPr>
              <w:jc w:val="center"/>
              <w:ind w:left="838"/>
              <w:spacing w:after="0"/>
              <w:rPr>
                <w:sz w:val="20"/>
                <w:szCs w:val="20"/>
                <w:color w:val="auto"/>
              </w:rPr>
            </w:pPr>
            <w:r>
              <w:rPr>
                <w:rFonts w:ascii="Arial" w:cs="Arial" w:eastAsia="Arial" w:hAnsi="Arial"/>
                <w:sz w:val="14"/>
                <w:szCs w:val="14"/>
                <w:b w:val="1"/>
                <w:bCs w:val="1"/>
                <w:color w:val="auto"/>
              </w:rPr>
              <w:t>Year Ended</w:t>
            </w:r>
          </w:p>
        </w:tc>
        <w:tc>
          <w:tcPr>
            <w:tcW w:w="920" w:type="dxa"/>
            <w:vAlign w:val="bottom"/>
          </w:tcPr>
          <w:p>
            <w:pPr>
              <w:spacing w:after="0"/>
              <w:rPr>
                <w:sz w:val="16"/>
                <w:szCs w:val="16"/>
                <w:color w:val="auto"/>
              </w:rPr>
            </w:pPr>
          </w:p>
        </w:tc>
      </w:tr>
      <w:tr>
        <w:trPr>
          <w:trHeight w:val="188"/>
        </w:trPr>
        <w:tc>
          <w:tcPr>
            <w:tcW w:w="2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June 30,</w:t>
            </w:r>
          </w:p>
        </w:tc>
        <w:tc>
          <w:tcPr>
            <w:tcW w:w="204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196"/>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7"/>
                <w:szCs w:val="17"/>
                <w:color w:val="auto"/>
              </w:rPr>
            </w:pPr>
          </w:p>
        </w:tc>
        <w:tc>
          <w:tcPr>
            <w:tcW w:w="13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r>
      <w:tr>
        <w:trPr>
          <w:trHeight w:val="195"/>
        </w:trPr>
        <w:tc>
          <w:tcPr>
            <w:tcW w:w="1860" w:type="dxa"/>
            <w:vAlign w:val="bottom"/>
          </w:tcPr>
          <w:p>
            <w:pPr>
              <w:jc w:val="right"/>
              <w:ind w:right="38"/>
              <w:spacing w:after="0" w:line="195" w:lineRule="exact"/>
              <w:rPr>
                <w:sz w:val="20"/>
                <w:szCs w:val="20"/>
                <w:color w:val="auto"/>
              </w:rPr>
            </w:pPr>
            <w:r>
              <w:rPr>
                <w:rFonts w:ascii="Arial" w:cs="Arial" w:eastAsia="Arial" w:hAnsi="Arial"/>
                <w:sz w:val="18"/>
                <w:szCs w:val="18"/>
                <w:color w:val="auto"/>
              </w:rPr>
              <w:t>12,302</w:t>
            </w:r>
          </w:p>
        </w:tc>
        <w:tc>
          <w:tcPr>
            <w:tcW w:w="300" w:type="dxa"/>
            <w:vAlign w:val="bottom"/>
          </w:tcPr>
          <w:p>
            <w:pPr>
              <w:spacing w:after="0"/>
              <w:rPr>
                <w:sz w:val="16"/>
                <w:szCs w:val="16"/>
                <w:color w:val="auto"/>
              </w:rPr>
            </w:pP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23,141</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14"/>
              <w:spacing w:after="0" w:line="195" w:lineRule="exact"/>
              <w:rPr>
                <w:sz w:val="20"/>
                <w:szCs w:val="20"/>
                <w:color w:val="auto"/>
              </w:rPr>
            </w:pPr>
            <w:r>
              <w:rPr>
                <w:rFonts w:ascii="Arial" w:cs="Arial" w:eastAsia="Arial" w:hAnsi="Arial"/>
                <w:sz w:val="18"/>
                <w:szCs w:val="18"/>
                <w:color w:val="auto"/>
              </w:rPr>
              <w:t>22,571</w:t>
            </w:r>
          </w:p>
        </w:tc>
      </w:tr>
      <w:tr>
        <w:trPr>
          <w:trHeight w:val="217"/>
        </w:trPr>
        <w:tc>
          <w:tcPr>
            <w:tcW w:w="1860" w:type="dxa"/>
            <w:vAlign w:val="bottom"/>
          </w:tcPr>
          <w:p>
            <w:pPr>
              <w:jc w:val="right"/>
              <w:ind w:right="38"/>
              <w:spacing w:after="0"/>
              <w:rPr>
                <w:sz w:val="20"/>
                <w:szCs w:val="20"/>
                <w:color w:val="auto"/>
              </w:rPr>
            </w:pPr>
            <w:r>
              <w:rPr>
                <w:rFonts w:ascii="Arial" w:cs="Arial" w:eastAsia="Arial" w:hAnsi="Arial"/>
                <w:sz w:val="18"/>
                <w:szCs w:val="18"/>
                <w:color w:val="auto"/>
              </w:rPr>
              <w:t>2,093</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4,527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3,920</w:t>
            </w:r>
          </w:p>
        </w:tc>
      </w:tr>
      <w:tr>
        <w:trPr>
          <w:trHeight w:val="243"/>
        </w:trPr>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30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(15,366)</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r>
      <w:tr>
        <w:trPr>
          <w:trHeight w:val="210"/>
        </w:trPr>
        <w:tc>
          <w:tcPr>
            <w:tcW w:w="18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13,192</w:t>
            </w:r>
          </w:p>
        </w:tc>
        <w:tc>
          <w:tcPr>
            <w:tcW w:w="3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12,302</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23,141</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-599440</wp:posOffset>
            </wp:positionV>
            <wp:extent cx="65176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-334010</wp:posOffset>
            </wp:positionV>
            <wp:extent cx="651764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400" w:right="239" w:bottom="1440" w:gutter="0" w:footer="0" w:header="0"/>
          <w:type w:val="continuous"/>
        </w:sectPr>
      </w:pPr>
    </w:p>
    <w:p>
      <w:pPr>
        <w:spacing w:after="0" w:line="2" w:lineRule="exact"/>
        <w:rPr>
          <w:sz w:val="20"/>
          <w:szCs w:val="20"/>
          <w:color w:val="auto"/>
        </w:rPr>
      </w:pPr>
    </w:p>
    <w:p>
      <w:pPr>
        <w:ind w:right="60" w:firstLine="8"/>
        <w:spacing w:after="0" w:line="246"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Claims resolved during the year ended December 31, 2013 included significantly aged (i.e., pending for more than six years) claims totaling 12,250 of which 92% were non-malignant.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60" w:type="dxa"/>
            <w:vAlign w:val="bottom"/>
            <w:gridSpan w:val="2"/>
          </w:tcPr>
          <w:p>
            <w:pPr>
              <w:spacing w:after="0"/>
              <w:rPr>
                <w:sz w:val="20"/>
                <w:szCs w:val="20"/>
                <w:color w:val="auto"/>
              </w:rPr>
            </w:pPr>
            <w:r>
              <w:rPr>
                <w:rFonts w:ascii="Arial" w:cs="Arial" w:eastAsia="Arial" w:hAnsi="Arial"/>
                <w:sz w:val="18"/>
                <w:szCs w:val="18"/>
                <w:color w:val="auto"/>
              </w:rPr>
              <w:t>Disease Distribution of Unresolved Claims</w:t>
            </w: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w:t>
            </w:r>
          </w:p>
        </w:tc>
        <w:tc>
          <w:tcPr>
            <w:tcW w:w="2060" w:type="dxa"/>
            <w:vAlign w:val="bottom"/>
            <w:gridSpan w:val="3"/>
          </w:tcPr>
          <w:p>
            <w:pPr>
              <w:ind w:left="10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9"/>
                <w:szCs w:val="19"/>
                <w:color w:val="auto"/>
              </w:rPr>
            </w:pPr>
          </w:p>
        </w:tc>
      </w:tr>
      <w:tr>
        <w:trPr>
          <w:trHeight w:val="21"/>
        </w:trPr>
        <w:tc>
          <w:tcPr>
            <w:tcW w:w="336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3360" w:type="dxa"/>
            <w:vAlign w:val="bottom"/>
            <w:tcBorders>
              <w:bottom w:val="single" w:sz="8" w:color="E5FFFF"/>
            </w:tcBorders>
          </w:tcPr>
          <w:p>
            <w:pPr>
              <w:spacing w:after="0"/>
              <w:rPr>
                <w:sz w:val="15"/>
                <w:szCs w:val="15"/>
                <w:color w:val="auto"/>
              </w:rPr>
            </w:pPr>
          </w:p>
        </w:tc>
        <w:tc>
          <w:tcPr>
            <w:tcW w:w="1600" w:type="dxa"/>
            <w:vAlign w:val="bottom"/>
            <w:tcBorders>
              <w:bottom w:val="single" w:sz="8" w:color="E5FFFF"/>
            </w:tcBorders>
          </w:tcPr>
          <w:p>
            <w:pPr>
              <w:spacing w:after="0"/>
              <w:rPr>
                <w:sz w:val="15"/>
                <w:szCs w:val="15"/>
                <w:color w:val="auto"/>
              </w:rPr>
            </w:pP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E5FFFF"/>
            </w:tcBorders>
          </w:tcPr>
          <w:p>
            <w:pPr>
              <w:spacing w:after="0"/>
              <w:rPr>
                <w:sz w:val="15"/>
                <w:szCs w:val="15"/>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r>
      <w:tr>
        <w:trPr>
          <w:trHeight w:val="196"/>
        </w:trPr>
        <w:tc>
          <w:tcPr>
            <w:tcW w:w="4960" w:type="dxa"/>
            <w:vAlign w:val="bottom"/>
            <w:gridSpan w:val="2"/>
            <w:shd w:val="clear" w:color="auto" w:fill="E5FFFF"/>
          </w:tcPr>
          <w:p>
            <w:pPr>
              <w:ind w:left="60"/>
              <w:spacing w:after="0" w:line="196" w:lineRule="exact"/>
              <w:rPr>
                <w:sz w:val="20"/>
                <w:szCs w:val="20"/>
                <w:color w:val="auto"/>
              </w:rPr>
            </w:pPr>
            <w:r>
              <w:rPr>
                <w:rFonts w:ascii="Arial" w:cs="Arial" w:eastAsia="Arial" w:hAnsi="Arial"/>
                <w:sz w:val="18"/>
                <w:szCs w:val="18"/>
                <w:color w:val="auto"/>
              </w:rPr>
              <w:t>Mesothelioma and Other Cancer Claims</w:t>
            </w:r>
          </w:p>
        </w:tc>
        <w:tc>
          <w:tcPr>
            <w:tcW w:w="128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6,466</w:t>
            </w:r>
          </w:p>
        </w:tc>
        <w:tc>
          <w:tcPr>
            <w:tcW w:w="5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5,810</w:t>
            </w:r>
          </w:p>
        </w:tc>
        <w:tc>
          <w:tcPr>
            <w:tcW w:w="4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5,367</w:t>
            </w:r>
          </w:p>
        </w:tc>
      </w:tr>
      <w:tr>
        <w:trPr>
          <w:trHeight w:val="216"/>
        </w:trPr>
        <w:tc>
          <w:tcPr>
            <w:tcW w:w="4960" w:type="dxa"/>
            <w:vAlign w:val="bottom"/>
            <w:tcBorders>
              <w:bottom w:val="single" w:sz="8" w:color="E5FFFF"/>
            </w:tcBorders>
            <w:gridSpan w:val="2"/>
          </w:tcPr>
          <w:p>
            <w:pPr>
              <w:ind w:left="60"/>
              <w:spacing w:after="0"/>
              <w:rPr>
                <w:sz w:val="20"/>
                <w:szCs w:val="20"/>
                <w:color w:val="auto"/>
              </w:rPr>
            </w:pPr>
            <w:r>
              <w:rPr>
                <w:rFonts w:ascii="Arial" w:cs="Arial" w:eastAsia="Arial" w:hAnsi="Arial"/>
                <w:sz w:val="18"/>
                <w:szCs w:val="18"/>
                <w:color w:val="auto"/>
              </w:rPr>
              <w:t>Nonmalignant Claims</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6,726</w:t>
            </w:r>
          </w:p>
        </w:tc>
        <w:tc>
          <w:tcPr>
            <w:tcW w:w="5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48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r>
      <w:tr>
        <w:trPr>
          <w:trHeight w:val="210"/>
        </w:trPr>
        <w:tc>
          <w:tcPr>
            <w:tcW w:w="4960" w:type="dxa"/>
            <w:vAlign w:val="bottom"/>
            <w:tcBorders>
              <w:bottom w:val="single" w:sz="8" w:color="E5FFFF"/>
            </w:tcBorders>
            <w:gridSpan w:val="2"/>
            <w:shd w:val="clear" w:color="auto" w:fill="E5FFFF"/>
          </w:tcPr>
          <w:p>
            <w:pPr>
              <w:ind w:left="60"/>
              <w:spacing w:after="0" w:line="197" w:lineRule="exact"/>
              <w:rPr>
                <w:sz w:val="20"/>
                <w:szCs w:val="20"/>
                <w:color w:val="auto"/>
              </w:rPr>
            </w:pPr>
            <w:r>
              <w:rPr>
                <w:rFonts w:ascii="Arial" w:cs="Arial" w:eastAsia="Arial" w:hAnsi="Arial"/>
                <w:sz w:val="18"/>
                <w:szCs w:val="18"/>
                <w:color w:val="auto"/>
              </w:rPr>
              <w:t>Total Claims</w:t>
            </w:r>
          </w:p>
        </w:tc>
        <w:tc>
          <w:tcPr>
            <w:tcW w:w="128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18"/>
                <w:szCs w:val="18"/>
                <w:color w:val="auto"/>
              </w:rPr>
              <w:t>13,192</w:t>
            </w:r>
          </w:p>
        </w:tc>
        <w:tc>
          <w:tcPr>
            <w:tcW w:w="500" w:type="dxa"/>
            <w:vAlign w:val="bottom"/>
            <w:tcBorders>
              <w:bottom w:val="single" w:sz="8" w:color="E5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12,302</w:t>
            </w:r>
          </w:p>
        </w:tc>
        <w:tc>
          <w:tcPr>
            <w:tcW w:w="480" w:type="dxa"/>
            <w:vAlign w:val="bottom"/>
            <w:tcBorders>
              <w:bottom w:val="single" w:sz="8" w:color="E5FFFF"/>
            </w:tcBorders>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23,141</w:t>
            </w:r>
          </w:p>
        </w:tc>
      </w:tr>
      <w:tr>
        <w:trPr>
          <w:trHeight w:val="20"/>
        </w:trPr>
        <w:tc>
          <w:tcPr>
            <w:tcW w:w="3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96"/>
        </w:trPr>
        <w:tc>
          <w:tcPr>
            <w:tcW w:w="4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6"/>
              </w:rPr>
              <w:t>2011</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2009</w:t>
            </w:r>
          </w:p>
        </w:tc>
      </w:tr>
      <w:tr>
        <w:trPr>
          <w:trHeight w:val="195"/>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whole dollars)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Malignant claims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51,000</w:t>
            </w:r>
          </w:p>
        </w:tc>
        <w:tc>
          <w:tcPr>
            <w:tcW w:w="22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1"/>
              <w:spacing w:after="0" w:line="202" w:lineRule="exact"/>
              <w:rPr>
                <w:sz w:val="20"/>
                <w:szCs w:val="20"/>
                <w:color w:val="auto"/>
              </w:rPr>
            </w:pPr>
            <w:r>
              <w:rPr>
                <w:rFonts w:ascii="Arial" w:cs="Arial" w:eastAsia="Arial" w:hAnsi="Arial"/>
                <w:sz w:val="18"/>
                <w:szCs w:val="18"/>
                <w:color w:val="auto"/>
              </w:rPr>
              <w:t>49,000</w:t>
            </w:r>
          </w:p>
        </w:tc>
        <w:tc>
          <w:tcPr>
            <w:tcW w:w="6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48,000</w:t>
            </w:r>
          </w:p>
        </w:tc>
        <w:tc>
          <w:tcPr>
            <w:tcW w:w="22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54,000</w:t>
            </w:r>
          </w:p>
        </w:tc>
        <w:tc>
          <w:tcPr>
            <w:tcW w:w="5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50,000</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Nonmalignant claims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1"/>
              <w:spacing w:after="0"/>
              <w:rPr>
                <w:sz w:val="20"/>
                <w:szCs w:val="20"/>
                <w:color w:val="auto"/>
              </w:rPr>
            </w:pPr>
            <w:r>
              <w:rPr>
                <w:rFonts w:ascii="Arial" w:cs="Arial" w:eastAsia="Arial" w:hAnsi="Arial"/>
                <w:sz w:val="18"/>
                <w:szCs w:val="18"/>
                <w:color w:val="auto"/>
              </w:rPr>
              <w:t>1,400</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1,300</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200</w:t>
            </w: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future NARCO-related asbestos claims liability.</w:t>
      </w:r>
    </w:p>
    <w:p>
      <w:pPr>
        <w:spacing w:after="0" w:line="1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a cumulative historical basis, Honeywell has recorded insurance receivables equal to approximately 35 percent of the value of the underlying asbestos claims recorded. However, because there are gaps in our coverage due to insurance company insolvencies, certain uninsured periods, and insurance settlements, this rate is expected to decline for any future Bendix-related asbestos liabilities that may be recorded. Future recoverability rates may also be impacted by numerous other factors, such as future insurance settlements, insolvencies and judicial determinations relevant to our coverage program, which are difficult to predict. Assuming continued defense and indemnity spending at current levels, we estimate that the cumulative recoverability rate could decline over the next five years to approximately 29 percent.</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6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July 2011, Honeywell filed an action in federal court (District of New Jersey)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against the UAW and all former employees who retired under a series of Master Collective Bargaining Agreements (“MCBAs”) between Honeywell and the UAW. The Company is seeking a declaratory judgment that certain express limitations on its obligation to contribute toward the healthcare coverage of such retirees (the “CAPS”) set forth in the MCBAs may be implemented, effective January 1, 2012. In September 2011, the UAW and certain retiree defendants filed a motion to dismiss the New Jersey action and filed suit in the Eastern District of Michigan alleging that the MCBAs do not provide for CAPS on the Company’s liability for healthcare coverage. The UAW and retiree plaintiffs subsequently filed a motion for class certification and a motion for partial summary judgment in the Michigan action, seeking a ruling that retirees who retired prior to the initial inclusion of the CAPS in the 2003 MCBA are not covered by the CAPS as a matter of law. In December 2011, the New Jersey action was dismissed on forum grounds. Honeywell appealed the New Jersey court’s dismissal to the United States Court of Appeals for the Third Circuit. The Third Circuit denied the appeal. Honeywell answered the UAW’s complaint in Michigan and asserted counterclaims for fraudulent inducement, negligent misrepresentation and breach of implied warranty. The UAW filed a motion to dismiss these counterclaims. The court dismissed Honeywell’s fraudulent inducement and negligent misrepresentation claims, but let stand the claim for breach of implied warranty. The parties have agreed to stay the proceedings with respect to those retirees who retired before the initial inclusions of the CAPS in the 2003 MCBA until the Supreme Court decides the </w:t>
      </w:r>
      <w:r>
        <w:rPr>
          <w:rFonts w:ascii="Arial" w:cs="Arial" w:eastAsia="Arial" w:hAnsi="Arial"/>
          <w:sz w:val="18"/>
          <w:szCs w:val="18"/>
          <w:i w:val="1"/>
          <w:iCs w:val="1"/>
          <w:color w:val="auto"/>
        </w:rPr>
        <w:t>M&amp;G Polymers USA, LLC v. Tackett</w:t>
      </w:r>
      <w:r>
        <w:rPr>
          <w:rFonts w:ascii="Arial" w:cs="Arial" w:eastAsia="Arial" w:hAnsi="Arial"/>
          <w:sz w:val="18"/>
          <w:szCs w:val="18"/>
          <w:color w:val="auto"/>
        </w:rPr>
        <w:t xml:space="preserve"> case. In the </w:t>
      </w:r>
      <w:r>
        <w:rPr>
          <w:rFonts w:ascii="Arial" w:cs="Arial" w:eastAsia="Arial" w:hAnsi="Arial"/>
          <w:sz w:val="18"/>
          <w:szCs w:val="18"/>
          <w:i w:val="1"/>
          <w:iCs w:val="1"/>
          <w:color w:val="auto"/>
        </w:rPr>
        <w:t>Tackett</w:t>
      </w:r>
      <w:r>
        <w:rPr>
          <w:rFonts w:ascii="Arial" w:cs="Arial" w:eastAsia="Arial" w:hAnsi="Arial"/>
          <w:sz w:val="18"/>
          <w:szCs w:val="18"/>
          <w:color w:val="auto"/>
        </w:rPr>
        <w:t xml:space="preserve"> case, the Supreme Court will resolve a split between the U.S. Court of Appeals for the Sixth Circuit, on the one hand, and the majority of other U.S. Court of Appeals, on the other hand, as to whether retiree health insurance benefits provided in collective bargaining agreements carry an inference that they are vested or guaranteed to continue for life where the agreement is silent as to their duration. Honeywell is confident that the CAPS will be upheld and that its liability for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healthcare coverage premiums with respect to the putative class will be limited as negotiated and expressly set forth in the applicable MCBAs. In the event of an adverse ruling, however, Honeywell’s other postretirement benefits for pre-2003 retirees would increase by approximately $180 million, reflecting the estimated value of these CAPS.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December 2013, the UAW and certain of the plaintiffs filed a motion for partial summary judgment with respect to those retirees who retired after the initial inclusions of the CAPS in the 2003 MCBA. The UAW sought a ruling that the 2003 MCBA did not limit Honeywell’s obligation to contribute to healthcare coverage for the post-2003 retirees. That motion remains pending. Honeywell is confident that the Court will find that the 2003 MCBA does, in fact, limit Honeywell’s retiree healthcare obligation for post-2003 retirees. In the event of an adverse ruling, however, Honeywell’s other postretirement benefits for post-2003 retirees would increase by approximately $105 million, reflecting the estimated value of these CAPS.</w:t>
      </w:r>
    </w:p>
    <w:p>
      <w:pPr>
        <w:spacing w:after="0" w:line="1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 xml:space="preserve">Joint Strike Fighter Investigation - </w:t>
      </w:r>
      <w:r>
        <w:rPr>
          <w:rFonts w:ascii="Arial" w:cs="Arial" w:eastAsia="Arial" w:hAnsi="Arial"/>
          <w:sz w:val="18"/>
          <w:szCs w:val="18"/>
          <w:color w:val="auto"/>
        </w:rPr>
        <w:t>In 2013 the Company received subpoenas from the Department of Justice requesting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primarily to parts manufactured in the United Kingdom and China used in the F-35 fighter jet. The Company is cooperating fully with the investigation. While we believe that Honeywell has complied with all relevant U.S. laws and regulations regarding the manufacture of these sensors, it is not possible to predict the outcome of the investigation or what action, if any, may result from it.</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2" w:name="page33"/>
    <w:bookmarkEnd w:id="32"/>
    <w:p>
      <w:pPr>
        <w:ind w:left="32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Shareowners</w:t>
      </w:r>
    </w:p>
    <w:p>
      <w:pPr>
        <w:spacing w:after="0"/>
        <w:rPr>
          <w:sz w:val="20"/>
          <w:szCs w:val="20"/>
          <w:color w:val="auto"/>
        </w:rPr>
      </w:pPr>
      <w:r>
        <w:rPr>
          <w:rFonts w:ascii="Arial" w:cs="Arial" w:eastAsia="Arial" w:hAnsi="Arial"/>
          <w:sz w:val="18"/>
          <w:szCs w:val="18"/>
          <w:color w:val="auto"/>
        </w:rPr>
        <w:t>of Honeywell International Inc.:</w:t>
      </w:r>
    </w:p>
    <w:p>
      <w:pPr>
        <w:spacing w:after="0" w:line="19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have reviewed the accompanying consolidated balance sheet of Honeywell International Inc. and its subsidiaries as of June 30, 2014, and the related consolidated statements of operations and comprehensive income for the three-month and six-month periods ended June 30, 2014 and 2013 and the consolidated statement of cash flows for the six-month periods ended June 30, 2014 and 2013. These interim financial statements are the responsibility of the Company’s management.</w:t>
      </w:r>
    </w:p>
    <w:p>
      <w:pPr>
        <w:spacing w:after="0" w:line="18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consolidated interim financial statements for them to be in conformity with accounting principles generally accepted in the United States of America.</w:t>
      </w:r>
    </w:p>
    <w:p>
      <w:pPr>
        <w:spacing w:after="0" w:line="18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previously audited, in accordance with the standards of the Public Company Accounting Oversight Board (United States), the consolidated balance sheet as of December 31, 2013, and the related consolidated statements of operations, of comprehensive income, of shareowners’ equity, and of cash flows for the year then ended (not presented herein), and in our report dated February 14, 2014, we expressed an unqualified opinion on those consolidated financial statements. In our opinion, the information set forth in the accompanying consolidated balance sheet information as of December 31, 2013, is fairly stated in all material respects in relation to the consolidated balance sheet from which it has been derived.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Florham Park, New Jersey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July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809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“Report of Independent Registered Public Accounting Firm” included above is not a “report” or “part of a Registration Statement” prepared or certified by an independent accountant within the meanings of Sections 7 and 11 of the Securities Act of 1933, and the accountants’ Section 11 liability does not extend to such report.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2920" w:type="dxa"/>
            <w:vAlign w:val="bottom"/>
          </w:tcPr>
          <w:p>
            <w:pPr>
              <w:spacing w:after="0"/>
              <w:rPr>
                <w:sz w:val="17"/>
                <w:szCs w:val="17"/>
                <w:color w:val="auto"/>
              </w:rPr>
            </w:pPr>
          </w:p>
        </w:tc>
        <w:tc>
          <w:tcPr>
            <w:tcW w:w="560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37"/>
        </w:trPr>
        <w:tc>
          <w:tcPr>
            <w:tcW w:w="29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(“Honeywell” or the “Company”) for the three and six months ended June 30, 2014. The financial information as of June 30, 2014 should be read in conjunction with the financial statements for the year ended December 31, 2013 contained in our Form 10-K filed on February 14, 2014.</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April 2014, the Company announced the realignment of our Honeywell Process Solutions business from Automation and Control Solutions into Performance Materials and Technologies. Effective with the quarter ended June 30, 2014, the Company has reported its financial performance based on the inclusion of Honeywell Process Solutions in Performance Materials and Technologies.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July 2014, following the closing of the sale of its Friction Materials business, the Company announced that it will realign its Transportation Systems business segment with its Aerospace business segment. Under the realigned segment reporting structure, the Company will have three business segments: Aerospace, Automation and Control Solutions and Performance Materials and Technologies. This realignment has no impact on the Company’s historical consolidated financial position, results of operations or cash flows. Effective with the reporting of third quarter 2014 results, the Company will report its financial performance based on the inclusion of Transportation Systems in Aerospace.</w:t>
      </w:r>
    </w:p>
    <w:p>
      <w:pPr>
        <w:spacing w:after="0" w:line="170" w:lineRule="exact"/>
        <w:rPr>
          <w:sz w:val="20"/>
          <w:szCs w:val="20"/>
          <w:color w:val="auto"/>
        </w:rPr>
      </w:pPr>
    </w:p>
    <w:p>
      <w:pPr>
        <w:ind w:right="100" w:firstLine="8"/>
        <w:spacing w:after="0" w:line="498" w:lineRule="auto"/>
        <w:tabs>
          <w:tab w:leader="none" w:pos="3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Results of Operations – three and six months ended June 30, 2014 compared with the three and six months ended June 30, 2013 </w:t>
      </w:r>
      <w:r>
        <w:rPr>
          <w:rFonts w:ascii="Arial" w:cs="Arial" w:eastAsia="Arial" w:hAnsi="Arial"/>
          <w:sz w:val="18"/>
          <w:szCs w:val="18"/>
          <w:b w:val="1"/>
          <w:bCs w:val="1"/>
          <w:color w:val="auto"/>
        </w:rPr>
        <w:t>Net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jc w:val="center"/>
              <w:ind w:left="637"/>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188"/>
        </w:trPr>
        <w:tc>
          <w:tcPr>
            <w:tcW w:w="17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left="621"/>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left="61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3"/>
        </w:trPr>
        <w:tc>
          <w:tcPr>
            <w:tcW w:w="1720" w:type="dxa"/>
            <w:vAlign w:val="bottom"/>
            <w:tcBorders>
              <w:bottom w:val="single" w:sz="8" w:color="E5FFFF"/>
            </w:tcBorders>
          </w:tcPr>
          <w:p>
            <w:pPr>
              <w:spacing w:after="0"/>
              <w:rPr>
                <w:sz w:val="15"/>
                <w:szCs w:val="15"/>
                <w:color w:val="auto"/>
              </w:rPr>
            </w:pPr>
          </w:p>
        </w:tc>
        <w:tc>
          <w:tcPr>
            <w:tcW w:w="354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E5FFFF"/>
            </w:tcBorders>
          </w:tcPr>
          <w:p>
            <w:pPr>
              <w:spacing w:after="0"/>
              <w:rPr>
                <w:sz w:val="15"/>
                <w:szCs w:val="15"/>
                <w:color w:val="auto"/>
              </w:rPr>
            </w:pPr>
          </w:p>
        </w:tc>
        <w:tc>
          <w:tcPr>
            <w:tcW w:w="140" w:type="dxa"/>
            <w:vAlign w:val="bottom"/>
            <w:tcBorders>
              <w:bottom w:val="single" w:sz="8" w:color="E5FF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E5FFFF"/>
            </w:tcBorders>
          </w:tcPr>
          <w:p>
            <w:pPr>
              <w:spacing w:after="0"/>
              <w:rPr>
                <w:sz w:val="15"/>
                <w:szCs w:val="15"/>
                <w:color w:val="auto"/>
              </w:rPr>
            </w:pPr>
          </w:p>
        </w:tc>
        <w:tc>
          <w:tcPr>
            <w:tcW w:w="8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E5FF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96"/>
              </w:rPr>
              <w:t>2013</w:t>
            </w:r>
          </w:p>
        </w:tc>
      </w:tr>
      <w:tr>
        <w:trPr>
          <w:trHeight w:val="196"/>
        </w:trPr>
        <w:tc>
          <w:tcPr>
            <w:tcW w:w="526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ind w:right="81"/>
              <w:spacing w:after="0" w:line="196" w:lineRule="exact"/>
              <w:rPr>
                <w:sz w:val="20"/>
                <w:szCs w:val="20"/>
                <w:color w:val="auto"/>
              </w:rPr>
            </w:pPr>
            <w:r>
              <w:rPr>
                <w:rFonts w:ascii="Arial" w:cs="Arial" w:eastAsia="Arial" w:hAnsi="Arial"/>
                <w:sz w:val="18"/>
                <w:szCs w:val="18"/>
                <w:color w:val="auto"/>
              </w:rPr>
              <w:t>10,253</w:t>
            </w:r>
          </w:p>
        </w:tc>
        <w:tc>
          <w:tcPr>
            <w:tcW w:w="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9"/>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9,693</w:t>
            </w:r>
          </w:p>
        </w:tc>
        <w:tc>
          <w:tcPr>
            <w:tcW w:w="1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19,932</w:t>
            </w:r>
          </w:p>
        </w:tc>
        <w:tc>
          <w:tcPr>
            <w:tcW w:w="1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19,021</w:t>
            </w:r>
          </w:p>
        </w:tc>
      </w:tr>
      <w:tr>
        <w:trPr>
          <w:trHeight w:val="217"/>
        </w:trPr>
        <w:tc>
          <w:tcPr>
            <w:tcW w:w="526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04"/>
        </w:trPr>
        <w:tc>
          <w:tcPr>
            <w:tcW w:w="7220" w:type="dxa"/>
            <w:vAlign w:val="bottom"/>
            <w:gridSpan w:val="7"/>
          </w:tcPr>
          <w:p>
            <w:pPr>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2"/>
        </w:trPr>
        <w:tc>
          <w:tcPr>
            <w:tcW w:w="1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 to Date</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35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Volume</w:t>
            </w:r>
          </w:p>
        </w:tc>
        <w:tc>
          <w:tcPr>
            <w:tcW w:w="32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Foreign Exchange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3540" w:type="dxa"/>
            <w:vAlign w:val="bottom"/>
            <w:shd w:val="clear" w:color="auto" w:fill="E5FFFF"/>
          </w:tcPr>
          <w:p>
            <w:pPr>
              <w:spacing w:after="0"/>
              <w:rPr>
                <w:sz w:val="20"/>
                <w:szCs w:val="20"/>
                <w:color w:val="auto"/>
              </w:rPr>
            </w:pPr>
            <w:r>
              <w:rPr>
                <w:rFonts w:ascii="Arial" w:cs="Arial" w:eastAsia="Arial" w:hAnsi="Arial"/>
                <w:sz w:val="18"/>
                <w:szCs w:val="18"/>
                <w:color w:val="auto"/>
              </w:rPr>
              <w:t>Acquisitions/Divestitures</w:t>
            </w:r>
          </w:p>
        </w:tc>
        <w:tc>
          <w:tcPr>
            <w:tcW w:w="32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 w:type="dxa"/>
            <w:vAlign w:val="bottom"/>
            <w:tcBorders>
              <w:bottom w:val="single" w:sz="8" w:color="auto"/>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net sales by segment can be found in the Review of Business Segments section of this MD&amp;A.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82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E5FF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E5FF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7,296</w:t>
            </w:r>
          </w:p>
        </w:tc>
        <w:tc>
          <w:tcPr>
            <w:tcW w:w="22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7,027</w:t>
            </w:r>
          </w:p>
        </w:tc>
        <w:tc>
          <w:tcPr>
            <w:tcW w:w="2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14,263</w:t>
            </w:r>
          </w:p>
        </w:tc>
        <w:tc>
          <w:tcPr>
            <w:tcW w:w="22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change compared with prior period</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Gross Margin percentage</w:t>
            </w:r>
          </w:p>
        </w:tc>
        <w:tc>
          <w:tcPr>
            <w:tcW w:w="32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28.8%</w:t>
            </w:r>
          </w:p>
        </w:tc>
        <w:tc>
          <w:tcPr>
            <w:tcW w:w="2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27.5%</w:t>
            </w:r>
          </w:p>
        </w:tc>
        <w:tc>
          <w:tcPr>
            <w:tcW w:w="2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28.4%</w:t>
            </w:r>
          </w:p>
        </w:tc>
        <w:tc>
          <w:tcPr>
            <w:tcW w:w="22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Cost of products and services sold increased by $269 million or 4 percent in the quarter ended June 30, 2014 compared with the quarter ended June 30, 2013 principally due to an estimated increase in direct material costs of approximately $230 million (driven primarily by higher sales volume) and acquisitions, partially offset by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lower repositioning and other charges of approximately $35 million and an increase in pension income of approximately $30 million.</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Cost of products and services sold increased by $453 million or 3 percent in the six months ended June 30, 2014 compared with the six months ended June 30, 2013 principally due to an estimated increase in direct material costs of approximately $370 million (driven primarily by higher sales volume), acquisitions and higher repositioning and other charges of approximately $45 million, partially offset by an increase in pension income of approximately $60 million.</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Gross margin percentage increased by 1.3 percentage points in the quarter ended June 30, 2014 compared with the quarter ended June 30, 2013 primarily due to higher gross margin in each of our business segments (approximately 0.6 percentage point impact collectively), lower repositioning and other charges (approximately 0.4 percentage point impact) and increased pension income (approximately 0.3 percentage point impact).</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Gross margin percentage increased by 1.0 percentage points in the six months ended June 30, 2014 compared with the six months ended June 30, 2013 primarily due to higher gross margin in each of our business segments (approximately 0.7 percentage point impact collectively) and increased pension income (approximately 0.3 percentage point impact) partially offset by higher repositioning and other charges (approximately 0.2 percentage point impact).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discussion of segment results see “Review of Business Segments”.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jc w:val="center"/>
              <w:ind w:right="25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4"/>
          </w:tcPr>
          <w:p>
            <w:pPr>
              <w:jc w:val="center"/>
              <w:ind w:left="49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188"/>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48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E5FF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E5FF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Selling, general and administrative expense</w:t>
            </w: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1,375</w:t>
            </w:r>
          </w:p>
        </w:tc>
        <w:tc>
          <w:tcPr>
            <w:tcW w:w="1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1,281</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2,714</w:t>
            </w:r>
          </w:p>
        </w:tc>
        <w:tc>
          <w:tcPr>
            <w:tcW w:w="1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2,510</w:t>
            </w: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Percent of sales</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r>
    </w:tbl>
    <w:p>
      <w:pPr>
        <w:spacing w:after="0" w:line="18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Selling, general and administrative expenses (SG&amp;A) increased as a percentage of sales by 0.2 percentage points in the quarter ended June 30, 2014 compared to the quarter ended June 30, 2013 and 0.4 percentage points in the six months ended June 30, 2014 compared with the six months ended June 30, 2013 primarily driven by increased labor costs (primarily acquisitions, merit increases and investment for growth) partially offset by higher sales and decreased repositioning and other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r>
      <w:tr>
        <w:trPr>
          <w:trHeight w:val="188"/>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49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E5FF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E5FF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E5FF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r>
      <w:tr>
        <w:trPr>
          <w:trHeight w:val="196"/>
        </w:trPr>
        <w:tc>
          <w:tcPr>
            <w:tcW w:w="49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Equity income of affiliated companies</w:t>
            </w: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c>
          <w:tcPr>
            <w:tcW w:w="340" w:type="dxa"/>
            <w:vAlign w:val="bottom"/>
            <w:shd w:val="clear" w:color="auto" w:fill="E5FFFF"/>
          </w:tcPr>
          <w:p>
            <w:pPr>
              <w:spacing w:after="0"/>
              <w:rPr>
                <w:sz w:val="17"/>
                <w:szCs w:val="17"/>
                <w:color w:val="auto"/>
              </w:rPr>
            </w:pPr>
          </w:p>
        </w:tc>
        <w:tc>
          <w:tcPr>
            <w:tcW w:w="540" w:type="dxa"/>
            <w:vAlign w:val="bottom"/>
            <w:shd w:val="clear" w:color="auto" w:fill="E5FF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(17)</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Gain on sale of available for sale investments</w:t>
            </w:r>
          </w:p>
        </w:tc>
        <w:tc>
          <w:tcPr>
            <w:tcW w:w="320" w:type="dxa"/>
            <w:vAlign w:val="bottom"/>
          </w:tcPr>
          <w:p>
            <w:pPr>
              <w:spacing w:after="0"/>
              <w:rPr>
                <w:sz w:val="17"/>
                <w:szCs w:val="17"/>
                <w:color w:val="auto"/>
              </w:rPr>
            </w:pPr>
          </w:p>
        </w:tc>
        <w:tc>
          <w:tcPr>
            <w:tcW w:w="10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Loss on sale of non-strategic businesses and assets</w:t>
            </w:r>
          </w:p>
        </w:tc>
        <w:tc>
          <w:tcPr>
            <w:tcW w:w="32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10</w:t>
            </w:r>
          </w:p>
        </w:tc>
        <w:tc>
          <w:tcPr>
            <w:tcW w:w="34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4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Foreign exchange</w:t>
            </w:r>
          </w:p>
        </w:tc>
        <w:tc>
          <w:tcPr>
            <w:tcW w:w="32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5</w:t>
            </w:r>
          </w:p>
        </w:tc>
        <w:tc>
          <w:tcPr>
            <w:tcW w:w="34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19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w:t>
            </w:r>
          </w:p>
        </w:tc>
      </w:tr>
      <w:tr>
        <w:trPr>
          <w:trHeight w:val="216"/>
        </w:trPr>
        <w:tc>
          <w:tcPr>
            <w:tcW w:w="49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4920" w:type="dxa"/>
            <w:vAlign w:val="bottom"/>
            <w:shd w:val="clear" w:color="auto" w:fill="E5FFFF"/>
          </w:tcPr>
          <w:p>
            <w:pPr>
              <w:spacing w:after="0"/>
              <w:rPr>
                <w:sz w:val="18"/>
                <w:szCs w:val="18"/>
                <w:color w:val="auto"/>
              </w:rPr>
            </w:pPr>
          </w:p>
        </w:tc>
        <w:tc>
          <w:tcPr>
            <w:tcW w:w="320" w:type="dxa"/>
            <w:vAlign w:val="bottom"/>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E5FFFF"/>
          </w:tcPr>
          <w:p>
            <w:pPr>
              <w:spacing w:after="0"/>
              <w:rPr>
                <w:sz w:val="18"/>
                <w:szCs w:val="18"/>
                <w:color w:val="auto"/>
              </w:rPr>
            </w:pPr>
          </w:p>
        </w:tc>
        <w:tc>
          <w:tcPr>
            <w:tcW w:w="540" w:type="dxa"/>
            <w:vAlign w:val="bottom"/>
            <w:shd w:val="clear" w:color="auto" w:fill="E5FF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640" w:type="dxa"/>
            <w:vAlign w:val="bottom"/>
            <w:gridSpan w:val="2"/>
            <w:shd w:val="clear" w:color="auto" w:fill="E5FF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(138)</w:t>
            </w:r>
          </w:p>
        </w:tc>
        <w:tc>
          <w:tcPr>
            <w:tcW w:w="820" w:type="dxa"/>
            <w:vAlign w:val="bottom"/>
            <w:gridSpan w:val="2"/>
            <w:shd w:val="clear" w:color="auto" w:fill="E5FF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49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Other Income increased by $86 million in the six months ended June 30, 2014 compared to the six months ended June 30, 2013 primarily due to $105 million of realized gain related to the sale of marketable equity securities, partially offset by higher foreign exchange expense. The securities (B/E Aerospace common stock), designated as available for sale, were obtained in conjunction with the sale of the Consumables Solutions business in July 2008.</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Interest and Other Financial Charges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2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center"/>
              <w:ind w:left="441"/>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r>
      <w:tr>
        <w:trPr>
          <w:trHeight w:val="188"/>
        </w:trPr>
        <w:tc>
          <w:tcPr>
            <w:tcW w:w="4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4120" w:type="dxa"/>
            <w:vAlign w:val="bottom"/>
          </w:tcPr>
          <w:p>
            <w:pPr>
              <w:spacing w:after="0"/>
              <w:rPr>
                <w:sz w:val="15"/>
                <w:szCs w:val="15"/>
                <w:color w:val="auto"/>
              </w:rPr>
            </w:pPr>
          </w:p>
        </w:tc>
        <w:tc>
          <w:tcPr>
            <w:tcW w:w="20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5"/>
                <w:szCs w:val="15"/>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39"/>
              <w:spacing w:after="0"/>
              <w:rPr>
                <w:sz w:val="20"/>
                <w:szCs w:val="20"/>
                <w:color w:val="auto"/>
              </w:rPr>
            </w:pPr>
            <w:r>
              <w:rPr>
                <w:rFonts w:ascii="Arial" w:cs="Arial" w:eastAsia="Arial" w:hAnsi="Arial"/>
                <w:sz w:val="14"/>
                <w:szCs w:val="14"/>
                <w:b w:val="1"/>
                <w:bCs w:val="1"/>
                <w:color w:val="auto"/>
              </w:rPr>
              <w:t>2013</w:t>
            </w:r>
          </w:p>
        </w:tc>
      </w:tr>
      <w:tr>
        <w:trPr>
          <w:trHeight w:val="196"/>
        </w:trPr>
        <w:tc>
          <w:tcPr>
            <w:tcW w:w="41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Interest and other financial charges</w:t>
            </w:r>
          </w:p>
        </w:tc>
        <w:tc>
          <w:tcPr>
            <w:tcW w:w="11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ind w:right="7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80</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80</w:t>
            </w:r>
          </w:p>
        </w:tc>
        <w:tc>
          <w:tcPr>
            <w:tcW w:w="22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tcBorders>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E5FFFF"/>
          </w:tcPr>
          <w:p>
            <w:pPr>
              <w:jc w:val="right"/>
              <w:ind w:right="161"/>
              <w:spacing w:after="0" w:line="196" w:lineRule="exact"/>
              <w:rPr>
                <w:sz w:val="20"/>
                <w:szCs w:val="20"/>
                <w:color w:val="auto"/>
              </w:rPr>
            </w:pPr>
            <w:r>
              <w:rPr>
                <w:rFonts w:ascii="Arial" w:cs="Arial" w:eastAsia="Arial" w:hAnsi="Arial"/>
                <w:sz w:val="18"/>
                <w:szCs w:val="18"/>
                <w:color w:val="auto"/>
              </w:rPr>
              <w:t>159</w:t>
            </w:r>
          </w:p>
        </w:tc>
        <w:tc>
          <w:tcPr>
            <w:tcW w:w="200" w:type="dxa"/>
            <w:vAlign w:val="bottom"/>
            <w:tcBorders>
              <w:top w:val="single" w:sz="8" w:color="E5FFFF"/>
            </w:tcBorders>
            <w:shd w:val="clear" w:color="auto" w:fill="E5FFFF"/>
          </w:tcPr>
          <w:p>
            <w:pPr>
              <w:spacing w:after="0"/>
              <w:rPr>
                <w:sz w:val="17"/>
                <w:szCs w:val="17"/>
                <w:color w:val="auto"/>
              </w:rPr>
            </w:pPr>
          </w:p>
        </w:tc>
        <w:tc>
          <w:tcPr>
            <w:tcW w:w="500" w:type="dxa"/>
            <w:vAlign w:val="bottom"/>
            <w:tcBorders>
              <w:top w:val="single" w:sz="8" w:color="auto"/>
            </w:tcBorders>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9"/>
              <w:spacing w:after="0" w:line="196" w:lineRule="exact"/>
              <w:rPr>
                <w:sz w:val="20"/>
                <w:szCs w:val="20"/>
                <w:color w:val="auto"/>
              </w:rPr>
            </w:pPr>
            <w:r>
              <w:rPr>
                <w:rFonts w:ascii="Arial" w:cs="Arial" w:eastAsia="Arial" w:hAnsi="Arial"/>
                <w:sz w:val="18"/>
                <w:szCs w:val="18"/>
                <w:color w:val="auto"/>
              </w:rPr>
              <w:t>164</w:t>
            </w:r>
          </w:p>
        </w:tc>
      </w:tr>
      <w:tr>
        <w:trPr>
          <w:trHeight w:val="217"/>
        </w:trPr>
        <w:tc>
          <w:tcPr>
            <w:tcW w:w="4120" w:type="dxa"/>
            <w:vAlign w:val="bottom"/>
          </w:tcPr>
          <w:p>
            <w:pPr>
              <w:spacing w:after="0"/>
              <w:rPr>
                <w:sz w:val="20"/>
                <w:szCs w:val="20"/>
                <w:color w:val="auto"/>
              </w:rPr>
            </w:pPr>
            <w:r>
              <w:rPr>
                <w:rFonts w:ascii="Arial" w:cs="Arial" w:eastAsia="Arial" w:hAnsi="Arial"/>
                <w:sz w:val="18"/>
                <w:szCs w:val="18"/>
                <w:color w:val="auto"/>
              </w:rPr>
              <w:t>% change compared with prior period</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Interest and other financial charges were flat in the quarter ended June 30, 2014 compared with the quarter ended June 30, 2013 and decreased by $5 million in the six months ended 2014 compared with the six months ended June 30, 2013 primarily due to lower borrowing costs partially offset by higher debt balances.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500" w:type="dxa"/>
            <w:vAlign w:val="bottom"/>
            <w:gridSpan w:val="4"/>
          </w:tcPr>
          <w:p>
            <w:pPr>
              <w:jc w:val="center"/>
              <w:ind w:left="43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r>
      <w:tr>
        <w:trPr>
          <w:trHeight w:val="188"/>
        </w:trPr>
        <w:tc>
          <w:tcPr>
            <w:tcW w:w="3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3260" w:type="dxa"/>
            <w:vAlign w:val="bottom"/>
          </w:tcPr>
          <w:p>
            <w:pPr>
              <w:spacing w:after="0"/>
              <w:rPr>
                <w:sz w:val="15"/>
                <w:szCs w:val="15"/>
                <w:color w:val="auto"/>
              </w:rPr>
            </w:pPr>
          </w:p>
        </w:tc>
        <w:tc>
          <w:tcPr>
            <w:tcW w:w="2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2013</w:t>
            </w:r>
          </w:p>
        </w:tc>
      </w:tr>
      <w:tr>
        <w:trPr>
          <w:trHeight w:val="196"/>
        </w:trPr>
        <w:tc>
          <w:tcPr>
            <w:tcW w:w="326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Tax expense</w:t>
            </w:r>
          </w:p>
        </w:tc>
        <w:tc>
          <w:tcPr>
            <w:tcW w:w="190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397</w:t>
            </w:r>
          </w:p>
        </w:tc>
        <w:tc>
          <w:tcPr>
            <w:tcW w:w="22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rPr>
              <w:t>307</w:t>
            </w:r>
          </w:p>
        </w:tc>
        <w:tc>
          <w:tcPr>
            <w:tcW w:w="22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772</w:t>
            </w:r>
          </w:p>
        </w:tc>
        <w:tc>
          <w:tcPr>
            <w:tcW w:w="220" w:type="dxa"/>
            <w:vAlign w:val="bottom"/>
            <w:tcBorders>
              <w:top w:val="single" w:sz="8" w:color="E5FFFF"/>
            </w:tcBorders>
            <w:shd w:val="clear" w:color="auto" w:fill="E5FFFF"/>
          </w:tcPr>
          <w:p>
            <w:pPr>
              <w:spacing w:after="0"/>
              <w:rPr>
                <w:sz w:val="17"/>
                <w:szCs w:val="17"/>
                <w:color w:val="auto"/>
              </w:rPr>
            </w:pPr>
          </w:p>
        </w:tc>
        <w:tc>
          <w:tcPr>
            <w:tcW w:w="520" w:type="dxa"/>
            <w:vAlign w:val="bottom"/>
            <w:tcBorders>
              <w:top w:val="single" w:sz="8" w:color="auto"/>
            </w:tcBorders>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598</w:t>
            </w:r>
          </w:p>
        </w:tc>
      </w:t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Effective tax rate</w:t>
            </w: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26.1%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26.3%</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r>
    </w:tbl>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increased by 3.0 percent in the quarter ended June 30, 2014 compared with the quarter ended June 30, 2013 primarily due to decreased tax benefits from the resolution of tax audits partially offset by decreased tax expense for reserves in the second quarter of 2014.</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increased by 3.2 percent in the six months ended June 30, 2014 compared with the six months ended June 30, 2013 mainly due to the absence of tax benefits from law changes enacted in the first quarter of 2013 and from the resolution of tax audits, partially offset by decreased tax expense for reserves in 2014.</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rates for the three and six months periods ending in 2014 were lower than the statutory rate of 35 percent due, in part, to foreign earnings taxed at lower rates and benefits from manufacturing incentives.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rates for the three and six months periods ending in 2013 were lower than the statutory rate of 35 percent due, in part, to foreign earnings taxed at lower rates, benefits from manufacturing incentives and U.S. tax credits.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188"/>
        </w:trPr>
        <w:tc>
          <w:tcPr>
            <w:tcW w:w="4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83"/>
        </w:trPr>
        <w:tc>
          <w:tcPr>
            <w:tcW w:w="4900" w:type="dxa"/>
            <w:vAlign w:val="bottom"/>
            <w:tcBorders>
              <w:bottom w:val="single" w:sz="8" w:color="E5FFFF"/>
            </w:tcBorders>
          </w:tcPr>
          <w:p>
            <w:pPr>
              <w:spacing w:after="0"/>
              <w:rPr>
                <w:sz w:val="15"/>
                <w:szCs w:val="15"/>
                <w:color w:val="auto"/>
              </w:rPr>
            </w:pPr>
          </w:p>
        </w:tc>
        <w:tc>
          <w:tcPr>
            <w:tcW w:w="38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E5FF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E5FF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6"/>
              </w:rPr>
              <w:t>2013</w:t>
            </w:r>
          </w:p>
        </w:tc>
      </w:tr>
      <w:tr>
        <w:trPr>
          <w:trHeight w:val="196"/>
        </w:trPr>
        <w:tc>
          <w:tcPr>
            <w:tcW w:w="49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income attributable to Honeywell</w:t>
            </w:r>
          </w:p>
        </w:tc>
        <w:tc>
          <w:tcPr>
            <w:tcW w:w="38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41"/>
              <w:spacing w:after="0" w:line="196" w:lineRule="exact"/>
              <w:rPr>
                <w:sz w:val="20"/>
                <w:szCs w:val="20"/>
                <w:color w:val="auto"/>
              </w:rPr>
            </w:pPr>
            <w:r>
              <w:rPr>
                <w:rFonts w:ascii="Arial" w:cs="Arial" w:eastAsia="Arial" w:hAnsi="Arial"/>
                <w:sz w:val="18"/>
                <w:szCs w:val="18"/>
                <w:color w:val="auto"/>
              </w:rPr>
              <w:t>1,099</w:t>
            </w:r>
          </w:p>
        </w:tc>
        <w:tc>
          <w:tcPr>
            <w:tcW w:w="24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1,021</w:t>
            </w:r>
          </w:p>
        </w:tc>
        <w:tc>
          <w:tcPr>
            <w:tcW w:w="2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41"/>
              <w:spacing w:after="0" w:line="196" w:lineRule="exact"/>
              <w:rPr>
                <w:sz w:val="20"/>
                <w:szCs w:val="20"/>
                <w:color w:val="auto"/>
              </w:rPr>
            </w:pPr>
            <w:r>
              <w:rPr>
                <w:rFonts w:ascii="Arial" w:cs="Arial" w:eastAsia="Arial" w:hAnsi="Arial"/>
                <w:sz w:val="18"/>
                <w:szCs w:val="18"/>
                <w:color w:val="auto"/>
              </w:rPr>
              <w:t>2,116</w:t>
            </w:r>
          </w:p>
        </w:tc>
        <w:tc>
          <w:tcPr>
            <w:tcW w:w="20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1,987</w:t>
            </w:r>
          </w:p>
        </w:tc>
      </w:tr>
      <w:tr>
        <w:trPr>
          <w:trHeight w:val="419"/>
        </w:trPr>
        <w:tc>
          <w:tcPr>
            <w:tcW w:w="4900" w:type="dxa"/>
            <w:vAlign w:val="bottom"/>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1.28</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2.66</w:t>
            </w:r>
          </w:p>
        </w:tc>
        <w:tc>
          <w:tcPr>
            <w:tcW w:w="7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2.49</w:t>
            </w:r>
          </w:p>
        </w:tc>
      </w:tr>
    </w:tbl>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Earnings per share of common stock – assuming dilution increased by $0.10 per share in the quarter ended June 30, 2014 compared with the quarter ended June 30, 2013 primarily due to increased segment profit in each of our business segments, lower repositioning and other charges and increased pension income, partially offset by increased tax expense.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6" w:name="page37"/>
    <w:bookmarkEnd w:id="36"/>
    <w:p>
      <w:pPr>
        <w:ind w:right="140" w:firstLine="648"/>
        <w:spacing w:after="0" w:line="239" w:lineRule="auto"/>
        <w:rPr>
          <w:sz w:val="20"/>
          <w:szCs w:val="20"/>
          <w:color w:val="auto"/>
        </w:rPr>
      </w:pPr>
      <w:r>
        <w:rPr>
          <w:rFonts w:ascii="Arial" w:cs="Arial" w:eastAsia="Arial" w:hAnsi="Arial"/>
          <w:sz w:val="18"/>
          <w:szCs w:val="18"/>
          <w:color w:val="auto"/>
        </w:rPr>
        <w:t>Earnings per share of common stock – assuming dilution increased by $0.17 per share in the six months ended June 30, 2014 compared with the six months ended June 30, 2013, primarily due to increased segment profit in each of our business segments, higher other income as previously discussed and increased pension income, partially offset by increased tax expense and higher repositioning and other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Business Segments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Borders>
              <w:bottom w:val="single" w:sz="8" w:color="E5FFFF"/>
            </w:tcBorders>
          </w:tcPr>
          <w:p>
            <w:pPr>
              <w:spacing w:after="0"/>
              <w:rPr>
                <w:sz w:val="14"/>
                <w:szCs w:val="14"/>
                <w:color w:val="auto"/>
              </w:rPr>
            </w:pPr>
          </w:p>
        </w:tc>
        <w:tc>
          <w:tcPr>
            <w:tcW w:w="420" w:type="dxa"/>
            <w:vAlign w:val="bottom"/>
            <w:tcBorders>
              <w:bottom w:val="single" w:sz="8" w:color="E5FFFF"/>
            </w:tcBorders>
          </w:tcPr>
          <w:p>
            <w:pPr>
              <w:spacing w:after="0"/>
              <w:rPr>
                <w:sz w:val="14"/>
                <w:szCs w:val="14"/>
                <w:color w:val="auto"/>
              </w:rPr>
            </w:pPr>
          </w:p>
        </w:tc>
        <w:tc>
          <w:tcPr>
            <w:tcW w:w="2940" w:type="dxa"/>
            <w:vAlign w:val="bottom"/>
            <w:tcBorders>
              <w:bottom w:val="single" w:sz="8" w:color="E5FFFF"/>
            </w:tcBorders>
          </w:tcPr>
          <w:p>
            <w:pPr>
              <w:spacing w:after="0"/>
              <w:rPr>
                <w:sz w:val="14"/>
                <w:szCs w:val="14"/>
                <w:color w:val="auto"/>
              </w:rPr>
            </w:pPr>
          </w:p>
        </w:tc>
        <w:tc>
          <w:tcPr>
            <w:tcW w:w="800" w:type="dxa"/>
            <w:vAlign w:val="bottom"/>
            <w:tcBorders>
              <w:bottom w:val="single" w:sz="8" w:color="E5FF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E5FF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E5FF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E5FF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20" w:type="dxa"/>
            <w:vAlign w:val="bottom"/>
            <w:gridSpan w:val="3"/>
            <w:shd w:val="clear" w:color="auto" w:fill="E5FFFF"/>
          </w:tcPr>
          <w:p>
            <w:pPr>
              <w:spacing w:after="0" w:line="170" w:lineRule="exact"/>
              <w:rPr>
                <w:sz w:val="20"/>
                <w:szCs w:val="20"/>
                <w:color w:val="auto"/>
              </w:rPr>
            </w:pPr>
            <w:r>
              <w:rPr>
                <w:rFonts w:ascii="Arial" w:cs="Arial" w:eastAsia="Arial" w:hAnsi="Arial"/>
                <w:sz w:val="18"/>
                <w:szCs w:val="18"/>
                <w:color w:val="auto"/>
              </w:rPr>
              <w:t>Net Sales</w:t>
            </w:r>
          </w:p>
        </w:tc>
        <w:tc>
          <w:tcPr>
            <w:tcW w:w="80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06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520" w:type="dxa"/>
            <w:vAlign w:val="bottom"/>
            <w:shd w:val="clear" w:color="auto" w:fill="E5FFFF"/>
          </w:tcPr>
          <w:p>
            <w:pPr>
              <w:spacing w:after="0"/>
              <w:rPr>
                <w:sz w:val="14"/>
                <w:szCs w:val="14"/>
                <w:color w:val="auto"/>
              </w:rPr>
            </w:pPr>
          </w:p>
        </w:tc>
        <w:tc>
          <w:tcPr>
            <w:tcW w:w="84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06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500" w:type="dxa"/>
            <w:vAlign w:val="bottom"/>
            <w:shd w:val="clear" w:color="auto" w:fill="E5FFFF"/>
          </w:tcPr>
          <w:p>
            <w:pPr>
              <w:spacing w:after="0"/>
              <w:rPr>
                <w:sz w:val="14"/>
                <w:szCs w:val="14"/>
                <w:color w:val="auto"/>
              </w:rPr>
            </w:pPr>
          </w:p>
        </w:tc>
        <w:tc>
          <w:tcPr>
            <w:tcW w:w="86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shd w:val="clear" w:color="auto" w:fill="E5FFFF"/>
          </w:tcPr>
          <w:p>
            <w:pPr>
              <w:spacing w:after="0"/>
              <w:rPr>
                <w:sz w:val="2"/>
                <w:szCs w:val="2"/>
                <w:color w:val="auto"/>
              </w:rPr>
            </w:pPr>
          </w:p>
        </w:tc>
        <w:tc>
          <w:tcPr>
            <w:tcW w:w="2940" w:type="dxa"/>
            <w:vAlign w:val="bottom"/>
            <w:shd w:val="clear" w:color="auto" w:fill="E5FFFF"/>
          </w:tcPr>
          <w:p>
            <w:pPr>
              <w:spacing w:after="0"/>
              <w:rPr>
                <w:sz w:val="2"/>
                <w:szCs w:val="2"/>
                <w:color w:val="auto"/>
              </w:rPr>
            </w:pPr>
          </w:p>
        </w:tc>
        <w:tc>
          <w:tcPr>
            <w:tcW w:w="80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1060" w:type="dxa"/>
            <w:vAlign w:val="bottom"/>
            <w:shd w:val="clear" w:color="auto" w:fill="E5FFFF"/>
          </w:tcPr>
          <w:p>
            <w:pPr>
              <w:spacing w:after="0"/>
              <w:rPr>
                <w:sz w:val="2"/>
                <w:szCs w:val="2"/>
                <w:color w:val="auto"/>
              </w:rPr>
            </w:pPr>
          </w:p>
        </w:tc>
        <w:tc>
          <w:tcPr>
            <w:tcW w:w="360" w:type="dxa"/>
            <w:vAlign w:val="bottom"/>
            <w:shd w:val="clear" w:color="auto" w:fill="E5FFFF"/>
          </w:tcPr>
          <w:p>
            <w:pPr>
              <w:spacing w:after="0"/>
              <w:rPr>
                <w:sz w:val="2"/>
                <w:szCs w:val="2"/>
                <w:color w:val="auto"/>
              </w:rPr>
            </w:pPr>
          </w:p>
        </w:tc>
        <w:tc>
          <w:tcPr>
            <w:tcW w:w="520" w:type="dxa"/>
            <w:vAlign w:val="bottom"/>
            <w:shd w:val="clear" w:color="auto" w:fill="E5FFFF"/>
          </w:tcPr>
          <w:p>
            <w:pPr>
              <w:spacing w:after="0"/>
              <w:rPr>
                <w:sz w:val="2"/>
                <w:szCs w:val="2"/>
                <w:color w:val="auto"/>
              </w:rPr>
            </w:pPr>
          </w:p>
        </w:tc>
        <w:tc>
          <w:tcPr>
            <w:tcW w:w="84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300" w:type="dxa"/>
            <w:vAlign w:val="bottom"/>
            <w:shd w:val="clear" w:color="auto" w:fill="E5FFFF"/>
          </w:tcPr>
          <w:p>
            <w:pPr>
              <w:spacing w:after="0"/>
              <w:rPr>
                <w:sz w:val="2"/>
                <w:szCs w:val="2"/>
                <w:color w:val="auto"/>
              </w:rPr>
            </w:pPr>
          </w:p>
        </w:tc>
        <w:tc>
          <w:tcPr>
            <w:tcW w:w="106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500" w:type="dxa"/>
            <w:vAlign w:val="bottom"/>
            <w:shd w:val="clear" w:color="auto" w:fill="E5FFFF"/>
          </w:tcPr>
          <w:p>
            <w:pPr>
              <w:spacing w:after="0"/>
              <w:rPr>
                <w:sz w:val="2"/>
                <w:szCs w:val="2"/>
                <w:color w:val="auto"/>
              </w:rPr>
            </w:pPr>
          </w:p>
        </w:tc>
        <w:tc>
          <w:tcPr>
            <w:tcW w:w="86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112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1,801</w:t>
            </w:r>
          </w:p>
        </w:tc>
        <w:tc>
          <w:tcPr>
            <w:tcW w:w="88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1,767</w:t>
            </w:r>
          </w:p>
        </w:tc>
        <w:tc>
          <w:tcPr>
            <w:tcW w:w="6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3,500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1,190</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1,230</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2,349</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2,991</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2,997</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5,849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3,287</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2,963</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6,362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320</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307</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607</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3,607</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3,270</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6,969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2,171</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2,067</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4,249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465</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412</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853</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2,636</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2,479</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5,102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Transportation Systems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80"/>
              <w:spacing w:after="0" w:line="202" w:lineRule="exact"/>
              <w:rPr>
                <w:sz w:val="20"/>
                <w:szCs w:val="20"/>
                <w:color w:val="auto"/>
              </w:rPr>
            </w:pPr>
            <w:r>
              <w:rPr>
                <w:rFonts w:ascii="Arial" w:cs="Arial" w:eastAsia="Arial" w:hAnsi="Arial"/>
                <w:sz w:val="18"/>
                <w:szCs w:val="18"/>
                <w:color w:val="auto"/>
              </w:rPr>
              <w:t>Products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1,019</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947</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2,012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jc w:val="center"/>
              <w:ind w:right="31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jc w:val="center"/>
              <w:ind w:right="3060"/>
              <w:spacing w:after="0" w:line="196" w:lineRule="exact"/>
              <w:rPr>
                <w:sz w:val="20"/>
                <w:szCs w:val="20"/>
                <w:color w:val="auto"/>
              </w:rPr>
            </w:pPr>
            <w:r>
              <w:rPr>
                <w:rFonts w:ascii="Arial" w:cs="Arial" w:eastAsia="Arial" w:hAnsi="Arial"/>
                <w:sz w:val="18"/>
                <w:szCs w:val="18"/>
                <w:color w:val="auto"/>
                <w:w w:val="94"/>
              </w:rPr>
              <w:t>Total</w:t>
            </w:r>
          </w:p>
        </w:tc>
        <w:tc>
          <w:tcPr>
            <w:tcW w:w="80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1,019</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947</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2,012</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10,253</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9,693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19,932</w:t>
            </w:r>
          </w:p>
        </w:tc>
        <w:tc>
          <w:tcPr>
            <w:tcW w:w="3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8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color w:val="auto"/>
                <w:w w:val="97"/>
              </w:rPr>
              <w:t>Segment Profit</w:t>
            </w:r>
          </w:p>
        </w:tc>
        <w:tc>
          <w:tcPr>
            <w:tcW w:w="2940" w:type="dxa"/>
            <w:vAlign w:val="bottom"/>
            <w:tcBorders>
              <w:bottom w:val="single" w:sz="8" w:color="E5FFFF"/>
            </w:tcBorders>
            <w:shd w:val="clear" w:color="auto" w:fill="E5FFFF"/>
          </w:tcPr>
          <w:p>
            <w:pPr>
              <w:spacing w:after="0"/>
              <w:rPr>
                <w:sz w:val="15"/>
                <w:szCs w:val="15"/>
                <w:color w:val="auto"/>
              </w:rPr>
            </w:pPr>
          </w:p>
        </w:tc>
        <w:tc>
          <w:tcPr>
            <w:tcW w:w="80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1060" w:type="dxa"/>
            <w:vAlign w:val="bottom"/>
            <w:tcBorders>
              <w:bottom w:val="single" w:sz="8" w:color="E5FFFF"/>
            </w:tcBorders>
            <w:shd w:val="clear" w:color="auto" w:fill="E5FFFF"/>
          </w:tcPr>
          <w:p>
            <w:pPr>
              <w:spacing w:after="0"/>
              <w:rPr>
                <w:sz w:val="15"/>
                <w:szCs w:val="15"/>
                <w:color w:val="auto"/>
              </w:rPr>
            </w:pPr>
          </w:p>
        </w:tc>
        <w:tc>
          <w:tcPr>
            <w:tcW w:w="36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E5FFFF"/>
            </w:tcBorders>
            <w:shd w:val="clear" w:color="auto" w:fill="E5FFFF"/>
          </w:tcPr>
          <w:p>
            <w:pPr>
              <w:spacing w:after="0"/>
              <w:rPr>
                <w:sz w:val="15"/>
                <w:szCs w:val="15"/>
                <w:color w:val="auto"/>
              </w:rPr>
            </w:pPr>
          </w:p>
        </w:tc>
        <w:tc>
          <w:tcPr>
            <w:tcW w:w="840" w:type="dxa"/>
            <w:vAlign w:val="bottom"/>
            <w:tcBorders>
              <w:bottom w:val="single" w:sz="8" w:color="E5FFFF"/>
            </w:tcBorders>
            <w:shd w:val="clear" w:color="auto" w:fill="E5FFFF"/>
          </w:tcPr>
          <w:p>
            <w:pPr>
              <w:spacing w:after="0"/>
              <w:rPr>
                <w:sz w:val="15"/>
                <w:szCs w:val="15"/>
                <w:color w:val="auto"/>
              </w:rPr>
            </w:pPr>
          </w:p>
        </w:tc>
        <w:tc>
          <w:tcPr>
            <w:tcW w:w="34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106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500" w:type="dxa"/>
            <w:vAlign w:val="bottom"/>
            <w:tcBorders>
              <w:bottom w:val="single" w:sz="8" w:color="E5FFFF"/>
            </w:tcBorders>
            <w:shd w:val="clear" w:color="auto" w:fill="E5FFFF"/>
          </w:tcPr>
          <w:p>
            <w:pPr>
              <w:spacing w:after="0"/>
              <w:rPr>
                <w:sz w:val="15"/>
                <w:szCs w:val="15"/>
                <w:color w:val="auto"/>
              </w:rPr>
            </w:pPr>
          </w:p>
        </w:tc>
        <w:tc>
          <w:tcPr>
            <w:tcW w:w="86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592</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583</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1,141</w:t>
            </w:r>
          </w:p>
        </w:tc>
        <w:tc>
          <w:tcPr>
            <w:tcW w:w="32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533</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467</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1,004</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475</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438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948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Transportation Systems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167</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126</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321</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Corporate</w:t>
            </w:r>
          </w:p>
        </w:tc>
        <w:tc>
          <w:tcPr>
            <w:tcW w:w="80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3"/>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segment profit</w:t>
            </w:r>
          </w:p>
        </w:tc>
        <w:tc>
          <w:tcPr>
            <w:tcW w:w="80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1,709</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1,559</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3,305</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439"/>
        </w:trPr>
        <w:tc>
          <w:tcPr>
            <w:tcW w:w="4140" w:type="dxa"/>
            <w:vAlign w:val="bottom"/>
            <w:gridSpan w:val="4"/>
          </w:tcPr>
          <w:p>
            <w:pPr>
              <w:spacing w:after="0"/>
              <w:rPr>
                <w:sz w:val="20"/>
                <w:szCs w:val="20"/>
                <w:color w:val="auto"/>
              </w:rPr>
            </w:pPr>
            <w:r>
              <w:rPr>
                <w:rFonts w:ascii="Arial" w:cs="Arial" w:eastAsia="Arial" w:hAnsi="Arial"/>
                <w:sz w:val="18"/>
                <w:szCs w:val="18"/>
                <w:color w:val="auto"/>
              </w:rPr>
              <w:t>Other income (expense)</w:t>
            </w:r>
            <w:r>
              <w:rPr>
                <w:rFonts w:ascii="Arial" w:cs="Arial" w:eastAsia="Arial" w:hAnsi="Arial"/>
                <w:sz w:val="30"/>
                <w:szCs w:val="30"/>
                <w:color w:val="auto"/>
                <w:vertAlign w:val="superscript"/>
              </w:rPr>
              <w:t>(a)</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80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(80)</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(80)</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8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64</w:t>
            </w:r>
          </w:p>
        </w:tc>
        <w:tc>
          <w:tcPr>
            <w:tcW w:w="3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25</w:t>
            </w:r>
          </w:p>
        </w:tc>
        <w:tc>
          <w:tcPr>
            <w:tcW w:w="3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spacing w:after="0" w:line="243" w:lineRule="exact"/>
              <w:rPr>
                <w:sz w:val="20"/>
                <w:szCs w:val="20"/>
                <w:color w:val="auto"/>
              </w:rPr>
            </w:pPr>
            <w:r>
              <w:rPr>
                <w:rFonts w:ascii="Arial" w:cs="Arial" w:eastAsia="Arial" w:hAnsi="Arial"/>
                <w:sz w:val="17"/>
                <w:szCs w:val="17"/>
                <w:color w:val="auto"/>
              </w:rPr>
              <w:t>Other postretirement income (expense)</w:t>
            </w:r>
            <w:r>
              <w:rPr>
                <w:rFonts w:ascii="Arial" w:cs="Arial" w:eastAsia="Arial" w:hAnsi="Arial"/>
                <w:sz w:val="28"/>
                <w:szCs w:val="28"/>
                <w:color w:val="auto"/>
                <w:vertAlign w:val="superscript"/>
              </w:rPr>
              <w:t>(b)</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800" w:type="dxa"/>
            <w:vAlign w:val="bottom"/>
            <w:shd w:val="clear" w:color="auto" w:fill="E5FFFF"/>
          </w:tcPr>
          <w:p>
            <w:pPr>
              <w:spacing w:after="0"/>
              <w:rPr>
                <w:sz w:val="22"/>
                <w:szCs w:val="22"/>
                <w:color w:val="auto"/>
              </w:rPr>
            </w:pPr>
          </w:p>
        </w:tc>
        <w:tc>
          <w:tcPr>
            <w:tcW w:w="320" w:type="dxa"/>
            <w:vAlign w:val="bottom"/>
            <w:tcBorders>
              <w:bottom w:val="single" w:sz="8" w:color="auto"/>
            </w:tcBorders>
            <w:shd w:val="clear" w:color="auto" w:fill="E5FFFF"/>
          </w:tcPr>
          <w:p>
            <w:pPr>
              <w:spacing w:after="0"/>
              <w:rPr>
                <w:sz w:val="22"/>
                <w:szCs w:val="22"/>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E5FFFF"/>
          </w:tcPr>
          <w:p>
            <w:pPr>
              <w:spacing w:after="0"/>
              <w:rPr>
                <w:sz w:val="22"/>
                <w:szCs w:val="22"/>
                <w:color w:val="auto"/>
              </w:rPr>
            </w:pPr>
          </w:p>
        </w:tc>
        <w:tc>
          <w:tcPr>
            <w:tcW w:w="520" w:type="dxa"/>
            <w:vAlign w:val="bottom"/>
            <w:tcBorders>
              <w:bottom w:val="single" w:sz="8" w:color="auto"/>
            </w:tcBorders>
            <w:shd w:val="clear" w:color="auto" w:fill="E5FFFF"/>
          </w:tcPr>
          <w:p>
            <w:pPr>
              <w:spacing w:after="0"/>
              <w:rPr>
                <w:sz w:val="22"/>
                <w:szCs w:val="22"/>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(171)</w:t>
            </w:r>
          </w:p>
        </w:tc>
        <w:tc>
          <w:tcPr>
            <w:tcW w:w="340" w:type="dxa"/>
            <w:vAlign w:val="bottom"/>
            <w:shd w:val="clear" w:color="auto" w:fill="E5FFFF"/>
          </w:tcPr>
          <w:p>
            <w:pPr>
              <w:spacing w:after="0"/>
              <w:rPr>
                <w:sz w:val="22"/>
                <w:szCs w:val="22"/>
                <w:color w:val="auto"/>
              </w:rPr>
            </w:pPr>
          </w:p>
        </w:tc>
        <w:tc>
          <w:tcPr>
            <w:tcW w:w="300" w:type="dxa"/>
            <w:vAlign w:val="bottom"/>
            <w:tcBorders>
              <w:bottom w:val="single" w:sz="8" w:color="auto"/>
            </w:tcBorders>
            <w:shd w:val="clear" w:color="auto" w:fill="E5FFFF"/>
          </w:tcPr>
          <w:p>
            <w:pPr>
              <w:spacing w:after="0"/>
              <w:rPr>
                <w:sz w:val="22"/>
                <w:szCs w:val="22"/>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(331)</w:t>
            </w:r>
          </w:p>
        </w:tc>
        <w:tc>
          <w:tcPr>
            <w:tcW w:w="320" w:type="dxa"/>
            <w:vAlign w:val="bottom"/>
            <w:shd w:val="clear" w:color="auto" w:fill="E5FFFF"/>
          </w:tcPr>
          <w:p>
            <w:pPr>
              <w:spacing w:after="0"/>
              <w:rPr>
                <w:sz w:val="22"/>
                <w:szCs w:val="22"/>
                <w:color w:val="auto"/>
              </w:rPr>
            </w:pPr>
          </w:p>
        </w:tc>
        <w:tc>
          <w:tcPr>
            <w:tcW w:w="500" w:type="dxa"/>
            <w:vAlign w:val="bottom"/>
            <w:tcBorders>
              <w:bottom w:val="single" w:sz="8" w:color="auto"/>
            </w:tcBorders>
            <w:shd w:val="clear" w:color="auto" w:fill="E5FFFF"/>
          </w:tcPr>
          <w:p>
            <w:pPr>
              <w:spacing w:after="0"/>
              <w:rPr>
                <w:sz w:val="22"/>
                <w:szCs w:val="22"/>
                <w:color w:val="auto"/>
              </w:rPr>
            </w:pP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3"/>
          </w:tcPr>
          <w:p>
            <w:pPr>
              <w:spacing w:after="0" w:line="197" w:lineRule="exact"/>
              <w:rPr>
                <w:sz w:val="20"/>
                <w:szCs w:val="20"/>
                <w:color w:val="auto"/>
              </w:rPr>
            </w:pPr>
            <w:r>
              <w:rPr>
                <w:rFonts w:ascii="Arial" w:cs="Arial" w:eastAsia="Arial" w:hAnsi="Arial"/>
                <w:sz w:val="18"/>
                <w:szCs w:val="18"/>
                <w:color w:val="auto"/>
              </w:rPr>
              <w:t>Income before taxes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1,523</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1,329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2,934</w:t>
            </w:r>
          </w:p>
        </w:tc>
        <w:tc>
          <w:tcPr>
            <w:tcW w:w="3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spacing w:after="0" w:line="211" w:lineRule="exact"/>
        <w:rPr>
          <w:rFonts w:ascii="Arial" w:cs="Arial" w:eastAsia="Arial" w:hAnsi="Arial"/>
          <w:sz w:val="18"/>
          <w:szCs w:val="18"/>
          <w:color w:val="auto"/>
        </w:rPr>
      </w:pPr>
    </w:p>
    <w:p>
      <w:pPr>
        <w:ind w:left="5620" w:right="2720" w:hanging="5612"/>
        <w:spacing w:after="0" w:line="465" w:lineRule="auto"/>
        <w:tabs>
          <w:tab w:leader="none" w:pos="338"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118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10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9"/>
        </w:trPr>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00" w:type="dxa"/>
            <w:vAlign w:val="bottom"/>
            <w:tcBorders>
              <w:bottom w:val="single" w:sz="8" w:color="E5FFFF"/>
            </w:tcBorders>
          </w:tcPr>
          <w:p>
            <w:pPr>
              <w:spacing w:after="0"/>
              <w:rPr>
                <w:sz w:val="15"/>
                <w:szCs w:val="15"/>
                <w:color w:val="auto"/>
              </w:rPr>
            </w:pPr>
          </w:p>
        </w:tc>
        <w:tc>
          <w:tcPr>
            <w:tcW w:w="820" w:type="dxa"/>
            <w:vAlign w:val="bottom"/>
            <w:tcBorders>
              <w:bottom w:val="single" w:sz="8" w:color="E5FFFF"/>
            </w:tcBorders>
          </w:tcPr>
          <w:p>
            <w:pPr>
              <w:spacing w:after="0"/>
              <w:rPr>
                <w:sz w:val="15"/>
                <w:szCs w:val="15"/>
                <w:color w:val="auto"/>
              </w:rPr>
            </w:pPr>
          </w:p>
        </w:tc>
        <w:tc>
          <w:tcPr>
            <w:tcW w:w="640" w:type="dxa"/>
            <w:vAlign w:val="bottom"/>
            <w:tcBorders>
              <w:bottom w:val="single" w:sz="8" w:color="E5FFFF"/>
            </w:tcBorders>
          </w:tcPr>
          <w:p>
            <w:pPr>
              <w:spacing w:after="0"/>
              <w:rPr>
                <w:sz w:val="15"/>
                <w:szCs w:val="15"/>
                <w:color w:val="auto"/>
              </w:rPr>
            </w:pPr>
          </w:p>
        </w:tc>
        <w:tc>
          <w:tcPr>
            <w:tcW w:w="60" w:type="dxa"/>
            <w:vAlign w:val="bottom"/>
            <w:tcBorders>
              <w:bottom w:val="single" w:sz="8" w:color="E5FFFF"/>
            </w:tcBorders>
          </w:tcPr>
          <w:p>
            <w:pPr>
              <w:spacing w:after="0"/>
              <w:rPr>
                <w:sz w:val="15"/>
                <w:szCs w:val="15"/>
                <w:color w:val="auto"/>
              </w:rPr>
            </w:pPr>
          </w:p>
        </w:tc>
        <w:tc>
          <w:tcPr>
            <w:tcW w:w="220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E5FFFF"/>
            </w:tcBorders>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E5FFFF"/>
            </w:tcBorders>
          </w:tcPr>
          <w:p>
            <w:pPr>
              <w:spacing w:after="0"/>
              <w:rPr>
                <w:sz w:val="15"/>
                <w:szCs w:val="15"/>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1100" w:type="dxa"/>
            <w:vAlign w:val="bottom"/>
            <w:tcBorders>
              <w:bottom w:val="single" w:sz="8" w:color="auto"/>
            </w:tcBorders>
            <w:shd w:val="clear" w:color="auto" w:fill="E5FFFF"/>
          </w:tcPr>
          <w:p>
            <w:pPr>
              <w:spacing w:after="0" w:line="129" w:lineRule="exact"/>
              <w:rPr>
                <w:sz w:val="20"/>
                <w:szCs w:val="20"/>
                <w:color w:val="auto"/>
              </w:rPr>
            </w:pPr>
            <w:r>
              <w:rPr>
                <w:rFonts w:ascii="Arial" w:cs="Arial" w:eastAsia="Arial" w:hAnsi="Arial"/>
                <w:sz w:val="14"/>
                <w:szCs w:val="14"/>
                <w:color w:val="auto"/>
              </w:rPr>
              <w:t>Aerospace Sales</w:t>
            </w:r>
          </w:p>
        </w:tc>
        <w:tc>
          <w:tcPr>
            <w:tcW w:w="3720" w:type="dxa"/>
            <w:vAlign w:val="bottom"/>
            <w:tcBorders>
              <w:bottom w:val="single" w:sz="8" w:color="E5FFFF"/>
            </w:tcBorders>
            <w:gridSpan w:val="4"/>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74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68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94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180" w:type="dxa"/>
            <w:vAlign w:val="bottom"/>
            <w:tcBorders>
              <w:bottom w:val="single" w:sz="8" w:color="E5FFFF"/>
            </w:tcBorders>
            <w:shd w:val="clear" w:color="auto" w:fill="E5FFFF"/>
          </w:tcPr>
          <w:p>
            <w:pPr>
              <w:spacing w:after="0"/>
              <w:rPr>
                <w:sz w:val="11"/>
                <w:szCs w:val="11"/>
                <w:color w:val="auto"/>
              </w:rPr>
            </w:pPr>
          </w:p>
        </w:tc>
        <w:tc>
          <w:tcPr>
            <w:tcW w:w="720" w:type="dxa"/>
            <w:vAlign w:val="bottom"/>
            <w:tcBorders>
              <w:bottom w:val="single" w:sz="8" w:color="E5FFFF"/>
            </w:tcBorders>
            <w:shd w:val="clear" w:color="auto" w:fill="E5FFFF"/>
          </w:tcPr>
          <w:p>
            <w:pPr>
              <w:spacing w:after="0"/>
              <w:rPr>
                <w:sz w:val="11"/>
                <w:szCs w:val="11"/>
                <w:color w:val="auto"/>
              </w:rPr>
            </w:pPr>
          </w:p>
        </w:tc>
        <w:tc>
          <w:tcPr>
            <w:tcW w:w="220" w:type="dxa"/>
            <w:vAlign w:val="bottom"/>
            <w:tcBorders>
              <w:bottom w:val="single" w:sz="8" w:color="E5FFFF"/>
            </w:tcBorders>
            <w:shd w:val="clear" w:color="auto" w:fill="E5FFFF"/>
          </w:tcPr>
          <w:p>
            <w:pPr>
              <w:spacing w:after="0"/>
              <w:rPr>
                <w:sz w:val="11"/>
                <w:szCs w:val="11"/>
                <w:color w:val="auto"/>
              </w:rPr>
            </w:pPr>
          </w:p>
        </w:tc>
        <w:tc>
          <w:tcPr>
            <w:tcW w:w="240" w:type="dxa"/>
            <w:vAlign w:val="bottom"/>
            <w:tcBorders>
              <w:bottom w:val="single" w:sz="8" w:color="E5FFFF"/>
            </w:tcBorders>
            <w:shd w:val="clear" w:color="auto" w:fill="E5FFFF"/>
          </w:tcPr>
          <w:p>
            <w:pPr>
              <w:spacing w:after="0"/>
              <w:rPr>
                <w:sz w:val="11"/>
                <w:szCs w:val="11"/>
                <w:color w:val="auto"/>
              </w:rPr>
            </w:pPr>
          </w:p>
        </w:tc>
        <w:tc>
          <w:tcPr>
            <w:tcW w:w="660" w:type="dxa"/>
            <w:vAlign w:val="bottom"/>
            <w:tcBorders>
              <w:bottom w:val="single" w:sz="8" w:color="E5FFFF"/>
            </w:tcBorders>
            <w:shd w:val="clear" w:color="auto" w:fill="E5FFFF"/>
          </w:tcPr>
          <w:p>
            <w:pPr>
              <w:spacing w:after="0"/>
              <w:rPr>
                <w:sz w:val="11"/>
                <w:szCs w:val="11"/>
                <w:color w:val="auto"/>
              </w:rPr>
            </w:pPr>
          </w:p>
        </w:tc>
        <w:tc>
          <w:tcPr>
            <w:tcW w:w="200" w:type="dxa"/>
            <w:vAlign w:val="bottom"/>
            <w:tcBorders>
              <w:bottom w:val="single" w:sz="8" w:color="E5FFFF"/>
            </w:tcBorders>
            <w:shd w:val="clear" w:color="auto" w:fill="E5FFFF"/>
          </w:tcPr>
          <w:p>
            <w:pPr>
              <w:spacing w:after="0"/>
              <w:rPr>
                <w:sz w:val="11"/>
                <w:szCs w:val="11"/>
                <w:color w:val="auto"/>
              </w:rPr>
            </w:pPr>
          </w:p>
        </w:tc>
        <w:tc>
          <w:tcPr>
            <w:tcW w:w="900" w:type="dxa"/>
            <w:vAlign w:val="bottom"/>
            <w:tcBorders>
              <w:bottom w:val="single" w:sz="8" w:color="E5FFFF"/>
            </w:tcBorders>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820" w:type="dxa"/>
            <w:vAlign w:val="bottom"/>
            <w:gridSpan w:val="5"/>
          </w:tcPr>
          <w:p>
            <w:pPr>
              <w:ind w:left="180"/>
              <w:spacing w:after="0" w:line="155"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gridSpan w:val="5"/>
            <w:shd w:val="clear" w:color="auto" w:fill="E5FFFF"/>
          </w:tcPr>
          <w:p>
            <w:pPr>
              <w:ind w:left="360"/>
              <w:spacing w:after="0"/>
              <w:rPr>
                <w:sz w:val="20"/>
                <w:szCs w:val="20"/>
                <w:color w:val="auto"/>
              </w:rPr>
            </w:pPr>
            <w:r>
              <w:rPr>
                <w:rFonts w:ascii="Arial" w:cs="Arial" w:eastAsia="Arial" w:hAnsi="Arial"/>
                <w:sz w:val="14"/>
                <w:szCs w:val="14"/>
                <w:color w:val="auto"/>
              </w:rPr>
              <w:t>Original Equipment</w:t>
            </w:r>
          </w:p>
        </w:tc>
        <w:tc>
          <w:tcPr>
            <w:tcW w:w="180" w:type="dxa"/>
            <w:vAlign w:val="bottom"/>
            <w:shd w:val="clear" w:color="auto" w:fill="E5FFFF"/>
          </w:tcPr>
          <w:p>
            <w:pPr>
              <w:spacing w:after="0"/>
              <w:rPr>
                <w:sz w:val="14"/>
                <w:szCs w:val="14"/>
                <w:color w:val="auto"/>
              </w:rPr>
            </w:pPr>
          </w:p>
        </w:tc>
        <w:tc>
          <w:tcPr>
            <w:tcW w:w="74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94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9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5"/>
          </w:tcPr>
          <w:p>
            <w:pPr>
              <w:ind w:left="540"/>
              <w:spacing w:after="0"/>
              <w:rPr>
                <w:sz w:val="20"/>
                <w:szCs w:val="20"/>
                <w:color w:val="auto"/>
              </w:rPr>
            </w:pPr>
            <w:r>
              <w:rPr>
                <w:rFonts w:ascii="Arial" w:cs="Arial" w:eastAsia="Arial" w:hAnsi="Arial"/>
                <w:sz w:val="14"/>
                <w:szCs w:val="14"/>
                <w:color w:val="auto"/>
              </w:rPr>
              <w:t>Air transport and regional</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460</w:t>
            </w:r>
          </w:p>
        </w:tc>
        <w:tc>
          <w:tcPr>
            <w:tcW w:w="2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430</w:t>
            </w:r>
          </w:p>
        </w:tc>
        <w:tc>
          <w:tcPr>
            <w:tcW w:w="1180" w:type="dxa"/>
            <w:vAlign w:val="bottom"/>
            <w:gridSpan w:val="2"/>
          </w:tcPr>
          <w:p>
            <w:pPr>
              <w:jc w:val="right"/>
              <w:ind w:right="268"/>
              <w:spacing w:after="0"/>
              <w:rPr>
                <w:sz w:val="20"/>
                <w:szCs w:val="20"/>
                <w:color w:val="auto"/>
              </w:rPr>
            </w:pPr>
            <w:r>
              <w:rPr>
                <w:rFonts w:ascii="Arial" w:cs="Arial" w:eastAsia="Arial" w:hAnsi="Arial"/>
                <w:sz w:val="14"/>
                <w:szCs w:val="14"/>
                <w:color w:val="auto"/>
              </w:rPr>
              <w:t>7%</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900</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881</w:t>
            </w:r>
          </w:p>
        </w:tc>
        <w:tc>
          <w:tcPr>
            <w:tcW w:w="1100" w:type="dxa"/>
            <w:vAlign w:val="bottom"/>
            <w:gridSpan w:val="2"/>
          </w:tcPr>
          <w:p>
            <w:pPr>
              <w:jc w:val="right"/>
              <w:ind w:right="2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4820" w:type="dxa"/>
            <w:vAlign w:val="bottom"/>
            <w:gridSpan w:val="5"/>
            <w:shd w:val="clear" w:color="auto" w:fill="E5FFFF"/>
          </w:tcPr>
          <w:p>
            <w:pPr>
              <w:ind w:left="540"/>
              <w:spacing w:after="0"/>
              <w:rPr>
                <w:sz w:val="20"/>
                <w:szCs w:val="20"/>
                <w:color w:val="auto"/>
              </w:rPr>
            </w:pPr>
            <w:r>
              <w:rPr>
                <w:rFonts w:ascii="Arial" w:cs="Arial" w:eastAsia="Arial" w:hAnsi="Arial"/>
                <w:sz w:val="14"/>
                <w:szCs w:val="14"/>
                <w:color w:val="auto"/>
              </w:rPr>
              <w:t>Business and general aviation</w:t>
            </w:r>
          </w:p>
        </w:tc>
        <w:tc>
          <w:tcPr>
            <w:tcW w:w="180" w:type="dxa"/>
            <w:vAlign w:val="bottom"/>
            <w:shd w:val="clear" w:color="auto" w:fill="E5FFFF"/>
          </w:tcPr>
          <w:p>
            <w:pPr>
              <w:spacing w:after="0"/>
              <w:rPr>
                <w:sz w:val="14"/>
                <w:szCs w:val="14"/>
                <w:color w:val="auto"/>
              </w:rPr>
            </w:pPr>
          </w:p>
        </w:tc>
        <w:tc>
          <w:tcPr>
            <w:tcW w:w="74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236</w:t>
            </w:r>
          </w:p>
        </w:tc>
        <w:tc>
          <w:tcPr>
            <w:tcW w:w="24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264</w:t>
            </w:r>
          </w:p>
        </w:tc>
        <w:tc>
          <w:tcPr>
            <w:tcW w:w="1180" w:type="dxa"/>
            <w:vAlign w:val="bottom"/>
            <w:gridSpan w:val="2"/>
            <w:shd w:val="clear" w:color="auto" w:fill="E5FFFF"/>
          </w:tcPr>
          <w:p>
            <w:pPr>
              <w:jc w:val="right"/>
              <w:ind w:right="228"/>
              <w:spacing w:after="0"/>
              <w:rPr>
                <w:sz w:val="20"/>
                <w:szCs w:val="20"/>
                <w:color w:val="auto"/>
              </w:rPr>
            </w:pPr>
            <w:r>
              <w:rPr>
                <w:rFonts w:ascii="Arial" w:cs="Arial" w:eastAsia="Arial" w:hAnsi="Arial"/>
                <w:sz w:val="14"/>
                <w:szCs w:val="14"/>
                <w:color w:val="auto"/>
              </w:rPr>
              <w:t>(11)%</w:t>
            </w:r>
          </w:p>
        </w:tc>
        <w:tc>
          <w:tcPr>
            <w:tcW w:w="2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480</w:t>
            </w:r>
          </w:p>
        </w:tc>
        <w:tc>
          <w:tcPr>
            <w:tcW w:w="2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6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493</w:t>
            </w:r>
          </w:p>
        </w:tc>
        <w:tc>
          <w:tcPr>
            <w:tcW w:w="1100" w:type="dxa"/>
            <w:vAlign w:val="bottom"/>
            <w:gridSpan w:val="2"/>
            <w:shd w:val="clear" w:color="auto" w:fill="E5FFFF"/>
          </w:tcPr>
          <w:p>
            <w:pPr>
              <w:jc w:val="right"/>
              <w:ind w:right="18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4820" w:type="dxa"/>
            <w:vAlign w:val="bottom"/>
            <w:gridSpan w:val="5"/>
          </w:tcPr>
          <w:p>
            <w:pPr>
              <w:ind w:left="360"/>
              <w:spacing w:after="0"/>
              <w:rPr>
                <w:sz w:val="20"/>
                <w:szCs w:val="20"/>
                <w:color w:val="auto"/>
              </w:rPr>
            </w:pPr>
            <w:r>
              <w:rPr>
                <w:rFonts w:ascii="Arial" w:cs="Arial" w:eastAsia="Arial" w:hAnsi="Arial"/>
                <w:sz w:val="14"/>
                <w:szCs w:val="14"/>
                <w:color w:val="auto"/>
              </w:rPr>
              <w:t>Aftermarket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5"/>
            <w:shd w:val="clear" w:color="auto" w:fill="E5FFFF"/>
          </w:tcPr>
          <w:p>
            <w:pPr>
              <w:ind w:left="540"/>
              <w:spacing w:after="0"/>
              <w:rPr>
                <w:sz w:val="20"/>
                <w:szCs w:val="20"/>
                <w:color w:val="auto"/>
              </w:rPr>
            </w:pPr>
            <w:r>
              <w:rPr>
                <w:rFonts w:ascii="Arial" w:cs="Arial" w:eastAsia="Arial" w:hAnsi="Arial"/>
                <w:sz w:val="14"/>
                <w:szCs w:val="14"/>
                <w:color w:val="auto"/>
              </w:rPr>
              <w:t>Air transport and regional</w:t>
            </w:r>
          </w:p>
        </w:tc>
        <w:tc>
          <w:tcPr>
            <w:tcW w:w="180" w:type="dxa"/>
            <w:vAlign w:val="bottom"/>
            <w:shd w:val="clear" w:color="auto" w:fill="E5FFFF"/>
          </w:tcPr>
          <w:p>
            <w:pPr>
              <w:spacing w:after="0"/>
              <w:rPr>
                <w:sz w:val="14"/>
                <w:szCs w:val="14"/>
                <w:color w:val="auto"/>
              </w:rPr>
            </w:pPr>
          </w:p>
        </w:tc>
        <w:tc>
          <w:tcPr>
            <w:tcW w:w="74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747</w:t>
            </w:r>
          </w:p>
        </w:tc>
        <w:tc>
          <w:tcPr>
            <w:tcW w:w="24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736</w:t>
            </w:r>
          </w:p>
        </w:tc>
        <w:tc>
          <w:tcPr>
            <w:tcW w:w="1180" w:type="dxa"/>
            <w:vAlign w:val="bottom"/>
            <w:gridSpan w:val="2"/>
            <w:shd w:val="clear" w:color="auto" w:fill="E5FFFF"/>
          </w:tcPr>
          <w:p>
            <w:pPr>
              <w:jc w:val="right"/>
              <w:ind w:right="268"/>
              <w:spacing w:after="0"/>
              <w:rPr>
                <w:sz w:val="20"/>
                <w:szCs w:val="20"/>
                <w:color w:val="auto"/>
              </w:rPr>
            </w:pPr>
            <w:r>
              <w:rPr>
                <w:rFonts w:ascii="Arial" w:cs="Arial" w:eastAsia="Arial" w:hAnsi="Arial"/>
                <w:sz w:val="14"/>
                <w:szCs w:val="14"/>
                <w:color w:val="auto"/>
              </w:rPr>
              <w:t>1%</w:t>
            </w:r>
          </w:p>
        </w:tc>
        <w:tc>
          <w:tcPr>
            <w:tcW w:w="2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1,464</w:t>
            </w:r>
          </w:p>
        </w:tc>
        <w:tc>
          <w:tcPr>
            <w:tcW w:w="2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6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1,436</w:t>
            </w:r>
          </w:p>
        </w:tc>
        <w:tc>
          <w:tcPr>
            <w:tcW w:w="1100" w:type="dxa"/>
            <w:vAlign w:val="bottom"/>
            <w:gridSpan w:val="2"/>
            <w:shd w:val="clear" w:color="auto" w:fill="E5FFFF"/>
          </w:tcPr>
          <w:p>
            <w:pPr>
              <w:jc w:val="right"/>
              <w:ind w:right="2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4820" w:type="dxa"/>
            <w:vAlign w:val="bottom"/>
            <w:gridSpan w:val="5"/>
          </w:tcPr>
          <w:p>
            <w:pPr>
              <w:ind w:left="540"/>
              <w:spacing w:after="0"/>
              <w:rPr>
                <w:sz w:val="20"/>
                <w:szCs w:val="20"/>
                <w:color w:val="auto"/>
              </w:rPr>
            </w:pPr>
            <w:r>
              <w:rPr>
                <w:rFonts w:ascii="Arial" w:cs="Arial" w:eastAsia="Arial" w:hAnsi="Arial"/>
                <w:sz w:val="14"/>
                <w:szCs w:val="14"/>
                <w:color w:val="auto"/>
              </w:rPr>
              <w:t>Business and general aviation</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371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1180" w:type="dxa"/>
            <w:vAlign w:val="bottom"/>
            <w:gridSpan w:val="2"/>
          </w:tcPr>
          <w:p>
            <w:pPr>
              <w:jc w:val="right"/>
              <w:ind w:right="22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736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713</w:t>
            </w:r>
          </w:p>
        </w:tc>
        <w:tc>
          <w:tcPr>
            <w:tcW w:w="1100" w:type="dxa"/>
            <w:vAlign w:val="bottom"/>
            <w:gridSpan w:val="2"/>
          </w:tcPr>
          <w:p>
            <w:pPr>
              <w:jc w:val="right"/>
              <w:ind w:right="2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4820" w:type="dxa"/>
            <w:vAlign w:val="bottom"/>
            <w:gridSpan w:val="5"/>
            <w:shd w:val="clear" w:color="auto" w:fill="E5FFFF"/>
          </w:tcPr>
          <w:p>
            <w:pPr>
              <w:ind w:left="180"/>
              <w:spacing w:after="0"/>
              <w:rPr>
                <w:sz w:val="20"/>
                <w:szCs w:val="20"/>
                <w:color w:val="auto"/>
              </w:rPr>
            </w:pPr>
            <w:r>
              <w:rPr>
                <w:rFonts w:ascii="Arial" w:cs="Arial" w:eastAsia="Arial" w:hAnsi="Arial"/>
                <w:sz w:val="14"/>
                <w:szCs w:val="14"/>
                <w:color w:val="auto"/>
              </w:rPr>
              <w:t>Defense and Space</w:t>
            </w:r>
          </w:p>
        </w:tc>
        <w:tc>
          <w:tcPr>
            <w:tcW w:w="180" w:type="dxa"/>
            <w:vAlign w:val="bottom"/>
            <w:tcBorders>
              <w:bottom w:val="single" w:sz="8" w:color="auto"/>
            </w:tcBorders>
            <w:shd w:val="clear" w:color="auto" w:fill="E5FFFF"/>
          </w:tcPr>
          <w:p>
            <w:pPr>
              <w:spacing w:after="0"/>
              <w:rPr>
                <w:sz w:val="15"/>
                <w:szCs w:val="15"/>
                <w:color w:val="auto"/>
              </w:rPr>
            </w:pPr>
          </w:p>
        </w:tc>
        <w:tc>
          <w:tcPr>
            <w:tcW w:w="74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1,177</w:t>
            </w:r>
          </w:p>
        </w:tc>
        <w:tc>
          <w:tcPr>
            <w:tcW w:w="240" w:type="dxa"/>
            <w:vAlign w:val="bottom"/>
            <w:shd w:val="clear" w:color="auto" w:fill="E5FFFF"/>
          </w:tcPr>
          <w:p>
            <w:pPr>
              <w:spacing w:after="0"/>
              <w:rPr>
                <w:sz w:val="15"/>
                <w:szCs w:val="15"/>
                <w:color w:val="auto"/>
              </w:rPr>
            </w:pPr>
          </w:p>
        </w:tc>
        <w:tc>
          <w:tcPr>
            <w:tcW w:w="240" w:type="dxa"/>
            <w:vAlign w:val="bottom"/>
            <w:tcBorders>
              <w:bottom w:val="single" w:sz="8" w:color="auto"/>
            </w:tcBorders>
            <w:shd w:val="clear" w:color="auto" w:fill="E5FFFF"/>
          </w:tcPr>
          <w:p>
            <w:pPr>
              <w:spacing w:after="0"/>
              <w:rPr>
                <w:sz w:val="15"/>
                <w:szCs w:val="15"/>
                <w:color w:val="auto"/>
              </w:rPr>
            </w:pPr>
          </w:p>
        </w:tc>
        <w:tc>
          <w:tcPr>
            <w:tcW w:w="68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1,193</w:t>
            </w:r>
          </w:p>
        </w:tc>
        <w:tc>
          <w:tcPr>
            <w:tcW w:w="1180" w:type="dxa"/>
            <w:vAlign w:val="bottom"/>
            <w:gridSpan w:val="2"/>
            <w:shd w:val="clear" w:color="auto" w:fill="E5FFFF"/>
          </w:tcPr>
          <w:p>
            <w:pPr>
              <w:jc w:val="right"/>
              <w:ind w:right="228"/>
              <w:spacing w:after="0"/>
              <w:rPr>
                <w:sz w:val="20"/>
                <w:szCs w:val="20"/>
                <w:color w:val="auto"/>
              </w:rPr>
            </w:pPr>
            <w:r>
              <w:rPr>
                <w:rFonts w:ascii="Arial" w:cs="Arial" w:eastAsia="Arial" w:hAnsi="Arial"/>
                <w:sz w:val="14"/>
                <w:szCs w:val="14"/>
                <w:color w:val="auto"/>
              </w:rPr>
              <w:t>(1)%</w:t>
            </w:r>
          </w:p>
        </w:tc>
        <w:tc>
          <w:tcPr>
            <w:tcW w:w="220" w:type="dxa"/>
            <w:vAlign w:val="bottom"/>
            <w:shd w:val="clear" w:color="auto" w:fill="E5FFFF"/>
          </w:tcPr>
          <w:p>
            <w:pPr>
              <w:spacing w:after="0"/>
              <w:rPr>
                <w:sz w:val="15"/>
                <w:szCs w:val="15"/>
                <w:color w:val="auto"/>
              </w:rPr>
            </w:pPr>
          </w:p>
        </w:tc>
        <w:tc>
          <w:tcPr>
            <w:tcW w:w="180" w:type="dxa"/>
            <w:vAlign w:val="bottom"/>
            <w:tcBorders>
              <w:bottom w:val="single" w:sz="8" w:color="auto"/>
            </w:tcBorders>
            <w:shd w:val="clear" w:color="auto" w:fill="E5FFFF"/>
          </w:tcPr>
          <w:p>
            <w:pPr>
              <w:spacing w:after="0"/>
              <w:rPr>
                <w:sz w:val="15"/>
                <w:szCs w:val="15"/>
                <w:color w:val="auto"/>
              </w:rPr>
            </w:pPr>
          </w:p>
        </w:tc>
        <w:tc>
          <w:tcPr>
            <w:tcW w:w="720" w:type="dxa"/>
            <w:vAlign w:val="bottom"/>
            <w:tcBorders>
              <w:bottom w:val="single" w:sz="8" w:color="auto"/>
            </w:tcBorders>
            <w:shd w:val="clear" w:color="auto" w:fill="E5FFFF"/>
          </w:tcPr>
          <w:p>
            <w:pPr>
              <w:jc w:val="right"/>
              <w:ind w:right="28"/>
              <w:spacing w:after="0"/>
              <w:rPr>
                <w:sz w:val="20"/>
                <w:szCs w:val="20"/>
                <w:color w:val="auto"/>
              </w:rPr>
            </w:pPr>
            <w:r>
              <w:rPr>
                <w:rFonts w:ascii="Arial" w:cs="Arial" w:eastAsia="Arial" w:hAnsi="Arial"/>
                <w:sz w:val="14"/>
                <w:szCs w:val="14"/>
                <w:color w:val="auto"/>
              </w:rPr>
              <w:t>2,269</w:t>
            </w:r>
          </w:p>
        </w:tc>
        <w:tc>
          <w:tcPr>
            <w:tcW w:w="220" w:type="dxa"/>
            <w:vAlign w:val="bottom"/>
            <w:shd w:val="clear" w:color="auto" w:fill="E5FFFF"/>
          </w:tcPr>
          <w:p>
            <w:pPr>
              <w:spacing w:after="0"/>
              <w:rPr>
                <w:sz w:val="15"/>
                <w:szCs w:val="15"/>
                <w:color w:val="auto"/>
              </w:rPr>
            </w:pPr>
          </w:p>
        </w:tc>
        <w:tc>
          <w:tcPr>
            <w:tcW w:w="240" w:type="dxa"/>
            <w:vAlign w:val="bottom"/>
            <w:tcBorders>
              <w:bottom w:val="single" w:sz="8" w:color="auto"/>
            </w:tcBorders>
            <w:shd w:val="clear" w:color="auto" w:fill="E5FFFF"/>
          </w:tcPr>
          <w:p>
            <w:pPr>
              <w:spacing w:after="0"/>
              <w:rPr>
                <w:sz w:val="15"/>
                <w:szCs w:val="15"/>
                <w:color w:val="auto"/>
              </w:rPr>
            </w:pPr>
          </w:p>
        </w:tc>
        <w:tc>
          <w:tcPr>
            <w:tcW w:w="66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2,385</w:t>
            </w:r>
          </w:p>
        </w:tc>
        <w:tc>
          <w:tcPr>
            <w:tcW w:w="1100" w:type="dxa"/>
            <w:vAlign w:val="bottom"/>
            <w:gridSpan w:val="2"/>
            <w:shd w:val="clear" w:color="auto" w:fill="E5FFFF"/>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1"/>
        </w:trPr>
        <w:tc>
          <w:tcPr>
            <w:tcW w:w="4820" w:type="dxa"/>
            <w:vAlign w:val="bottom"/>
            <w:gridSpan w:val="5"/>
          </w:tcPr>
          <w:p>
            <w:pPr>
              <w:ind w:left="720"/>
              <w:spacing w:after="0"/>
              <w:rPr>
                <w:sz w:val="20"/>
                <w:szCs w:val="20"/>
                <w:color w:val="auto"/>
              </w:rPr>
            </w:pPr>
            <w:r>
              <w:rPr>
                <w:rFonts w:ascii="Arial" w:cs="Arial" w:eastAsia="Arial" w:hAnsi="Arial"/>
                <w:sz w:val="14"/>
                <w:szCs w:val="14"/>
                <w:color w:val="auto"/>
              </w:rPr>
              <w:t>Total Aerospace Sales</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2,991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2,997</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5,849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5,908</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60" w:type="dxa"/>
            <w:vAlign w:val="bottom"/>
            <w:tcBorders>
              <w:bottom w:val="single" w:sz="8" w:color="auto"/>
            </w:tcBorders>
            <w:gridSpan w:val="3"/>
            <w:shd w:val="clear" w:color="auto" w:fill="E5FFFF"/>
          </w:tcPr>
          <w:p>
            <w:pPr>
              <w:spacing w:after="0" w:line="149" w:lineRule="exact"/>
              <w:rPr>
                <w:sz w:val="20"/>
                <w:szCs w:val="20"/>
                <w:color w:val="auto"/>
              </w:rPr>
            </w:pPr>
            <w:r>
              <w:rPr>
                <w:rFonts w:ascii="Arial" w:cs="Arial" w:eastAsia="Arial" w:hAnsi="Arial"/>
                <w:sz w:val="14"/>
                <w:szCs w:val="14"/>
                <w:color w:val="auto"/>
              </w:rPr>
              <w:t>Automation and Control Solutions Sales</w:t>
            </w:r>
          </w:p>
        </w:tc>
        <w:tc>
          <w:tcPr>
            <w:tcW w:w="2260" w:type="dxa"/>
            <w:vAlign w:val="bottom"/>
            <w:tcBorders>
              <w:bottom w:val="single" w:sz="8" w:color="E5FFFF"/>
            </w:tcBorders>
            <w:gridSpan w:val="2"/>
            <w:shd w:val="clear" w:color="auto" w:fill="E5FFFF"/>
          </w:tcPr>
          <w:p>
            <w:pPr>
              <w:spacing w:after="0"/>
              <w:rPr>
                <w:sz w:val="12"/>
                <w:szCs w:val="12"/>
                <w:color w:val="auto"/>
              </w:rPr>
            </w:pPr>
          </w:p>
        </w:tc>
        <w:tc>
          <w:tcPr>
            <w:tcW w:w="180" w:type="dxa"/>
            <w:vAlign w:val="bottom"/>
            <w:tcBorders>
              <w:bottom w:val="single" w:sz="8" w:color="E5FFFF"/>
            </w:tcBorders>
            <w:shd w:val="clear" w:color="auto" w:fill="E5FFFF"/>
          </w:tcPr>
          <w:p>
            <w:pPr>
              <w:spacing w:after="0"/>
              <w:rPr>
                <w:sz w:val="12"/>
                <w:szCs w:val="12"/>
                <w:color w:val="auto"/>
              </w:rPr>
            </w:pPr>
          </w:p>
        </w:tc>
        <w:tc>
          <w:tcPr>
            <w:tcW w:w="740" w:type="dxa"/>
            <w:vAlign w:val="bottom"/>
            <w:tcBorders>
              <w:bottom w:val="single" w:sz="8" w:color="E5FFFF"/>
            </w:tcBorders>
            <w:shd w:val="clear" w:color="auto" w:fill="E5FFFF"/>
          </w:tcPr>
          <w:p>
            <w:pPr>
              <w:spacing w:after="0"/>
              <w:rPr>
                <w:sz w:val="12"/>
                <w:szCs w:val="12"/>
                <w:color w:val="auto"/>
              </w:rPr>
            </w:pPr>
          </w:p>
        </w:tc>
        <w:tc>
          <w:tcPr>
            <w:tcW w:w="240" w:type="dxa"/>
            <w:vAlign w:val="bottom"/>
            <w:tcBorders>
              <w:bottom w:val="single" w:sz="8" w:color="E5FFFF"/>
            </w:tcBorders>
            <w:shd w:val="clear" w:color="auto" w:fill="E5FFFF"/>
          </w:tcPr>
          <w:p>
            <w:pPr>
              <w:spacing w:after="0"/>
              <w:rPr>
                <w:sz w:val="12"/>
                <w:szCs w:val="12"/>
                <w:color w:val="auto"/>
              </w:rPr>
            </w:pPr>
          </w:p>
        </w:tc>
        <w:tc>
          <w:tcPr>
            <w:tcW w:w="240" w:type="dxa"/>
            <w:vAlign w:val="bottom"/>
            <w:tcBorders>
              <w:bottom w:val="single" w:sz="8" w:color="E5FFFF"/>
            </w:tcBorders>
            <w:shd w:val="clear" w:color="auto" w:fill="E5FFFF"/>
          </w:tcPr>
          <w:p>
            <w:pPr>
              <w:spacing w:after="0"/>
              <w:rPr>
                <w:sz w:val="12"/>
                <w:szCs w:val="12"/>
                <w:color w:val="auto"/>
              </w:rPr>
            </w:pPr>
          </w:p>
        </w:tc>
        <w:tc>
          <w:tcPr>
            <w:tcW w:w="680" w:type="dxa"/>
            <w:vAlign w:val="bottom"/>
            <w:tcBorders>
              <w:bottom w:val="single" w:sz="8" w:color="E5FFFF"/>
            </w:tcBorders>
            <w:shd w:val="clear" w:color="auto" w:fill="E5FFFF"/>
          </w:tcPr>
          <w:p>
            <w:pPr>
              <w:spacing w:after="0"/>
              <w:rPr>
                <w:sz w:val="12"/>
                <w:szCs w:val="12"/>
                <w:color w:val="auto"/>
              </w:rPr>
            </w:pPr>
          </w:p>
        </w:tc>
        <w:tc>
          <w:tcPr>
            <w:tcW w:w="240" w:type="dxa"/>
            <w:vAlign w:val="bottom"/>
            <w:tcBorders>
              <w:bottom w:val="single" w:sz="8" w:color="E5FFFF"/>
            </w:tcBorders>
            <w:shd w:val="clear" w:color="auto" w:fill="E5FFFF"/>
          </w:tcPr>
          <w:p>
            <w:pPr>
              <w:spacing w:after="0"/>
              <w:rPr>
                <w:sz w:val="12"/>
                <w:szCs w:val="12"/>
                <w:color w:val="auto"/>
              </w:rPr>
            </w:pPr>
          </w:p>
        </w:tc>
        <w:tc>
          <w:tcPr>
            <w:tcW w:w="94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180" w:type="dxa"/>
            <w:vAlign w:val="bottom"/>
            <w:tcBorders>
              <w:bottom w:val="single" w:sz="8" w:color="E5FFFF"/>
            </w:tcBorders>
            <w:shd w:val="clear" w:color="auto" w:fill="E5FFFF"/>
          </w:tcPr>
          <w:p>
            <w:pPr>
              <w:spacing w:after="0"/>
              <w:rPr>
                <w:sz w:val="12"/>
                <w:szCs w:val="12"/>
                <w:color w:val="auto"/>
              </w:rPr>
            </w:pPr>
          </w:p>
        </w:tc>
        <w:tc>
          <w:tcPr>
            <w:tcW w:w="720" w:type="dxa"/>
            <w:vAlign w:val="bottom"/>
            <w:tcBorders>
              <w:bottom w:val="single" w:sz="8" w:color="E5FFFF"/>
            </w:tcBorders>
            <w:shd w:val="clear" w:color="auto" w:fill="E5FFFF"/>
          </w:tcPr>
          <w:p>
            <w:pPr>
              <w:spacing w:after="0"/>
              <w:rPr>
                <w:sz w:val="12"/>
                <w:szCs w:val="12"/>
                <w:color w:val="auto"/>
              </w:rPr>
            </w:pPr>
          </w:p>
        </w:tc>
        <w:tc>
          <w:tcPr>
            <w:tcW w:w="220" w:type="dxa"/>
            <w:vAlign w:val="bottom"/>
            <w:tcBorders>
              <w:bottom w:val="single" w:sz="8" w:color="E5FFFF"/>
            </w:tcBorders>
            <w:shd w:val="clear" w:color="auto" w:fill="E5FFFF"/>
          </w:tcPr>
          <w:p>
            <w:pPr>
              <w:spacing w:after="0"/>
              <w:rPr>
                <w:sz w:val="12"/>
                <w:szCs w:val="12"/>
                <w:color w:val="auto"/>
              </w:rPr>
            </w:pPr>
          </w:p>
        </w:tc>
        <w:tc>
          <w:tcPr>
            <w:tcW w:w="240" w:type="dxa"/>
            <w:vAlign w:val="bottom"/>
            <w:tcBorders>
              <w:bottom w:val="single" w:sz="8" w:color="E5FFFF"/>
            </w:tcBorders>
            <w:shd w:val="clear" w:color="auto" w:fill="E5FFFF"/>
          </w:tcPr>
          <w:p>
            <w:pPr>
              <w:spacing w:after="0"/>
              <w:rPr>
                <w:sz w:val="12"/>
                <w:szCs w:val="12"/>
                <w:color w:val="auto"/>
              </w:rPr>
            </w:pPr>
          </w:p>
        </w:tc>
        <w:tc>
          <w:tcPr>
            <w:tcW w:w="660" w:type="dxa"/>
            <w:vAlign w:val="bottom"/>
            <w:tcBorders>
              <w:bottom w:val="single" w:sz="8" w:color="E5FFFF"/>
            </w:tcBorders>
            <w:shd w:val="clear" w:color="auto" w:fill="E5FFFF"/>
          </w:tcPr>
          <w:p>
            <w:pPr>
              <w:spacing w:after="0"/>
              <w:rPr>
                <w:sz w:val="12"/>
                <w:szCs w:val="12"/>
                <w:color w:val="auto"/>
              </w:rPr>
            </w:pPr>
          </w:p>
        </w:tc>
        <w:tc>
          <w:tcPr>
            <w:tcW w:w="200" w:type="dxa"/>
            <w:vAlign w:val="bottom"/>
            <w:tcBorders>
              <w:bottom w:val="single" w:sz="8" w:color="E5FFFF"/>
            </w:tcBorders>
            <w:shd w:val="clear" w:color="auto" w:fill="E5FFFF"/>
          </w:tcPr>
          <w:p>
            <w:pPr>
              <w:spacing w:after="0"/>
              <w:rPr>
                <w:sz w:val="12"/>
                <w:szCs w:val="12"/>
                <w:color w:val="auto"/>
              </w:rPr>
            </w:pPr>
          </w:p>
        </w:tc>
        <w:tc>
          <w:tcPr>
            <w:tcW w:w="900" w:type="dxa"/>
            <w:vAlign w:val="bottom"/>
            <w:tcBorders>
              <w:bottom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20" w:type="dxa"/>
            <w:vAlign w:val="bottom"/>
            <w:gridSpan w:val="5"/>
          </w:tcPr>
          <w:p>
            <w:pPr>
              <w:ind w:left="180"/>
              <w:spacing w:after="0" w:line="155" w:lineRule="exact"/>
              <w:rPr>
                <w:sz w:val="20"/>
                <w:szCs w:val="20"/>
                <w:color w:val="auto"/>
              </w:rPr>
            </w:pPr>
            <w:r>
              <w:rPr>
                <w:rFonts w:ascii="Arial" w:cs="Arial" w:eastAsia="Arial" w:hAnsi="Arial"/>
                <w:sz w:val="14"/>
                <w:szCs w:val="14"/>
                <w:color w:val="auto"/>
              </w:rPr>
              <w:t>Energy Safety &amp; Security</w:t>
            </w:r>
          </w:p>
        </w:tc>
        <w:tc>
          <w:tcPr>
            <w:tcW w:w="180" w:type="dxa"/>
            <w:vAlign w:val="bottom"/>
          </w:tcPr>
          <w:p>
            <w:pPr>
              <w:spacing w:after="0"/>
              <w:rPr>
                <w:sz w:val="13"/>
                <w:szCs w:val="13"/>
                <w:color w:val="auto"/>
              </w:rPr>
            </w:pP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2,394</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2,081</w:t>
            </w:r>
          </w:p>
        </w:tc>
        <w:tc>
          <w:tcPr>
            <w:tcW w:w="1180" w:type="dxa"/>
            <w:vAlign w:val="bottom"/>
            <w:gridSpan w:val="2"/>
          </w:tcPr>
          <w:p>
            <w:pPr>
              <w:jc w:val="right"/>
              <w:ind w:right="268"/>
              <w:spacing w:after="0" w:line="155"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4,695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4,084</w:t>
            </w:r>
          </w:p>
        </w:tc>
        <w:tc>
          <w:tcPr>
            <w:tcW w:w="1100" w:type="dxa"/>
            <w:vAlign w:val="bottom"/>
            <w:gridSpan w:val="2"/>
          </w:tcPr>
          <w:p>
            <w:pPr>
              <w:jc w:val="right"/>
              <w:ind w:right="248"/>
              <w:spacing w:after="0" w:line="155"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6"/>
        </w:trPr>
        <w:tc>
          <w:tcPr>
            <w:tcW w:w="4820" w:type="dxa"/>
            <w:vAlign w:val="bottom"/>
            <w:gridSpan w:val="5"/>
            <w:shd w:val="clear" w:color="auto" w:fill="E5FFFF"/>
          </w:tcPr>
          <w:p>
            <w:pPr>
              <w:ind w:left="180"/>
              <w:spacing w:after="0"/>
              <w:rPr>
                <w:sz w:val="20"/>
                <w:szCs w:val="20"/>
                <w:color w:val="auto"/>
              </w:rPr>
            </w:pPr>
            <w:r>
              <w:rPr>
                <w:rFonts w:ascii="Arial" w:cs="Arial" w:eastAsia="Arial" w:hAnsi="Arial"/>
                <w:sz w:val="14"/>
                <w:szCs w:val="14"/>
                <w:color w:val="auto"/>
              </w:rPr>
              <w:t>Building Solutions &amp; Distribution</w:t>
            </w:r>
          </w:p>
        </w:tc>
        <w:tc>
          <w:tcPr>
            <w:tcW w:w="180" w:type="dxa"/>
            <w:vAlign w:val="bottom"/>
            <w:tcBorders>
              <w:bottom w:val="single" w:sz="8" w:color="auto"/>
            </w:tcBorders>
            <w:shd w:val="clear" w:color="auto" w:fill="E5FFFF"/>
          </w:tcPr>
          <w:p>
            <w:pPr>
              <w:spacing w:after="0"/>
              <w:rPr>
                <w:sz w:val="15"/>
                <w:szCs w:val="15"/>
                <w:color w:val="auto"/>
              </w:rPr>
            </w:pPr>
          </w:p>
        </w:tc>
        <w:tc>
          <w:tcPr>
            <w:tcW w:w="74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1,213</w:t>
            </w:r>
          </w:p>
        </w:tc>
        <w:tc>
          <w:tcPr>
            <w:tcW w:w="240" w:type="dxa"/>
            <w:vAlign w:val="bottom"/>
            <w:shd w:val="clear" w:color="auto" w:fill="E5FFFF"/>
          </w:tcPr>
          <w:p>
            <w:pPr>
              <w:spacing w:after="0"/>
              <w:rPr>
                <w:sz w:val="15"/>
                <w:szCs w:val="15"/>
                <w:color w:val="auto"/>
              </w:rPr>
            </w:pPr>
          </w:p>
        </w:tc>
        <w:tc>
          <w:tcPr>
            <w:tcW w:w="240" w:type="dxa"/>
            <w:vAlign w:val="bottom"/>
            <w:tcBorders>
              <w:bottom w:val="single" w:sz="8" w:color="auto"/>
            </w:tcBorders>
            <w:shd w:val="clear" w:color="auto" w:fill="E5FFFF"/>
          </w:tcPr>
          <w:p>
            <w:pPr>
              <w:spacing w:after="0"/>
              <w:rPr>
                <w:sz w:val="15"/>
                <w:szCs w:val="15"/>
                <w:color w:val="auto"/>
              </w:rPr>
            </w:pPr>
          </w:p>
        </w:tc>
        <w:tc>
          <w:tcPr>
            <w:tcW w:w="68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1,189</w:t>
            </w:r>
          </w:p>
        </w:tc>
        <w:tc>
          <w:tcPr>
            <w:tcW w:w="1180" w:type="dxa"/>
            <w:vAlign w:val="bottom"/>
            <w:gridSpan w:val="2"/>
            <w:shd w:val="clear" w:color="auto" w:fill="E5FFFF"/>
          </w:tcPr>
          <w:p>
            <w:pPr>
              <w:jc w:val="right"/>
              <w:ind w:right="268"/>
              <w:spacing w:after="0"/>
              <w:rPr>
                <w:sz w:val="20"/>
                <w:szCs w:val="20"/>
                <w:color w:val="auto"/>
              </w:rPr>
            </w:pPr>
            <w:r>
              <w:rPr>
                <w:rFonts w:ascii="Arial" w:cs="Arial" w:eastAsia="Arial" w:hAnsi="Arial"/>
                <w:sz w:val="14"/>
                <w:szCs w:val="14"/>
                <w:color w:val="auto"/>
              </w:rPr>
              <w:t>2%</w:t>
            </w:r>
          </w:p>
        </w:tc>
        <w:tc>
          <w:tcPr>
            <w:tcW w:w="220" w:type="dxa"/>
            <w:vAlign w:val="bottom"/>
            <w:shd w:val="clear" w:color="auto" w:fill="E5FFFF"/>
          </w:tcPr>
          <w:p>
            <w:pPr>
              <w:spacing w:after="0"/>
              <w:rPr>
                <w:sz w:val="15"/>
                <w:szCs w:val="15"/>
                <w:color w:val="auto"/>
              </w:rPr>
            </w:pPr>
          </w:p>
        </w:tc>
        <w:tc>
          <w:tcPr>
            <w:tcW w:w="180" w:type="dxa"/>
            <w:vAlign w:val="bottom"/>
            <w:tcBorders>
              <w:bottom w:val="single" w:sz="8" w:color="auto"/>
            </w:tcBorders>
            <w:shd w:val="clear" w:color="auto" w:fill="E5FFFF"/>
          </w:tcPr>
          <w:p>
            <w:pPr>
              <w:spacing w:after="0"/>
              <w:rPr>
                <w:sz w:val="15"/>
                <w:szCs w:val="15"/>
                <w:color w:val="auto"/>
              </w:rPr>
            </w:pPr>
          </w:p>
        </w:tc>
        <w:tc>
          <w:tcPr>
            <w:tcW w:w="720" w:type="dxa"/>
            <w:vAlign w:val="bottom"/>
            <w:tcBorders>
              <w:bottom w:val="single" w:sz="8" w:color="auto"/>
            </w:tcBorders>
            <w:shd w:val="clear" w:color="auto" w:fill="E5FFFF"/>
          </w:tcPr>
          <w:p>
            <w:pPr>
              <w:jc w:val="right"/>
              <w:ind w:right="28"/>
              <w:spacing w:after="0"/>
              <w:rPr>
                <w:sz w:val="20"/>
                <w:szCs w:val="20"/>
                <w:color w:val="auto"/>
              </w:rPr>
            </w:pPr>
            <w:r>
              <w:rPr>
                <w:rFonts w:ascii="Arial" w:cs="Arial" w:eastAsia="Arial" w:hAnsi="Arial"/>
                <w:sz w:val="14"/>
                <w:szCs w:val="14"/>
                <w:color w:val="auto"/>
              </w:rPr>
              <w:t>2,274</w:t>
            </w:r>
          </w:p>
        </w:tc>
        <w:tc>
          <w:tcPr>
            <w:tcW w:w="220" w:type="dxa"/>
            <w:vAlign w:val="bottom"/>
            <w:shd w:val="clear" w:color="auto" w:fill="E5FFFF"/>
          </w:tcPr>
          <w:p>
            <w:pPr>
              <w:spacing w:after="0"/>
              <w:rPr>
                <w:sz w:val="15"/>
                <w:szCs w:val="15"/>
                <w:color w:val="auto"/>
              </w:rPr>
            </w:pPr>
          </w:p>
        </w:tc>
        <w:tc>
          <w:tcPr>
            <w:tcW w:w="240" w:type="dxa"/>
            <w:vAlign w:val="bottom"/>
            <w:tcBorders>
              <w:bottom w:val="single" w:sz="8" w:color="auto"/>
            </w:tcBorders>
            <w:shd w:val="clear" w:color="auto" w:fill="E5FFFF"/>
          </w:tcPr>
          <w:p>
            <w:pPr>
              <w:spacing w:after="0"/>
              <w:rPr>
                <w:sz w:val="15"/>
                <w:szCs w:val="15"/>
                <w:color w:val="auto"/>
              </w:rPr>
            </w:pPr>
          </w:p>
        </w:tc>
        <w:tc>
          <w:tcPr>
            <w:tcW w:w="66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2,265</w:t>
            </w:r>
          </w:p>
        </w:tc>
        <w:tc>
          <w:tcPr>
            <w:tcW w:w="1100" w:type="dxa"/>
            <w:vAlign w:val="bottom"/>
            <w:gridSpan w:val="2"/>
            <w:shd w:val="clear" w:color="auto" w:fill="E5FFFF"/>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820" w:type="dxa"/>
            <w:vAlign w:val="bottom"/>
            <w:gridSpan w:val="5"/>
          </w:tcPr>
          <w:p>
            <w:pPr>
              <w:ind w:left="720"/>
              <w:spacing w:after="0" w:line="142" w:lineRule="exact"/>
              <w:rPr>
                <w:sz w:val="20"/>
                <w:szCs w:val="20"/>
                <w:color w:val="auto"/>
              </w:rPr>
            </w:pPr>
            <w:r>
              <w:rPr>
                <w:rFonts w:ascii="Arial" w:cs="Arial" w:eastAsia="Arial" w:hAnsi="Arial"/>
                <w:sz w:val="14"/>
                <w:szCs w:val="14"/>
                <w:color w:val="auto"/>
              </w:rPr>
              <w:t>Total Automation and Control</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5"/>
            <w:shd w:val="clear" w:color="auto" w:fill="E5FFFF"/>
          </w:tcPr>
          <w:p>
            <w:pPr>
              <w:ind w:left="900"/>
              <w:spacing w:after="0"/>
              <w:rPr>
                <w:sz w:val="20"/>
                <w:szCs w:val="20"/>
                <w:color w:val="auto"/>
              </w:rPr>
            </w:pPr>
            <w:r>
              <w:rPr>
                <w:rFonts w:ascii="Arial" w:cs="Arial" w:eastAsia="Arial" w:hAnsi="Arial"/>
                <w:sz w:val="14"/>
                <w:szCs w:val="14"/>
                <w:color w:val="auto"/>
              </w:rPr>
              <w:t>Solutions Sales</w:t>
            </w:r>
          </w:p>
        </w:tc>
        <w:tc>
          <w:tcPr>
            <w:tcW w:w="180" w:type="dxa"/>
            <w:vAlign w:val="bottom"/>
            <w:shd w:val="clear" w:color="auto" w:fill="E5FFFF"/>
          </w:tcPr>
          <w:p>
            <w:pPr>
              <w:spacing w:after="0"/>
              <w:rPr>
                <w:sz w:val="14"/>
                <w:szCs w:val="14"/>
                <w:color w:val="auto"/>
              </w:rPr>
            </w:pPr>
          </w:p>
        </w:tc>
        <w:tc>
          <w:tcPr>
            <w:tcW w:w="74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3,607</w:t>
            </w:r>
          </w:p>
        </w:tc>
        <w:tc>
          <w:tcPr>
            <w:tcW w:w="24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3,270</w:t>
            </w:r>
          </w:p>
        </w:tc>
        <w:tc>
          <w:tcPr>
            <w:tcW w:w="240" w:type="dxa"/>
            <w:vAlign w:val="bottom"/>
            <w:shd w:val="clear" w:color="auto" w:fill="E5FFFF"/>
          </w:tcPr>
          <w:p>
            <w:pPr>
              <w:spacing w:after="0"/>
              <w:rPr>
                <w:sz w:val="14"/>
                <w:szCs w:val="14"/>
                <w:color w:val="auto"/>
              </w:rPr>
            </w:pPr>
          </w:p>
        </w:tc>
        <w:tc>
          <w:tcPr>
            <w:tcW w:w="94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6,969</w:t>
            </w:r>
          </w:p>
        </w:tc>
        <w:tc>
          <w:tcPr>
            <w:tcW w:w="2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6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6,349</w:t>
            </w:r>
          </w:p>
        </w:tc>
        <w:tc>
          <w:tcPr>
            <w:tcW w:w="200" w:type="dxa"/>
            <w:vAlign w:val="bottom"/>
            <w:shd w:val="clear" w:color="auto" w:fill="E5FFFF"/>
          </w:tcPr>
          <w:p>
            <w:pPr>
              <w:spacing w:after="0"/>
              <w:rPr>
                <w:sz w:val="14"/>
                <w:szCs w:val="14"/>
                <w:color w:val="auto"/>
              </w:rPr>
            </w:pPr>
          </w:p>
        </w:tc>
        <w:tc>
          <w:tcPr>
            <w:tcW w:w="9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Performance Materials and Technologies</w:t>
            </w: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20" w:type="dxa"/>
            <w:vAlign w:val="bottom"/>
            <w:gridSpan w:val="5"/>
            <w:shd w:val="clear" w:color="auto" w:fill="E5FFFF"/>
          </w:tcPr>
          <w:p>
            <w:pPr>
              <w:ind w:left="180"/>
              <w:spacing w:after="0" w:line="155" w:lineRule="exact"/>
              <w:rPr>
                <w:sz w:val="20"/>
                <w:szCs w:val="20"/>
                <w:color w:val="auto"/>
              </w:rPr>
            </w:pPr>
            <w:r>
              <w:rPr>
                <w:rFonts w:ascii="Arial" w:cs="Arial" w:eastAsia="Arial" w:hAnsi="Arial"/>
                <w:sz w:val="14"/>
                <w:szCs w:val="14"/>
                <w:color w:val="auto"/>
              </w:rPr>
              <w:t>UOP</w:t>
            </w:r>
          </w:p>
        </w:tc>
        <w:tc>
          <w:tcPr>
            <w:tcW w:w="180" w:type="dxa"/>
            <w:vAlign w:val="bottom"/>
            <w:shd w:val="clear" w:color="auto" w:fill="E5FFFF"/>
          </w:tcPr>
          <w:p>
            <w:pPr>
              <w:spacing w:after="0"/>
              <w:rPr>
                <w:sz w:val="13"/>
                <w:szCs w:val="13"/>
                <w:color w:val="auto"/>
              </w:rPr>
            </w:pPr>
          </w:p>
        </w:tc>
        <w:tc>
          <w:tcPr>
            <w:tcW w:w="740" w:type="dxa"/>
            <w:vAlign w:val="bottom"/>
            <w:shd w:val="clear" w:color="auto" w:fill="E5FFFF"/>
          </w:tcPr>
          <w:p>
            <w:pPr>
              <w:jc w:val="right"/>
              <w:ind w:right="48"/>
              <w:spacing w:after="0" w:line="155" w:lineRule="exact"/>
              <w:rPr>
                <w:sz w:val="20"/>
                <w:szCs w:val="20"/>
                <w:color w:val="auto"/>
              </w:rPr>
            </w:pPr>
            <w:r>
              <w:rPr>
                <w:rFonts w:ascii="Arial" w:cs="Arial" w:eastAsia="Arial" w:hAnsi="Arial"/>
                <w:sz w:val="14"/>
                <w:szCs w:val="14"/>
                <w:color w:val="auto"/>
              </w:rPr>
              <w:t>828</w:t>
            </w:r>
          </w:p>
        </w:tc>
        <w:tc>
          <w:tcPr>
            <w:tcW w:w="24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680" w:type="dxa"/>
            <w:vAlign w:val="bottom"/>
            <w:shd w:val="clear" w:color="auto" w:fill="E5FFFF"/>
          </w:tcPr>
          <w:p>
            <w:pPr>
              <w:jc w:val="right"/>
              <w:ind w:right="48"/>
              <w:spacing w:after="0" w:line="155" w:lineRule="exact"/>
              <w:rPr>
                <w:sz w:val="20"/>
                <w:szCs w:val="20"/>
                <w:color w:val="auto"/>
              </w:rPr>
            </w:pPr>
            <w:r>
              <w:rPr>
                <w:rFonts w:ascii="Arial" w:cs="Arial" w:eastAsia="Arial" w:hAnsi="Arial"/>
                <w:sz w:val="14"/>
                <w:szCs w:val="14"/>
                <w:color w:val="auto"/>
              </w:rPr>
              <w:t>707</w:t>
            </w:r>
          </w:p>
        </w:tc>
        <w:tc>
          <w:tcPr>
            <w:tcW w:w="1180" w:type="dxa"/>
            <w:vAlign w:val="bottom"/>
            <w:gridSpan w:val="2"/>
            <w:shd w:val="clear" w:color="auto" w:fill="E5FFFF"/>
          </w:tcPr>
          <w:p>
            <w:pPr>
              <w:jc w:val="right"/>
              <w:ind w:right="268"/>
              <w:spacing w:after="0" w:line="155" w:lineRule="exact"/>
              <w:rPr>
                <w:sz w:val="20"/>
                <w:szCs w:val="20"/>
                <w:color w:val="auto"/>
              </w:rPr>
            </w:pPr>
            <w:r>
              <w:rPr>
                <w:rFonts w:ascii="Arial" w:cs="Arial" w:eastAsia="Arial" w:hAnsi="Arial"/>
                <w:sz w:val="14"/>
                <w:szCs w:val="14"/>
                <w:color w:val="auto"/>
              </w:rPr>
              <w:t>17%</w:t>
            </w:r>
          </w:p>
        </w:tc>
        <w:tc>
          <w:tcPr>
            <w:tcW w:w="220" w:type="dxa"/>
            <w:vAlign w:val="bottom"/>
            <w:shd w:val="clear" w:color="auto" w:fill="E5FFFF"/>
          </w:tcPr>
          <w:p>
            <w:pPr>
              <w:spacing w:after="0"/>
              <w:rPr>
                <w:sz w:val="13"/>
                <w:szCs w:val="13"/>
                <w:color w:val="auto"/>
              </w:rPr>
            </w:pPr>
          </w:p>
        </w:tc>
        <w:tc>
          <w:tcPr>
            <w:tcW w:w="180" w:type="dxa"/>
            <w:vAlign w:val="bottom"/>
            <w:shd w:val="clear" w:color="auto" w:fill="E5FFFF"/>
          </w:tcPr>
          <w:p>
            <w:pPr>
              <w:spacing w:after="0"/>
              <w:rPr>
                <w:sz w:val="13"/>
                <w:szCs w:val="13"/>
                <w:color w:val="auto"/>
              </w:rPr>
            </w:pPr>
          </w:p>
        </w:tc>
        <w:tc>
          <w:tcPr>
            <w:tcW w:w="720" w:type="dxa"/>
            <w:vAlign w:val="bottom"/>
            <w:shd w:val="clear" w:color="auto" w:fill="E5FFFF"/>
          </w:tcPr>
          <w:p>
            <w:pPr>
              <w:jc w:val="right"/>
              <w:ind w:right="28"/>
              <w:spacing w:after="0" w:line="155" w:lineRule="exact"/>
              <w:rPr>
                <w:sz w:val="20"/>
                <w:szCs w:val="20"/>
                <w:color w:val="auto"/>
              </w:rPr>
            </w:pPr>
            <w:r>
              <w:rPr>
                <w:rFonts w:ascii="Arial" w:cs="Arial" w:eastAsia="Arial" w:hAnsi="Arial"/>
                <w:sz w:val="14"/>
                <w:szCs w:val="14"/>
                <w:color w:val="auto"/>
              </w:rPr>
              <w:t>1,674</w:t>
            </w:r>
          </w:p>
        </w:tc>
        <w:tc>
          <w:tcPr>
            <w:tcW w:w="22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660" w:type="dxa"/>
            <w:vAlign w:val="bottom"/>
            <w:shd w:val="clear" w:color="auto" w:fill="E5FFFF"/>
          </w:tcPr>
          <w:p>
            <w:pPr>
              <w:jc w:val="right"/>
              <w:ind w:right="48"/>
              <w:spacing w:after="0" w:line="155" w:lineRule="exact"/>
              <w:rPr>
                <w:sz w:val="20"/>
                <w:szCs w:val="20"/>
                <w:color w:val="auto"/>
              </w:rPr>
            </w:pPr>
            <w:r>
              <w:rPr>
                <w:rFonts w:ascii="Arial" w:cs="Arial" w:eastAsia="Arial" w:hAnsi="Arial"/>
                <w:sz w:val="14"/>
                <w:szCs w:val="14"/>
                <w:color w:val="auto"/>
              </w:rPr>
              <w:t>1,482</w:t>
            </w:r>
          </w:p>
        </w:tc>
        <w:tc>
          <w:tcPr>
            <w:tcW w:w="1100" w:type="dxa"/>
            <w:vAlign w:val="bottom"/>
            <w:gridSpan w:val="2"/>
            <w:shd w:val="clear" w:color="auto" w:fill="E5FFFF"/>
          </w:tcPr>
          <w:p>
            <w:pPr>
              <w:jc w:val="right"/>
              <w:ind w:right="248"/>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4820" w:type="dxa"/>
            <w:vAlign w:val="bottom"/>
            <w:gridSpan w:val="5"/>
          </w:tcPr>
          <w:p>
            <w:pPr>
              <w:ind w:left="180"/>
              <w:spacing w:after="0"/>
              <w:rPr>
                <w:sz w:val="20"/>
                <w:szCs w:val="20"/>
                <w:color w:val="auto"/>
              </w:rPr>
            </w:pPr>
            <w:r>
              <w:rPr>
                <w:rFonts w:ascii="Arial" w:cs="Arial" w:eastAsia="Arial" w:hAnsi="Arial"/>
                <w:sz w:val="14"/>
                <w:szCs w:val="14"/>
                <w:color w:val="auto"/>
              </w:rPr>
              <w:t>Process Solutions</w:t>
            </w:r>
          </w:p>
        </w:tc>
        <w:tc>
          <w:tcPr>
            <w:tcW w:w="1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786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795</w:t>
            </w:r>
          </w:p>
        </w:tc>
        <w:tc>
          <w:tcPr>
            <w:tcW w:w="1180" w:type="dxa"/>
            <w:vAlign w:val="bottom"/>
            <w:gridSpan w:val="2"/>
          </w:tcPr>
          <w:p>
            <w:pPr>
              <w:jc w:val="right"/>
              <w:ind w:right="22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1,498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1,502</w:t>
            </w:r>
          </w:p>
        </w:tc>
        <w:tc>
          <w:tcPr>
            <w:tcW w:w="110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820" w:type="dxa"/>
            <w:vAlign w:val="bottom"/>
            <w:gridSpan w:val="5"/>
            <w:shd w:val="clear" w:color="auto" w:fill="E5FFFF"/>
          </w:tcPr>
          <w:p>
            <w:pPr>
              <w:ind w:left="180"/>
              <w:spacing w:after="0"/>
              <w:rPr>
                <w:sz w:val="20"/>
                <w:szCs w:val="20"/>
                <w:color w:val="auto"/>
              </w:rPr>
            </w:pPr>
            <w:r>
              <w:rPr>
                <w:rFonts w:ascii="Arial" w:cs="Arial" w:eastAsia="Arial" w:hAnsi="Arial"/>
                <w:sz w:val="14"/>
                <w:szCs w:val="14"/>
                <w:color w:val="auto"/>
              </w:rPr>
              <w:t>Advanced Materials</w:t>
            </w:r>
          </w:p>
        </w:tc>
        <w:tc>
          <w:tcPr>
            <w:tcW w:w="180" w:type="dxa"/>
            <w:vAlign w:val="bottom"/>
            <w:tcBorders>
              <w:bottom w:val="single" w:sz="8" w:color="auto"/>
            </w:tcBorders>
            <w:shd w:val="clear" w:color="auto" w:fill="E5FFFF"/>
          </w:tcPr>
          <w:p>
            <w:pPr>
              <w:spacing w:after="0"/>
              <w:rPr>
                <w:sz w:val="15"/>
                <w:szCs w:val="15"/>
                <w:color w:val="auto"/>
              </w:rPr>
            </w:pPr>
          </w:p>
        </w:tc>
        <w:tc>
          <w:tcPr>
            <w:tcW w:w="74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1,022</w:t>
            </w:r>
          </w:p>
        </w:tc>
        <w:tc>
          <w:tcPr>
            <w:tcW w:w="240" w:type="dxa"/>
            <w:vAlign w:val="bottom"/>
            <w:shd w:val="clear" w:color="auto" w:fill="E5FFFF"/>
          </w:tcPr>
          <w:p>
            <w:pPr>
              <w:spacing w:after="0"/>
              <w:rPr>
                <w:sz w:val="15"/>
                <w:szCs w:val="15"/>
                <w:color w:val="auto"/>
              </w:rPr>
            </w:pPr>
          </w:p>
        </w:tc>
        <w:tc>
          <w:tcPr>
            <w:tcW w:w="240" w:type="dxa"/>
            <w:vAlign w:val="bottom"/>
            <w:tcBorders>
              <w:bottom w:val="single" w:sz="8" w:color="auto"/>
            </w:tcBorders>
            <w:shd w:val="clear" w:color="auto" w:fill="E5FFFF"/>
          </w:tcPr>
          <w:p>
            <w:pPr>
              <w:spacing w:after="0"/>
              <w:rPr>
                <w:sz w:val="15"/>
                <w:szCs w:val="15"/>
                <w:color w:val="auto"/>
              </w:rPr>
            </w:pPr>
          </w:p>
        </w:tc>
        <w:tc>
          <w:tcPr>
            <w:tcW w:w="68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977</w:t>
            </w:r>
          </w:p>
        </w:tc>
        <w:tc>
          <w:tcPr>
            <w:tcW w:w="1180" w:type="dxa"/>
            <w:vAlign w:val="bottom"/>
            <w:gridSpan w:val="2"/>
            <w:shd w:val="clear" w:color="auto" w:fill="E5FFFF"/>
          </w:tcPr>
          <w:p>
            <w:pPr>
              <w:jc w:val="right"/>
              <w:ind w:right="268"/>
              <w:spacing w:after="0"/>
              <w:rPr>
                <w:sz w:val="20"/>
                <w:szCs w:val="20"/>
                <w:color w:val="auto"/>
              </w:rPr>
            </w:pPr>
            <w:r>
              <w:rPr>
                <w:rFonts w:ascii="Arial" w:cs="Arial" w:eastAsia="Arial" w:hAnsi="Arial"/>
                <w:sz w:val="14"/>
                <w:szCs w:val="14"/>
                <w:color w:val="auto"/>
              </w:rPr>
              <w:t>5%</w:t>
            </w:r>
          </w:p>
        </w:tc>
        <w:tc>
          <w:tcPr>
            <w:tcW w:w="220" w:type="dxa"/>
            <w:vAlign w:val="bottom"/>
            <w:shd w:val="clear" w:color="auto" w:fill="E5FFFF"/>
          </w:tcPr>
          <w:p>
            <w:pPr>
              <w:spacing w:after="0"/>
              <w:rPr>
                <w:sz w:val="15"/>
                <w:szCs w:val="15"/>
                <w:color w:val="auto"/>
              </w:rPr>
            </w:pPr>
          </w:p>
        </w:tc>
        <w:tc>
          <w:tcPr>
            <w:tcW w:w="180" w:type="dxa"/>
            <w:vAlign w:val="bottom"/>
            <w:tcBorders>
              <w:bottom w:val="single" w:sz="8" w:color="auto"/>
            </w:tcBorders>
            <w:shd w:val="clear" w:color="auto" w:fill="E5FFFF"/>
          </w:tcPr>
          <w:p>
            <w:pPr>
              <w:spacing w:after="0"/>
              <w:rPr>
                <w:sz w:val="15"/>
                <w:szCs w:val="15"/>
                <w:color w:val="auto"/>
              </w:rPr>
            </w:pPr>
          </w:p>
        </w:tc>
        <w:tc>
          <w:tcPr>
            <w:tcW w:w="720" w:type="dxa"/>
            <w:vAlign w:val="bottom"/>
            <w:tcBorders>
              <w:bottom w:val="single" w:sz="8" w:color="auto"/>
            </w:tcBorders>
            <w:shd w:val="clear" w:color="auto" w:fill="E5FFFF"/>
          </w:tcPr>
          <w:p>
            <w:pPr>
              <w:jc w:val="right"/>
              <w:ind w:right="28"/>
              <w:spacing w:after="0"/>
              <w:rPr>
                <w:sz w:val="20"/>
                <w:szCs w:val="20"/>
                <w:color w:val="auto"/>
              </w:rPr>
            </w:pPr>
            <w:r>
              <w:rPr>
                <w:rFonts w:ascii="Arial" w:cs="Arial" w:eastAsia="Arial" w:hAnsi="Arial"/>
                <w:sz w:val="14"/>
                <w:szCs w:val="14"/>
                <w:color w:val="auto"/>
              </w:rPr>
              <w:t>1,930</w:t>
            </w:r>
          </w:p>
        </w:tc>
        <w:tc>
          <w:tcPr>
            <w:tcW w:w="220" w:type="dxa"/>
            <w:vAlign w:val="bottom"/>
            <w:shd w:val="clear" w:color="auto" w:fill="E5FFFF"/>
          </w:tcPr>
          <w:p>
            <w:pPr>
              <w:spacing w:after="0"/>
              <w:rPr>
                <w:sz w:val="15"/>
                <w:szCs w:val="15"/>
                <w:color w:val="auto"/>
              </w:rPr>
            </w:pPr>
          </w:p>
        </w:tc>
        <w:tc>
          <w:tcPr>
            <w:tcW w:w="240" w:type="dxa"/>
            <w:vAlign w:val="bottom"/>
            <w:tcBorders>
              <w:bottom w:val="single" w:sz="8" w:color="auto"/>
            </w:tcBorders>
            <w:shd w:val="clear" w:color="auto" w:fill="E5FFFF"/>
          </w:tcPr>
          <w:p>
            <w:pPr>
              <w:spacing w:after="0"/>
              <w:rPr>
                <w:sz w:val="15"/>
                <w:szCs w:val="15"/>
                <w:color w:val="auto"/>
              </w:rPr>
            </w:pPr>
          </w:p>
        </w:tc>
        <w:tc>
          <w:tcPr>
            <w:tcW w:w="66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1,919</w:t>
            </w:r>
          </w:p>
        </w:tc>
        <w:tc>
          <w:tcPr>
            <w:tcW w:w="1100" w:type="dxa"/>
            <w:vAlign w:val="bottom"/>
            <w:gridSpan w:val="2"/>
            <w:shd w:val="clear" w:color="auto" w:fill="E5FFFF"/>
          </w:tcPr>
          <w:p>
            <w:pPr>
              <w:jc w:val="right"/>
              <w:ind w:right="2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4820" w:type="dxa"/>
            <w:vAlign w:val="bottom"/>
            <w:gridSpan w:val="5"/>
          </w:tcPr>
          <w:p>
            <w:pPr>
              <w:ind w:left="720"/>
              <w:spacing w:after="0" w:line="142" w:lineRule="exact"/>
              <w:rPr>
                <w:sz w:val="20"/>
                <w:szCs w:val="20"/>
                <w:color w:val="auto"/>
              </w:rPr>
            </w:pPr>
            <w:r>
              <w:rPr>
                <w:rFonts w:ascii="Arial" w:cs="Arial" w:eastAsia="Arial" w:hAnsi="Arial"/>
                <w:sz w:val="14"/>
                <w:szCs w:val="14"/>
                <w:color w:val="auto"/>
              </w:rPr>
              <w:t>Total Performance Materials and</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5"/>
            <w:shd w:val="clear" w:color="auto" w:fill="E5FFFF"/>
          </w:tcPr>
          <w:p>
            <w:pPr>
              <w:ind w:left="900"/>
              <w:spacing w:after="0"/>
              <w:rPr>
                <w:sz w:val="20"/>
                <w:szCs w:val="20"/>
                <w:color w:val="auto"/>
              </w:rPr>
            </w:pPr>
            <w:r>
              <w:rPr>
                <w:rFonts w:ascii="Arial" w:cs="Arial" w:eastAsia="Arial" w:hAnsi="Arial"/>
                <w:sz w:val="14"/>
                <w:szCs w:val="14"/>
                <w:color w:val="auto"/>
              </w:rPr>
              <w:t>Technologies Sales</w:t>
            </w:r>
          </w:p>
        </w:tc>
        <w:tc>
          <w:tcPr>
            <w:tcW w:w="180" w:type="dxa"/>
            <w:vAlign w:val="bottom"/>
            <w:shd w:val="clear" w:color="auto" w:fill="E5FFFF"/>
          </w:tcPr>
          <w:p>
            <w:pPr>
              <w:spacing w:after="0"/>
              <w:rPr>
                <w:sz w:val="14"/>
                <w:szCs w:val="14"/>
                <w:color w:val="auto"/>
              </w:rPr>
            </w:pPr>
          </w:p>
        </w:tc>
        <w:tc>
          <w:tcPr>
            <w:tcW w:w="74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2,636</w:t>
            </w:r>
          </w:p>
        </w:tc>
        <w:tc>
          <w:tcPr>
            <w:tcW w:w="24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2,479</w:t>
            </w:r>
          </w:p>
        </w:tc>
        <w:tc>
          <w:tcPr>
            <w:tcW w:w="240" w:type="dxa"/>
            <w:vAlign w:val="bottom"/>
            <w:shd w:val="clear" w:color="auto" w:fill="E5FFFF"/>
          </w:tcPr>
          <w:p>
            <w:pPr>
              <w:spacing w:after="0"/>
              <w:rPr>
                <w:sz w:val="14"/>
                <w:szCs w:val="14"/>
                <w:color w:val="auto"/>
              </w:rPr>
            </w:pPr>
          </w:p>
        </w:tc>
        <w:tc>
          <w:tcPr>
            <w:tcW w:w="94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2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5,102</w:t>
            </w:r>
          </w:p>
        </w:tc>
        <w:tc>
          <w:tcPr>
            <w:tcW w:w="2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66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4,903</w:t>
            </w:r>
          </w:p>
        </w:tc>
        <w:tc>
          <w:tcPr>
            <w:tcW w:w="200" w:type="dxa"/>
            <w:vAlign w:val="bottom"/>
            <w:shd w:val="clear" w:color="auto" w:fill="E5FFFF"/>
          </w:tcPr>
          <w:p>
            <w:pPr>
              <w:spacing w:after="0"/>
              <w:rPr>
                <w:sz w:val="14"/>
                <w:szCs w:val="14"/>
                <w:color w:val="auto"/>
              </w:rPr>
            </w:pPr>
          </w:p>
        </w:tc>
        <w:tc>
          <w:tcPr>
            <w:tcW w:w="9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4820" w:type="dxa"/>
            <w:vAlign w:val="bottom"/>
            <w:gridSpan w:val="5"/>
          </w:tcPr>
          <w:p>
            <w:pPr>
              <w:spacing w:after="0"/>
              <w:rPr>
                <w:sz w:val="20"/>
                <w:szCs w:val="20"/>
                <w:color w:val="auto"/>
              </w:rPr>
            </w:pPr>
            <w:r>
              <w:rPr>
                <w:rFonts w:ascii="Arial" w:cs="Arial" w:eastAsia="Arial" w:hAnsi="Arial"/>
                <w:sz w:val="14"/>
                <w:szCs w:val="14"/>
                <w:color w:val="auto"/>
              </w:rPr>
              <w:t>Transportation Systems Sales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920" w:type="dxa"/>
            <w:vAlign w:val="bottom"/>
            <w:tcBorders>
              <w:top w:val="single" w:sz="8" w:color="auto"/>
            </w:tcBorders>
            <w:gridSpan w:val="2"/>
            <w:shd w:val="clear" w:color="auto" w:fill="E5FFFF"/>
          </w:tcPr>
          <w:p>
            <w:pPr>
              <w:ind w:left="180"/>
              <w:spacing w:after="0"/>
              <w:rPr>
                <w:sz w:val="20"/>
                <w:szCs w:val="20"/>
                <w:color w:val="auto"/>
              </w:rPr>
            </w:pPr>
            <w:r>
              <w:rPr>
                <w:rFonts w:ascii="Arial" w:cs="Arial" w:eastAsia="Arial" w:hAnsi="Arial"/>
                <w:sz w:val="14"/>
                <w:szCs w:val="14"/>
                <w:color w:val="auto"/>
              </w:rPr>
              <w:t>Transportation Systems</w:t>
            </w:r>
          </w:p>
        </w:tc>
        <w:tc>
          <w:tcPr>
            <w:tcW w:w="2900" w:type="dxa"/>
            <w:vAlign w:val="bottom"/>
            <w:gridSpan w:val="3"/>
            <w:shd w:val="clear" w:color="auto" w:fill="E5FFFF"/>
          </w:tcPr>
          <w:p>
            <w:pPr>
              <w:spacing w:after="0"/>
              <w:rPr>
                <w:sz w:val="14"/>
                <w:szCs w:val="14"/>
                <w:color w:val="auto"/>
              </w:rPr>
            </w:pPr>
          </w:p>
        </w:tc>
        <w:tc>
          <w:tcPr>
            <w:tcW w:w="180" w:type="dxa"/>
            <w:vAlign w:val="bottom"/>
            <w:tcBorders>
              <w:bottom w:val="single" w:sz="8" w:color="auto"/>
            </w:tcBorders>
            <w:shd w:val="clear" w:color="auto" w:fill="E5FFFF"/>
          </w:tcPr>
          <w:p>
            <w:pPr>
              <w:spacing w:after="0"/>
              <w:rPr>
                <w:sz w:val="14"/>
                <w:szCs w:val="14"/>
                <w:color w:val="auto"/>
              </w:rPr>
            </w:pPr>
          </w:p>
        </w:tc>
        <w:tc>
          <w:tcPr>
            <w:tcW w:w="74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1,019</w:t>
            </w:r>
          </w:p>
        </w:tc>
        <w:tc>
          <w:tcPr>
            <w:tcW w:w="240" w:type="dxa"/>
            <w:vAlign w:val="bottom"/>
            <w:shd w:val="clear" w:color="auto" w:fill="E5FFFF"/>
          </w:tcPr>
          <w:p>
            <w:pPr>
              <w:spacing w:after="0"/>
              <w:rPr>
                <w:sz w:val="14"/>
                <w:szCs w:val="14"/>
                <w:color w:val="auto"/>
              </w:rPr>
            </w:pPr>
          </w:p>
        </w:tc>
        <w:tc>
          <w:tcPr>
            <w:tcW w:w="240" w:type="dxa"/>
            <w:vAlign w:val="bottom"/>
            <w:tcBorders>
              <w:bottom w:val="single" w:sz="8" w:color="auto"/>
            </w:tcBorders>
            <w:shd w:val="clear" w:color="auto" w:fill="E5FFFF"/>
          </w:tcPr>
          <w:p>
            <w:pPr>
              <w:spacing w:after="0"/>
              <w:rPr>
                <w:sz w:val="14"/>
                <w:szCs w:val="14"/>
                <w:color w:val="auto"/>
              </w:rPr>
            </w:pPr>
          </w:p>
        </w:tc>
        <w:tc>
          <w:tcPr>
            <w:tcW w:w="68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947</w:t>
            </w:r>
          </w:p>
        </w:tc>
        <w:tc>
          <w:tcPr>
            <w:tcW w:w="1180" w:type="dxa"/>
            <w:vAlign w:val="bottom"/>
            <w:gridSpan w:val="2"/>
            <w:shd w:val="clear" w:color="auto" w:fill="E5FFFF"/>
          </w:tcPr>
          <w:p>
            <w:pPr>
              <w:jc w:val="right"/>
              <w:ind w:right="268"/>
              <w:spacing w:after="0"/>
              <w:rPr>
                <w:sz w:val="20"/>
                <w:szCs w:val="20"/>
                <w:color w:val="auto"/>
              </w:rPr>
            </w:pPr>
            <w:r>
              <w:rPr>
                <w:rFonts w:ascii="Arial" w:cs="Arial" w:eastAsia="Arial" w:hAnsi="Arial"/>
                <w:sz w:val="14"/>
                <w:szCs w:val="14"/>
                <w:color w:val="auto"/>
              </w:rPr>
              <w:t>8%</w:t>
            </w:r>
          </w:p>
        </w:tc>
        <w:tc>
          <w:tcPr>
            <w:tcW w:w="220" w:type="dxa"/>
            <w:vAlign w:val="bottom"/>
            <w:shd w:val="clear" w:color="auto" w:fill="E5FFFF"/>
          </w:tcPr>
          <w:p>
            <w:pPr>
              <w:spacing w:after="0"/>
              <w:rPr>
                <w:sz w:val="14"/>
                <w:szCs w:val="14"/>
                <w:color w:val="auto"/>
              </w:rPr>
            </w:pPr>
          </w:p>
        </w:tc>
        <w:tc>
          <w:tcPr>
            <w:tcW w:w="180" w:type="dxa"/>
            <w:vAlign w:val="bottom"/>
            <w:tcBorders>
              <w:bottom w:val="single" w:sz="8" w:color="auto"/>
            </w:tcBorders>
            <w:shd w:val="clear" w:color="auto" w:fill="E5FFFF"/>
          </w:tcPr>
          <w:p>
            <w:pPr>
              <w:spacing w:after="0"/>
              <w:rPr>
                <w:sz w:val="14"/>
                <w:szCs w:val="14"/>
                <w:color w:val="auto"/>
              </w:rPr>
            </w:pPr>
          </w:p>
        </w:tc>
        <w:tc>
          <w:tcPr>
            <w:tcW w:w="720" w:type="dxa"/>
            <w:vAlign w:val="bottom"/>
            <w:tcBorders>
              <w:bottom w:val="single" w:sz="8" w:color="auto"/>
            </w:tcBorders>
            <w:shd w:val="clear" w:color="auto" w:fill="E5FFFF"/>
          </w:tcPr>
          <w:p>
            <w:pPr>
              <w:jc w:val="right"/>
              <w:ind w:right="28"/>
              <w:spacing w:after="0"/>
              <w:rPr>
                <w:sz w:val="20"/>
                <w:szCs w:val="20"/>
                <w:color w:val="auto"/>
              </w:rPr>
            </w:pPr>
            <w:r>
              <w:rPr>
                <w:rFonts w:ascii="Arial" w:cs="Arial" w:eastAsia="Arial" w:hAnsi="Arial"/>
                <w:sz w:val="14"/>
                <w:szCs w:val="14"/>
                <w:color w:val="auto"/>
              </w:rPr>
              <w:t>2,012</w:t>
            </w:r>
          </w:p>
        </w:tc>
        <w:tc>
          <w:tcPr>
            <w:tcW w:w="220" w:type="dxa"/>
            <w:vAlign w:val="bottom"/>
            <w:shd w:val="clear" w:color="auto" w:fill="E5FFFF"/>
          </w:tcPr>
          <w:p>
            <w:pPr>
              <w:spacing w:after="0"/>
              <w:rPr>
                <w:sz w:val="14"/>
                <w:szCs w:val="14"/>
                <w:color w:val="auto"/>
              </w:rPr>
            </w:pPr>
          </w:p>
        </w:tc>
        <w:tc>
          <w:tcPr>
            <w:tcW w:w="240" w:type="dxa"/>
            <w:vAlign w:val="bottom"/>
            <w:tcBorders>
              <w:bottom w:val="single" w:sz="8" w:color="auto"/>
            </w:tcBorders>
            <w:shd w:val="clear" w:color="auto" w:fill="E5FFFF"/>
          </w:tcPr>
          <w:p>
            <w:pPr>
              <w:spacing w:after="0"/>
              <w:rPr>
                <w:sz w:val="14"/>
                <w:szCs w:val="14"/>
                <w:color w:val="auto"/>
              </w:rPr>
            </w:pPr>
          </w:p>
        </w:tc>
        <w:tc>
          <w:tcPr>
            <w:tcW w:w="66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4"/>
                <w:szCs w:val="14"/>
                <w:color w:val="auto"/>
              </w:rPr>
              <w:t>1,861</w:t>
            </w:r>
          </w:p>
        </w:tc>
        <w:tc>
          <w:tcPr>
            <w:tcW w:w="1100" w:type="dxa"/>
            <w:vAlign w:val="bottom"/>
            <w:gridSpan w:val="2"/>
            <w:shd w:val="clear" w:color="auto" w:fill="E5FFFF"/>
          </w:tcPr>
          <w:p>
            <w:pPr>
              <w:jc w:val="right"/>
              <w:ind w:right="2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9"/>
        </w:trPr>
        <w:tc>
          <w:tcPr>
            <w:tcW w:w="4820" w:type="dxa"/>
            <w:vAlign w:val="bottom"/>
            <w:gridSpan w:val="5"/>
          </w:tcPr>
          <w:p>
            <w:pPr>
              <w:ind w:left="720"/>
              <w:spacing w:after="0"/>
              <w:rPr>
                <w:sz w:val="20"/>
                <w:szCs w:val="20"/>
                <w:color w:val="auto"/>
              </w:rPr>
            </w:pPr>
            <w:r>
              <w:rPr>
                <w:rFonts w:ascii="Arial" w:cs="Arial" w:eastAsia="Arial" w:hAnsi="Arial"/>
                <w:sz w:val="14"/>
                <w:szCs w:val="14"/>
                <w:color w:val="auto"/>
              </w:rPr>
              <w:t>Total Transportation Systems Sales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1,019</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947</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1,861</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gridSpan w:val="5"/>
            <w:shd w:val="clear" w:color="auto" w:fill="E5FFFF"/>
          </w:tcPr>
          <w:p>
            <w:pPr>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10,253</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9,693</w:t>
            </w:r>
          </w:p>
        </w:tc>
        <w:tc>
          <w:tcPr>
            <w:tcW w:w="24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40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5FFFF"/>
          </w:tcPr>
          <w:p>
            <w:pPr>
              <w:jc w:val="right"/>
              <w:ind w:right="28"/>
              <w:spacing w:after="0"/>
              <w:rPr>
                <w:sz w:val="20"/>
                <w:szCs w:val="20"/>
                <w:color w:val="auto"/>
              </w:rPr>
            </w:pPr>
            <w:r>
              <w:rPr>
                <w:rFonts w:ascii="Arial" w:cs="Arial" w:eastAsia="Arial" w:hAnsi="Arial"/>
                <w:sz w:val="14"/>
                <w:szCs w:val="14"/>
                <w:color w:val="auto"/>
              </w:rPr>
              <w:t>19,932</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8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E5FFFF"/>
          </w:tcPr>
          <w:p>
            <w:pPr>
              <w:jc w:val="right"/>
              <w:ind w:right="48"/>
              <w:spacing w:after="0"/>
              <w:rPr>
                <w:sz w:val="20"/>
                <w:szCs w:val="20"/>
                <w:color w:val="auto"/>
              </w:rPr>
            </w:pPr>
            <w:r>
              <w:rPr>
                <w:rFonts w:ascii="Arial" w:cs="Arial" w:eastAsia="Arial" w:hAnsi="Arial"/>
                <w:sz w:val="14"/>
                <w:szCs w:val="14"/>
                <w:color w:val="auto"/>
              </w:rPr>
              <w:t>19,021</w:t>
            </w: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E5FFFF"/>
            </w:tcBorders>
          </w:tcPr>
          <w:p>
            <w:pPr>
              <w:spacing w:after="0" w:line="20" w:lineRule="exact"/>
              <w:rPr>
                <w:sz w:val="1"/>
                <w:szCs w:val="1"/>
                <w:color w:val="auto"/>
              </w:rPr>
            </w:pPr>
          </w:p>
        </w:tc>
        <w:tc>
          <w:tcPr>
            <w:tcW w:w="820" w:type="dxa"/>
            <w:vAlign w:val="bottom"/>
            <w:tcBorders>
              <w:top w:val="single" w:sz="8" w:color="E5FFFF"/>
            </w:tcBorders>
          </w:tcPr>
          <w:p>
            <w:pPr>
              <w:spacing w:after="0" w:line="20" w:lineRule="exact"/>
              <w:rPr>
                <w:sz w:val="1"/>
                <w:szCs w:val="1"/>
                <w:color w:val="auto"/>
              </w:rPr>
            </w:pPr>
          </w:p>
        </w:tc>
        <w:tc>
          <w:tcPr>
            <w:tcW w:w="64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22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9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359"/>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299"/>
              <w:spacing w:after="0" w:line="143" w:lineRule="exact"/>
              <w:rPr>
                <w:sz w:val="20"/>
                <w:szCs w:val="20"/>
                <w:color w:val="auto"/>
              </w:rPr>
            </w:pPr>
            <w:r>
              <w:rPr>
                <w:rFonts w:ascii="Arial" w:cs="Arial" w:eastAsia="Arial" w:hAnsi="Arial"/>
                <w:sz w:val="14"/>
                <w:szCs w:val="14"/>
                <w:b w:val="1"/>
                <w:bCs w:val="1"/>
                <w:color w:val="auto"/>
              </w:rPr>
              <w:t>%</w:t>
            </w:r>
          </w:p>
        </w:tc>
      </w:tr>
      <w:tr>
        <w:trPr>
          <w:trHeight w:val="175"/>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75"/>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5"/>
                <w:szCs w:val="15"/>
                <w:color w:val="auto"/>
              </w:rPr>
            </w:pP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2,991</w:t>
            </w:r>
          </w:p>
        </w:tc>
        <w:tc>
          <w:tcPr>
            <w:tcW w:w="6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2,997</w:t>
            </w: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5,849</w:t>
            </w:r>
          </w:p>
        </w:tc>
        <w:tc>
          <w:tcPr>
            <w:tcW w:w="2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ind w:right="35"/>
              <w:spacing w:after="0" w:line="196" w:lineRule="exact"/>
              <w:rPr>
                <w:sz w:val="20"/>
                <w:szCs w:val="20"/>
                <w:color w:val="auto"/>
              </w:rPr>
            </w:pPr>
            <w:r>
              <w:rPr>
                <w:rFonts w:ascii="Arial" w:cs="Arial" w:eastAsia="Arial" w:hAnsi="Arial"/>
                <w:sz w:val="18"/>
                <w:szCs w:val="18"/>
                <w:color w:val="auto"/>
              </w:rPr>
              <w:t>5,908</w:t>
            </w:r>
          </w:p>
        </w:tc>
        <w:tc>
          <w:tcPr>
            <w:tcW w:w="20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139"/>
              <w:spacing w:after="0" w:line="196" w:lineRule="exact"/>
              <w:rPr>
                <w:sz w:val="20"/>
                <w:szCs w:val="20"/>
                <w:color w:val="auto"/>
              </w:rPr>
            </w:pPr>
            <w:r>
              <w:rPr>
                <w:rFonts w:ascii="Arial" w:cs="Arial" w:eastAsia="Arial" w:hAnsi="Arial"/>
                <w:sz w:val="18"/>
                <w:szCs w:val="18"/>
                <w:color w:val="auto"/>
              </w:rPr>
              <w:t>(1)%</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2,218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4,328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4,398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4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140</w:t>
            </w:r>
          </w:p>
        </w:tc>
        <w:tc>
          <w:tcPr>
            <w:tcW w:w="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145</w:t>
            </w: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274</w:t>
            </w: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271</w:t>
            </w: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r>
      <w:tr>
        <w:trPr>
          <w:trHeight w:val="216"/>
        </w:trPr>
        <w:tc>
          <w:tcPr>
            <w:tcW w:w="48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84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E5FFFF"/>
            </w:tcBorders>
          </w:tcPr>
          <w:p>
            <w:pPr>
              <w:spacing w:after="0"/>
              <w:rPr>
                <w:sz w:val="18"/>
                <w:szCs w:val="18"/>
                <w:color w:val="auto"/>
              </w:rPr>
            </w:pPr>
          </w:p>
        </w:tc>
        <w:tc>
          <w:tcPr>
            <w:tcW w:w="900" w:type="dxa"/>
            <w:vAlign w:val="bottom"/>
            <w:tcBorders>
              <w:bottom w:val="single" w:sz="8" w:color="E5FFFF"/>
            </w:tcBorders>
          </w:tcPr>
          <w:p>
            <w:pPr>
              <w:spacing w:after="0"/>
              <w:rPr>
                <w:sz w:val="18"/>
                <w:szCs w:val="18"/>
                <w:color w:val="auto"/>
              </w:rPr>
            </w:pPr>
          </w:p>
        </w:tc>
      </w:tr>
      <w:tr>
        <w:trPr>
          <w:trHeight w:val="210"/>
        </w:trPr>
        <w:tc>
          <w:tcPr>
            <w:tcW w:w="4820" w:type="dxa"/>
            <w:vAlign w:val="bottom"/>
            <w:shd w:val="clear" w:color="auto" w:fill="E5FFFF"/>
          </w:tcPr>
          <w:p>
            <w:pPr>
              <w:spacing w:after="0"/>
              <w:rPr>
                <w:sz w:val="20"/>
                <w:szCs w:val="20"/>
                <w:color w:val="auto"/>
              </w:rPr>
            </w:pPr>
            <w:r>
              <w:rPr>
                <w:rFonts w:ascii="Arial" w:cs="Arial" w:eastAsia="Arial" w:hAnsi="Arial"/>
                <w:sz w:val="18"/>
                <w:szCs w:val="18"/>
                <w:color w:val="auto"/>
              </w:rPr>
              <w:t>Segment profit</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592</w:t>
            </w:r>
          </w:p>
        </w:tc>
        <w:tc>
          <w:tcPr>
            <w:tcW w:w="60" w:type="dxa"/>
            <w:vAlign w:val="bottom"/>
            <w:shd w:val="clear" w:color="auto" w:fill="E5FFFF"/>
          </w:tcPr>
          <w:p>
            <w:pPr>
              <w:spacing w:after="0"/>
              <w:rPr>
                <w:sz w:val="18"/>
                <w:szCs w:val="18"/>
                <w:color w:val="auto"/>
              </w:rPr>
            </w:pPr>
          </w:p>
        </w:tc>
        <w:tc>
          <w:tcPr>
            <w:tcW w:w="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583</w:t>
            </w:r>
          </w:p>
        </w:tc>
        <w:tc>
          <w:tcPr>
            <w:tcW w:w="2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1,141</w:t>
            </w: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1,134</w:t>
            </w:r>
          </w:p>
        </w:tc>
        <w:tc>
          <w:tcPr>
            <w:tcW w:w="200" w:type="dxa"/>
            <w:vAlign w:val="bottom"/>
            <w:shd w:val="clear" w:color="auto" w:fill="E5FFFF"/>
          </w:tcPr>
          <w:p>
            <w:pPr>
              <w:spacing w:after="0"/>
              <w:rPr>
                <w:sz w:val="18"/>
                <w:szCs w:val="18"/>
                <w:color w:val="auto"/>
              </w:rPr>
            </w:pPr>
          </w:p>
        </w:tc>
        <w:tc>
          <w:tcPr>
            <w:tcW w:w="900" w:type="dxa"/>
            <w:vAlign w:val="bottom"/>
            <w:shd w:val="clear" w:color="auto" w:fill="E5FFFF"/>
          </w:tcPr>
          <w:p>
            <w:pPr>
              <w:jc w:val="right"/>
              <w:ind w:right="199"/>
              <w:spacing w:after="0"/>
              <w:rPr>
                <w:sz w:val="20"/>
                <w:szCs w:val="20"/>
                <w:color w:val="auto"/>
              </w:rPr>
            </w:pPr>
            <w:r>
              <w:rPr>
                <w:rFonts w:ascii="Arial" w:cs="Arial" w:eastAsia="Arial" w:hAnsi="Arial"/>
                <w:sz w:val="18"/>
                <w:szCs w:val="18"/>
                <w:color w:val="auto"/>
              </w:rPr>
              <w:t>1%</w:t>
            </w:r>
          </w:p>
        </w:tc>
      </w:tr>
      <w:tr>
        <w:trPr>
          <w:trHeight w:val="20"/>
        </w:trPr>
        <w:tc>
          <w:tcPr>
            <w:tcW w:w="4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9"/>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tcPr>
          <w:p>
            <w:pPr>
              <w:jc w:val="right"/>
              <w:ind w:right="7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48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10" w:right="239" w:bottom="1440" w:gutter="0" w:footer="0" w:header="0"/>
        </w:sectPr>
      </w:pPr>
    </w:p>
    <w:bookmarkStart w:id="38" w:name="page39"/>
    <w:bookmarkEnd w:id="38"/>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2014 vs. 2013</w:t>
            </w:r>
          </w:p>
        </w:tc>
        <w:tc>
          <w:tcPr>
            <w:tcW w:w="9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42"/>
        </w:trPr>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40" w:type="dxa"/>
            <w:vAlign w:val="bottom"/>
            <w:gridSpan w:val="6"/>
          </w:tcPr>
          <w:p>
            <w:pPr>
              <w:jc w:val="center"/>
              <w:ind w:right="720"/>
              <w:spacing w:after="0" w:line="143" w:lineRule="exact"/>
              <w:rPr>
                <w:sz w:val="20"/>
                <w:szCs w:val="20"/>
                <w:color w:val="auto"/>
              </w:rPr>
            </w:pPr>
            <w:r>
              <w:rPr>
                <w:rFonts w:ascii="Arial" w:cs="Arial" w:eastAsia="Arial" w:hAnsi="Arial"/>
                <w:sz w:val="14"/>
                <w:szCs w:val="14"/>
                <w:b w:val="1"/>
                <w:bCs w:val="1"/>
                <w:color w:val="auto"/>
              </w:rPr>
              <w:t>Three Months Ended</w:t>
            </w:r>
          </w:p>
        </w:tc>
        <w:tc>
          <w:tcPr>
            <w:tcW w:w="2540" w:type="dxa"/>
            <w:vAlign w:val="bottom"/>
            <w:gridSpan w:val="4"/>
          </w:tcPr>
          <w:p>
            <w:pPr>
              <w:jc w:val="center"/>
              <w:ind w:right="357"/>
              <w:spacing w:after="0" w:line="143" w:lineRule="exact"/>
              <w:rPr>
                <w:sz w:val="20"/>
                <w:szCs w:val="20"/>
                <w:color w:val="auto"/>
              </w:rPr>
            </w:pPr>
            <w:r>
              <w:rPr>
                <w:rFonts w:ascii="Arial" w:cs="Arial" w:eastAsia="Arial" w:hAnsi="Arial"/>
                <w:sz w:val="14"/>
                <w:szCs w:val="14"/>
                <w:b w:val="1"/>
                <w:bCs w:val="1"/>
                <w:color w:val="auto"/>
              </w:rPr>
              <w:t>Six Months Ended</w:t>
            </w:r>
          </w:p>
        </w:tc>
      </w:tr>
      <w:tr>
        <w:trPr>
          <w:trHeight w:val="175"/>
        </w:trPr>
        <w:tc>
          <w:tcPr>
            <w:tcW w:w="3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40" w:type="dxa"/>
            <w:vAlign w:val="bottom"/>
            <w:gridSpan w:val="5"/>
          </w:tcPr>
          <w:p>
            <w:pPr>
              <w:jc w:val="center"/>
              <w:ind w:right="1820"/>
              <w:spacing w:after="0"/>
              <w:rPr>
                <w:sz w:val="20"/>
                <w:szCs w:val="20"/>
                <w:color w:val="auto"/>
              </w:rPr>
            </w:pPr>
            <w:r>
              <w:rPr>
                <w:rFonts w:ascii="Arial" w:cs="Arial" w:eastAsia="Arial" w:hAnsi="Arial"/>
                <w:sz w:val="14"/>
                <w:szCs w:val="14"/>
                <w:b w:val="1"/>
                <w:bCs w:val="1"/>
                <w:color w:val="auto"/>
              </w:rPr>
              <w:t>June 30,</w:t>
            </w:r>
          </w:p>
        </w:tc>
        <w:tc>
          <w:tcPr>
            <w:tcW w:w="144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rPr>
              <w:t>June 30,</w:t>
            </w:r>
          </w:p>
        </w:tc>
        <w:tc>
          <w:tcPr>
            <w:tcW w:w="1100" w:type="dxa"/>
            <w:vAlign w:val="bottom"/>
          </w:tcPr>
          <w:p>
            <w:pPr>
              <w:spacing w:after="0"/>
              <w:rPr>
                <w:sz w:val="15"/>
                <w:szCs w:val="15"/>
                <w:color w:val="auto"/>
              </w:rPr>
            </w:pPr>
          </w:p>
        </w:tc>
      </w:tr>
      <w:tr>
        <w:trPr>
          <w:trHeight w:val="142"/>
        </w:trPr>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97"/>
              <w:spacing w:after="0" w:line="143" w:lineRule="exact"/>
              <w:rPr>
                <w:sz w:val="20"/>
                <w:szCs w:val="20"/>
                <w:color w:val="auto"/>
              </w:rPr>
            </w:pPr>
            <w:r>
              <w:rPr>
                <w:rFonts w:ascii="Arial" w:cs="Arial" w:eastAsia="Arial" w:hAnsi="Arial"/>
                <w:sz w:val="14"/>
                <w:szCs w:val="14"/>
                <w:b w:val="1"/>
                <w:bCs w:val="1"/>
                <w:color w:val="auto"/>
              </w:rPr>
              <w:t>Segment</w:t>
            </w:r>
          </w:p>
        </w:tc>
      </w:tr>
      <w:tr>
        <w:trPr>
          <w:trHeight w:val="189"/>
        </w:trPr>
        <w:tc>
          <w:tcPr>
            <w:tcW w:w="4200" w:type="dxa"/>
            <w:vAlign w:val="bottom"/>
            <w:gridSpan w:val="2"/>
          </w:tcPr>
          <w:p>
            <w:pPr>
              <w:ind w:left="34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Profit</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Sales</w:t>
            </w:r>
          </w:p>
        </w:tc>
        <w:tc>
          <w:tcPr>
            <w:tcW w:w="1100" w:type="dxa"/>
            <w:vAlign w:val="bottom"/>
          </w:tcPr>
          <w:p>
            <w:pPr>
              <w:jc w:val="right"/>
              <w:ind w:right="417"/>
              <w:spacing w:after="0"/>
              <w:rPr>
                <w:sz w:val="20"/>
                <w:szCs w:val="20"/>
                <w:color w:val="auto"/>
              </w:rPr>
            </w:pPr>
            <w:r>
              <w:rPr>
                <w:rFonts w:ascii="Arial" w:cs="Arial" w:eastAsia="Arial" w:hAnsi="Arial"/>
                <w:sz w:val="14"/>
                <w:szCs w:val="14"/>
                <w:b w:val="1"/>
                <w:bCs w:val="1"/>
                <w:color w:val="auto"/>
              </w:rPr>
              <w:t>Profit</w:t>
            </w:r>
          </w:p>
        </w:tc>
      </w:tr>
      <w:tr>
        <w:trPr>
          <w:trHeight w:val="196"/>
        </w:trPr>
        <w:tc>
          <w:tcPr>
            <w:tcW w:w="392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280" w:type="dxa"/>
            <w:vAlign w:val="bottom"/>
            <w:tcBorders>
              <w:top w:val="single" w:sz="8" w:color="E5FFFF"/>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ind w:right="1"/>
              <w:spacing w:after="0" w:line="196" w:lineRule="exact"/>
              <w:rPr>
                <w:sz w:val="20"/>
                <w:szCs w:val="20"/>
                <w:color w:val="auto"/>
              </w:rPr>
            </w:pPr>
            <w:r>
              <w:rPr>
                <w:rFonts w:ascii="Arial" w:cs="Arial" w:eastAsia="Arial" w:hAnsi="Arial"/>
                <w:sz w:val="18"/>
                <w:szCs w:val="18"/>
                <w:color w:val="auto"/>
              </w:rPr>
              <w:t>4%</w:t>
            </w:r>
          </w:p>
        </w:tc>
        <w:tc>
          <w:tcPr>
            <w:tcW w:w="30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w:t>
            </w:r>
          </w:p>
        </w:tc>
        <w:tc>
          <w:tcPr>
            <w:tcW w:w="30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r>
      <w:tr>
        <w:trPr>
          <w:trHeight w:val="216"/>
        </w:trPr>
        <w:tc>
          <w:tcPr>
            <w:tcW w:w="420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4200" w:type="dxa"/>
            <w:vAlign w:val="bottom"/>
            <w:gridSpan w:val="2"/>
            <w:shd w:val="clear" w:color="auto" w:fill="E5FFFF"/>
          </w:tcPr>
          <w:p>
            <w:pPr>
              <w:spacing w:after="0" w:line="197" w:lineRule="exact"/>
              <w:rPr>
                <w:sz w:val="20"/>
                <w:szCs w:val="20"/>
                <w:color w:val="auto"/>
              </w:rPr>
            </w:pPr>
            <w:r>
              <w:rPr>
                <w:rFonts w:ascii="Arial" w:cs="Arial" w:eastAsia="Arial" w:hAnsi="Arial"/>
                <w:sz w:val="18"/>
                <w:szCs w:val="18"/>
                <w:color w:val="auto"/>
              </w:rPr>
              <w:t>Total % Change</w:t>
            </w:r>
          </w:p>
        </w:tc>
        <w:tc>
          <w:tcPr>
            <w:tcW w:w="11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E5FFFF"/>
          </w:tcPr>
          <w:p>
            <w:pPr>
              <w:jc w:val="right"/>
              <w:ind w:right="1"/>
              <w:spacing w:after="0"/>
              <w:rPr>
                <w:sz w:val="20"/>
                <w:szCs w:val="20"/>
                <w:color w:val="auto"/>
              </w:rPr>
            </w:pPr>
            <w:r>
              <w:rPr>
                <w:rFonts w:ascii="Arial" w:cs="Arial" w:eastAsia="Arial" w:hAnsi="Arial"/>
                <w:sz w:val="18"/>
                <w:szCs w:val="18"/>
                <w:color w:val="auto"/>
              </w:rPr>
              <w:t>2%</w:t>
            </w:r>
          </w:p>
        </w:tc>
        <w:tc>
          <w:tcPr>
            <w:tcW w:w="3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1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9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Aerospace sales by major customer end-markets were as follows:</w:t>
      </w:r>
    </w:p>
    <w:p>
      <w:pPr>
        <w:sectPr>
          <w:pgSz w:w="11900" w:h="16838" w:orient="portrait"/>
          <w:cols w:equalWidth="0" w:num="1">
            <w:col w:w="11420"/>
          </w:cols>
          <w:pgMar w:left="240" w:top="45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Customer End-Markets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Commercial original equipment</w:t>
      </w:r>
    </w:p>
    <w:p>
      <w:pPr>
        <w:spacing w:after="0" w:line="23" w:lineRule="exact"/>
        <w:rPr>
          <w:sz w:val="20"/>
          <w:szCs w:val="20"/>
          <w:color w:val="auto"/>
        </w:rPr>
      </w:pPr>
    </w:p>
    <w:p>
      <w:pPr>
        <w:ind w:left="180" w:right="1240"/>
        <w:spacing w:after="0" w:line="265" w:lineRule="auto"/>
        <w:rPr>
          <w:sz w:val="20"/>
          <w:szCs w:val="20"/>
          <w:color w:val="auto"/>
        </w:rPr>
      </w:pPr>
      <w:r>
        <w:rPr>
          <w:rFonts w:ascii="Arial" w:cs="Arial" w:eastAsia="Arial" w:hAnsi="Arial"/>
          <w:sz w:val="17"/>
          <w:szCs w:val="17"/>
          <w:color w:val="auto"/>
        </w:rPr>
        <w:t>Air transport and regional Business and general aviation</w:t>
      </w:r>
    </w:p>
    <w:p>
      <w:pPr>
        <w:ind w:left="360"/>
        <w:spacing w:after="0"/>
        <w:rPr>
          <w:sz w:val="20"/>
          <w:szCs w:val="20"/>
          <w:color w:val="auto"/>
        </w:rPr>
      </w:pPr>
      <w:r>
        <w:rPr>
          <w:rFonts w:ascii="Arial" w:cs="Arial" w:eastAsia="Arial" w:hAnsi="Arial"/>
          <w:sz w:val="17"/>
          <w:szCs w:val="17"/>
          <w:color w:val="auto"/>
        </w:rPr>
        <w:t>Commercial original equipment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Commercial aftermarket</w:t>
      </w:r>
    </w:p>
    <w:p>
      <w:pPr>
        <w:ind w:left="180"/>
        <w:spacing w:after="0" w:line="234" w:lineRule="auto"/>
        <w:rPr>
          <w:sz w:val="20"/>
          <w:szCs w:val="20"/>
          <w:color w:val="auto"/>
        </w:rPr>
      </w:pPr>
      <w:r>
        <w:rPr>
          <w:rFonts w:ascii="Arial" w:cs="Arial" w:eastAsia="Arial" w:hAnsi="Arial"/>
          <w:sz w:val="18"/>
          <w:szCs w:val="18"/>
          <w:color w:val="auto"/>
        </w:rPr>
        <w:t>Air transport and regional</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Business and general aviation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Commercial aftermarket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Defense and Space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400" w:type="dxa"/>
            <w:vAlign w:val="bottom"/>
            <w:gridSpan w:val="6"/>
          </w:tcPr>
          <w:p>
            <w:pPr>
              <w:jc w:val="center"/>
              <w:ind w:left="776"/>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5"/>
                <w:szCs w:val="15"/>
                <w:color w:val="auto"/>
              </w:rPr>
            </w:pPr>
          </w:p>
        </w:tc>
      </w:tr>
      <w:tr>
        <w:trPr>
          <w:trHeight w:val="175"/>
        </w:trPr>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9"/>
              </w:rPr>
              <w:t>June 30,</w:t>
            </w: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r>
      <w:tr>
        <w:trPr>
          <w:trHeight w:val="198"/>
        </w:trPr>
        <w:tc>
          <w:tcPr>
            <w:tcW w:w="24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 of Aerospace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7"/>
                <w:szCs w:val="17"/>
                <w:color w:val="auto"/>
              </w:rPr>
            </w:pPr>
          </w:p>
        </w:tc>
        <w:tc>
          <w:tcPr>
            <w:tcW w:w="23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 of Aerospace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03"/>
        </w:trPr>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Increase/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r>
      <w:tr>
        <w:trPr>
          <w:trHeight w:val="188"/>
        </w:trPr>
        <w:tc>
          <w:tcPr>
            <w:tcW w:w="1300" w:type="dxa"/>
            <w:vAlign w:val="bottom"/>
            <w:gridSpan w:val="3"/>
          </w:tcPr>
          <w:p>
            <w:pPr>
              <w:jc w:val="center"/>
              <w:ind w:left="716"/>
              <w:spacing w:after="0"/>
              <w:rPr>
                <w:sz w:val="20"/>
                <w:szCs w:val="20"/>
                <w:color w:val="auto"/>
              </w:rPr>
            </w:pPr>
            <w:r>
              <w:rPr>
                <w:rFonts w:ascii="Arial" w:cs="Arial" w:eastAsia="Arial" w:hAnsi="Arial"/>
                <w:sz w:val="14"/>
                <w:szCs w:val="14"/>
                <w:b w:val="1"/>
                <w:bCs w:val="1"/>
                <w:color w:val="auto"/>
              </w:rPr>
              <w:t>Sales</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23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Sales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(Decrease)</w:t>
            </w:r>
          </w:p>
        </w:tc>
      </w:tr>
      <w:tr>
        <w:trPr>
          <w:trHeight w:val="175"/>
        </w:trPr>
        <w:tc>
          <w:tcPr>
            <w:tcW w:w="940" w:type="dxa"/>
            <w:vAlign w:val="bottom"/>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7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Sales</w:t>
            </w: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118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 Sales</w:t>
            </w:r>
          </w:p>
        </w:tc>
      </w:tr>
      <w:tr>
        <w:trPr>
          <w:trHeight w:val="411"/>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w:t>
            </w:r>
          </w:p>
        </w:tc>
      </w:tr>
      <w:tr>
        <w:trPr>
          <w:trHeight w:val="593"/>
        </w:trPr>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03"/>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36"/>
              <w:spacing w:after="0" w:line="197"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-1645920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-1371600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-968375</wp:posOffset>
            </wp:positionV>
            <wp:extent cx="72466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-711200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-307975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880"/>
          </w:cols>
          <w:pgMar w:left="240" w:top="450" w:right="239" w:bottom="1440" w:gutter="0" w:footer="0" w:header="0"/>
          <w:type w:val="continuous"/>
        </w:sectPr>
      </w:pPr>
    </w:p>
    <w:p>
      <w:pPr>
        <w:spacing w:after="0" w:line="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Aerospace sales were flat in the quarter ended June 30, 2014 compared with the quarter ended June 30, 2013 primarily due to increased sales in our Commercial Aftermarket business, offset by decreased volumes in our Defense and Space business.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Aerospace sales decreased by 1 percent in the six months ended June 30, 2014 compared with the six months ended June 30, 2013 primarily due to decreased volumes in our Defense and Space business, partially offset by increased sales in our Commercial Aftermarket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regarding the changes in sales by customer end-markets are as follows: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Commercial Original Equipment (OE) sales were flat in the quarter and six months ended June 30, 2014 due to the following:</w:t>
      </w:r>
    </w:p>
    <w:p>
      <w:pPr>
        <w:spacing w:after="0" w:line="198" w:lineRule="exact"/>
        <w:rPr>
          <w:sz w:val="20"/>
          <w:szCs w:val="20"/>
          <w:color w:val="auto"/>
        </w:rPr>
      </w:pPr>
    </w:p>
    <w:p>
      <w:pPr>
        <w:jc w:val="both"/>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Air transport and regional OE sales increased by 7 percent and 2 percent in the quarter and six months ended June 30, 2014, respectively, driven primarily by higher air transport volumes, consistent with the OE Manufacturers’ (OEM) higher production rates, partially offset by lower regional jet sales.</w:t>
      </w:r>
    </w:p>
    <w:p>
      <w:pPr>
        <w:spacing w:after="0" w:line="229" w:lineRule="exact"/>
        <w:rPr>
          <w:rFonts w:ascii="Arial" w:cs="Arial" w:eastAsia="Arial" w:hAnsi="Arial"/>
          <w:sz w:val="18"/>
          <w:szCs w:val="18"/>
          <w:color w:val="auto"/>
        </w:rPr>
      </w:pPr>
    </w:p>
    <w:p>
      <w:pPr>
        <w:jc w:val="both"/>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and general aviation OE sales decreased by 11 percent and 3 percent in the quarter and six months ended June 30, 2014, respectively, primarily due to an increase in payments to business and general aviation OEMs to partially offset their pre-production costs associated with new aircraft platforms (OEM Payments) and timing of engine shipments.</w:t>
      </w:r>
    </w:p>
    <w:p>
      <w:pPr>
        <w:spacing w:after="0" w:line="230"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Commercial Aftermarket sales increased by 1 percent and 2 percent for the quarter and six months ended June 30, 2014, respectively, due to the following: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type w:val="continuous"/>
        </w:sectPr>
      </w:pPr>
    </w:p>
    <w:bookmarkStart w:id="39" w:name="page40"/>
    <w:bookmarkEnd w:id="39"/>
    <w:p>
      <w:pPr>
        <w:ind w:left="980" w:hanging="324"/>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Air transport and regional aftermarket sales increased by 1 percent and 2 percent in the quarter and six months ended June 30, 2014, respectively, driven primarily by higher sales of spare parts, partially offset by lower repair and overhaul activities.</w:t>
      </w:r>
    </w:p>
    <w:p>
      <w:pPr>
        <w:spacing w:after="0" w:line="223"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and general aviation aftermarket sales decreased by 1 percent in the quarter ended June 30, 2014, primarily due to fewer engine maintenance events, partially offset by higher spare parts sales.</w:t>
      </w:r>
    </w:p>
    <w:p>
      <w:pPr>
        <w:spacing w:after="0" w:line="224" w:lineRule="exact"/>
        <w:rPr>
          <w:sz w:val="20"/>
          <w:szCs w:val="20"/>
          <w:color w:val="auto"/>
        </w:rPr>
      </w:pPr>
    </w:p>
    <w:p>
      <w:pPr>
        <w:jc w:val="both"/>
        <w:ind w:left="980"/>
        <w:spacing w:after="0"/>
        <w:rPr>
          <w:sz w:val="20"/>
          <w:szCs w:val="20"/>
          <w:color w:val="auto"/>
        </w:rPr>
      </w:pPr>
      <w:r>
        <w:rPr>
          <w:rFonts w:ascii="Arial" w:cs="Arial" w:eastAsia="Arial" w:hAnsi="Arial"/>
          <w:sz w:val="18"/>
          <w:szCs w:val="18"/>
          <w:color w:val="auto"/>
        </w:rPr>
        <w:t>Business and general aviation aftermarket sales increased by 3 percent in the six months ended June 30, 2014 driven primarily by higher spare parts sales related to retrofit, modifications and upgrades and increased licensing revenue, partially offset by fewer engine maintenance events.</w:t>
      </w:r>
    </w:p>
    <w:p>
      <w:pPr>
        <w:spacing w:after="0" w:line="189"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Defense and Space sales decreased by 1 percent and 5 percent in the quarter and six months ended June 30, 2014, respectively. The decreases are primarily due to U.S. government program ramp downs and delays, as well as lower government services revenue, partially offset by growth in international programs. We expect a modest increase in Defense and Space sales in the third quarter of 2014.</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Aerospace segment profit increased by 2 percent in the quarter ended June 30, 2014 compared with the quarter ended June 30, 2013 due to a 4 percent increase in operational segment profit, partially offset by a 2 percent unfavorable impact from an increase in OEM payments and continued investment for growth. The increase in operational segment profit is primarily driven by favorable price and productivity, net of inflation, partially offset by lower Defense and Space sales volumes, as discussed above. Cost of products and services sold totaled $2.2 billion for the quarter ended June 30, 2014, a decrease of $10 million primarily due to the factors discussed above (excluding price).</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Aerospace segment profit increased by 1 percent for the six months ended June 30, 2014 compared with the six months ended June 30, 2013 due to a 2 percent increase in operational segment profit, partially offset by a 1 percent unfavorable impact from an increase in OEM payments and continued investment for growth. The increase in operational segment profit is primarily driven by commercial sales growth, as discussed above, including favorable price and productivity, net of inflation, partially offset by lower Defense and Space sales volumes, as discussed above. Cost of products and services sold totaled $4.3 billion for the six months ended June 30, 2014, a decrease of $70 million primarily due to the factors discussed above (excluding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Automation and Control Solutions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gridSpan w:val="6"/>
          </w:tcPr>
          <w:p>
            <w:pPr>
              <w:jc w:val="center"/>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5"/>
        </w:trPr>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9"/>
              </w:rPr>
              <w:t>June 30,</w:t>
            </w:r>
          </w:p>
        </w:tc>
        <w:tc>
          <w:tcPr>
            <w:tcW w:w="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420"/>
              <w:spacing w:after="0" w:line="143" w:lineRule="exact"/>
              <w:rPr>
                <w:sz w:val="20"/>
                <w:szCs w:val="20"/>
                <w:color w:val="auto"/>
              </w:rPr>
            </w:pPr>
            <w:r>
              <w:rPr>
                <w:rFonts w:ascii="Arial" w:cs="Arial" w:eastAsia="Arial" w:hAnsi="Arial"/>
                <w:sz w:val="14"/>
                <w:szCs w:val="14"/>
                <w:b w:val="1"/>
                <w:bCs w:val="1"/>
                <w:color w:val="auto"/>
              </w:rPr>
              <w:t>%</w:t>
            </w:r>
          </w:p>
        </w:tc>
      </w:tr>
      <w:tr>
        <w:trPr>
          <w:trHeight w:val="175"/>
        </w:trPr>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5"/>
                <w:szCs w:val="15"/>
                <w:color w:val="auto"/>
              </w:rPr>
            </w:pPr>
          </w:p>
        </w:tc>
        <w:tc>
          <w:tcPr>
            <w:tcW w:w="7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60" w:type="dxa"/>
            <w:vAlign w:val="bottom"/>
            <w:tcBorders>
              <w:top w:val="single" w:sz="8" w:color="E5FFFF"/>
              <w:right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E5FF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right w:val="single" w:sz="8" w:color="E5FFFF"/>
            </w:tcBorders>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3,607</w:t>
            </w:r>
          </w:p>
        </w:tc>
        <w:tc>
          <w:tcPr>
            <w:tcW w:w="24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E5FFFF"/>
          </w:tcPr>
          <w:p>
            <w:pPr>
              <w:jc w:val="right"/>
              <w:ind w:right="28"/>
              <w:spacing w:after="0" w:line="196" w:lineRule="exact"/>
              <w:rPr>
                <w:sz w:val="20"/>
                <w:szCs w:val="20"/>
                <w:color w:val="auto"/>
              </w:rPr>
            </w:pPr>
            <w:r>
              <w:rPr>
                <w:rFonts w:ascii="Arial" w:cs="Arial" w:eastAsia="Arial" w:hAnsi="Arial"/>
                <w:sz w:val="18"/>
                <w:szCs w:val="18"/>
                <w:color w:val="auto"/>
              </w:rPr>
              <w:t>3,270</w:t>
            </w:r>
          </w:p>
        </w:tc>
        <w:tc>
          <w:tcPr>
            <w:tcW w:w="22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760" w:type="dxa"/>
            <w:vAlign w:val="bottom"/>
            <w:tcBorders>
              <w:top w:val="single" w:sz="8" w:color="auto"/>
            </w:tcBorders>
            <w:gridSpan w:val="3"/>
            <w:shd w:val="clear" w:color="auto" w:fill="E5FFFF"/>
          </w:tcPr>
          <w:p>
            <w:pPr>
              <w:jc w:val="center"/>
              <w:ind w:left="317"/>
              <w:spacing w:after="0" w:line="196" w:lineRule="exact"/>
              <w:rPr>
                <w:sz w:val="20"/>
                <w:szCs w:val="20"/>
                <w:color w:val="auto"/>
              </w:rPr>
            </w:pPr>
            <w:r>
              <w:rPr>
                <w:rFonts w:ascii="Arial" w:cs="Arial" w:eastAsia="Arial" w:hAnsi="Arial"/>
                <w:sz w:val="18"/>
                <w:szCs w:val="18"/>
                <w:color w:val="auto"/>
                <w:w w:val="99"/>
              </w:rPr>
              <w:t>10%</w:t>
            </w:r>
          </w:p>
        </w:tc>
        <w:tc>
          <w:tcPr>
            <w:tcW w:w="2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6,969</w:t>
            </w:r>
          </w:p>
        </w:tc>
        <w:tc>
          <w:tcPr>
            <w:tcW w:w="1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gridSpan w:val="2"/>
            <w:shd w:val="clear" w:color="auto" w:fill="E5FFFF"/>
          </w:tcPr>
          <w:p>
            <w:pPr>
              <w:jc w:val="right"/>
              <w:ind w:right="28"/>
              <w:spacing w:after="0" w:line="196" w:lineRule="exact"/>
              <w:rPr>
                <w:sz w:val="20"/>
                <w:szCs w:val="20"/>
                <w:color w:val="auto"/>
              </w:rPr>
            </w:pPr>
            <w:r>
              <w:rPr>
                <w:rFonts w:ascii="Arial" w:cs="Arial" w:eastAsia="Arial" w:hAnsi="Arial"/>
                <w:sz w:val="18"/>
                <w:szCs w:val="18"/>
                <w:color w:val="auto"/>
              </w:rPr>
              <w:t>6,349</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16"/>
        </w:trPr>
        <w:tc>
          <w:tcPr>
            <w:tcW w:w="4860" w:type="dxa"/>
            <w:vAlign w:val="bottom"/>
            <w:gridSpan w:val="3"/>
          </w:tcPr>
          <w:p>
            <w:pPr>
              <w:ind w:left="180"/>
              <w:spacing w:after="0"/>
              <w:rPr>
                <w:sz w:val="20"/>
                <w:szCs w:val="20"/>
                <w:color w:val="auto"/>
              </w:rPr>
            </w:pPr>
            <w:r>
              <w:rPr>
                <w:rFonts w:ascii="Arial" w:cs="Arial" w:eastAsia="Arial" w:hAnsi="Arial"/>
                <w:sz w:val="18"/>
                <w:szCs w:val="18"/>
                <w:color w:val="auto"/>
              </w:rPr>
              <w:t>Cost of products and services sold</w:t>
            </w:r>
          </w:p>
        </w:tc>
        <w:tc>
          <w:tcPr>
            <w:tcW w:w="16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2,362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8"/>
                <w:szCs w:val="18"/>
                <w:color w:val="auto"/>
              </w:rPr>
              <w:t>2,161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4,550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8"/>
                <w:szCs w:val="18"/>
                <w:color w:val="auto"/>
              </w:rPr>
              <w:t>4,194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860" w:type="dxa"/>
            <w:vAlign w:val="bottom"/>
            <w:tcBorders>
              <w:right w:val="single" w:sz="8" w:color="E5FFFF"/>
            </w:tcBorders>
            <w:gridSpan w:val="3"/>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E5FFFF"/>
          </w:tcPr>
          <w:p>
            <w:pPr>
              <w:spacing w:after="0"/>
              <w:rPr>
                <w:sz w:val="18"/>
                <w:szCs w:val="18"/>
                <w:color w:val="auto"/>
              </w:rPr>
            </w:pPr>
          </w:p>
        </w:tc>
        <w:tc>
          <w:tcPr>
            <w:tcW w:w="720" w:type="dxa"/>
            <w:vAlign w:val="bottom"/>
            <w:tcBorders>
              <w:right w:val="single" w:sz="8" w:color="E5FFFF"/>
            </w:tcBorders>
            <w:shd w:val="clear" w:color="auto" w:fill="E5FFFF"/>
          </w:tcPr>
          <w:p>
            <w:pPr>
              <w:jc w:val="right"/>
              <w:ind w:right="36"/>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8"/>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36"/>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28"/>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r>
      <w:tr>
        <w:trPr>
          <w:trHeight w:val="230"/>
        </w:trPr>
        <w:tc>
          <w:tcPr>
            <w:tcW w:w="4860" w:type="dxa"/>
            <w:vAlign w:val="bottom"/>
            <w:tcBorders>
              <w:bottom w:val="single" w:sz="8" w:color="E5FFFF"/>
            </w:tcBorders>
            <w:gridSpan w:val="3"/>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E5FFFF"/>
            </w:tcBorders>
          </w:tcPr>
          <w:p>
            <w:pPr>
              <w:spacing w:after="0"/>
              <w:rPr>
                <w:sz w:val="19"/>
                <w:szCs w:val="19"/>
                <w:color w:val="auto"/>
              </w:rPr>
            </w:pPr>
          </w:p>
        </w:tc>
        <w:tc>
          <w:tcPr>
            <w:tcW w:w="180" w:type="dxa"/>
            <w:vAlign w:val="bottom"/>
            <w:tcBorders>
              <w:bottom w:val="single" w:sz="8" w:color="E5FFFF"/>
            </w:tcBorders>
          </w:tcPr>
          <w:p>
            <w:pPr>
              <w:spacing w:after="0"/>
              <w:rPr>
                <w:sz w:val="19"/>
                <w:szCs w:val="19"/>
                <w:color w:val="auto"/>
              </w:rPr>
            </w:pPr>
          </w:p>
        </w:tc>
        <w:tc>
          <w:tcPr>
            <w:tcW w:w="420" w:type="dxa"/>
            <w:vAlign w:val="bottom"/>
            <w:tcBorders>
              <w:bottom w:val="single" w:sz="8" w:color="E5FFFF"/>
            </w:tcBorders>
          </w:tcPr>
          <w:p>
            <w:pPr>
              <w:spacing w:after="0"/>
              <w:rPr>
                <w:sz w:val="19"/>
                <w:szCs w:val="19"/>
                <w:color w:val="auto"/>
              </w:rPr>
            </w:pPr>
          </w:p>
        </w:tc>
        <w:tc>
          <w:tcPr>
            <w:tcW w:w="300" w:type="dxa"/>
            <w:vAlign w:val="bottom"/>
            <w:tcBorders>
              <w:bottom w:val="single" w:sz="8" w:color="E5FFFF"/>
            </w:tcBorders>
          </w:tcPr>
          <w:p>
            <w:pPr>
              <w:spacing w:after="0"/>
              <w:rPr>
                <w:sz w:val="19"/>
                <w:szCs w:val="19"/>
                <w:color w:val="auto"/>
              </w:rPr>
            </w:pPr>
          </w:p>
        </w:tc>
        <w:tc>
          <w:tcPr>
            <w:tcW w:w="40" w:type="dxa"/>
            <w:vAlign w:val="bottom"/>
            <w:tcBorders>
              <w:bottom w:val="single" w:sz="8" w:color="E5FFFF"/>
            </w:tcBorders>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E5FFFF"/>
            </w:tcBorders>
          </w:tcPr>
          <w:p>
            <w:pPr>
              <w:spacing w:after="0"/>
              <w:rPr>
                <w:sz w:val="19"/>
                <w:szCs w:val="19"/>
                <w:color w:val="auto"/>
              </w:rPr>
            </w:pPr>
          </w:p>
        </w:tc>
        <w:tc>
          <w:tcPr>
            <w:tcW w:w="8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E5FFFF"/>
            </w:tcBorders>
          </w:tcPr>
          <w:p>
            <w:pPr>
              <w:spacing w:after="0"/>
              <w:rPr>
                <w:sz w:val="19"/>
                <w:szCs w:val="19"/>
                <w:color w:val="auto"/>
              </w:rPr>
            </w:pPr>
          </w:p>
        </w:tc>
        <w:tc>
          <w:tcPr>
            <w:tcW w:w="380" w:type="dxa"/>
            <w:vAlign w:val="bottom"/>
            <w:tcBorders>
              <w:bottom w:val="single" w:sz="8" w:color="E5FFFF"/>
            </w:tcBorders>
          </w:tcPr>
          <w:p>
            <w:pPr>
              <w:spacing w:after="0"/>
              <w:rPr>
                <w:sz w:val="19"/>
                <w:szCs w:val="19"/>
                <w:color w:val="auto"/>
              </w:rPr>
            </w:pPr>
          </w:p>
        </w:tc>
        <w:tc>
          <w:tcPr>
            <w:tcW w:w="560" w:type="dxa"/>
            <w:vAlign w:val="bottom"/>
            <w:tcBorders>
              <w:bottom w:val="single" w:sz="8" w:color="E5FFFF"/>
            </w:tcBorders>
          </w:tcPr>
          <w:p>
            <w:pPr>
              <w:spacing w:after="0"/>
              <w:rPr>
                <w:sz w:val="19"/>
                <w:szCs w:val="19"/>
                <w:color w:val="auto"/>
              </w:rPr>
            </w:pPr>
          </w:p>
        </w:tc>
      </w:tr>
      <w:tr>
        <w:trPr>
          <w:trHeight w:val="210"/>
        </w:trPr>
        <w:tc>
          <w:tcPr>
            <w:tcW w:w="4860" w:type="dxa"/>
            <w:vAlign w:val="bottom"/>
            <w:tcBorders>
              <w:right w:val="single" w:sz="8" w:color="E5FFFF"/>
            </w:tcBorders>
            <w:gridSpan w:val="3"/>
            <w:shd w:val="clear" w:color="auto" w:fill="E5FFFF"/>
          </w:tcPr>
          <w:p>
            <w:pPr>
              <w:spacing w:after="0"/>
              <w:rPr>
                <w:sz w:val="20"/>
                <w:szCs w:val="20"/>
                <w:color w:val="auto"/>
              </w:rPr>
            </w:pPr>
            <w:r>
              <w:rPr>
                <w:rFonts w:ascii="Arial" w:cs="Arial" w:eastAsia="Arial" w:hAnsi="Arial"/>
                <w:sz w:val="18"/>
                <w:szCs w:val="18"/>
                <w:color w:val="auto"/>
              </w:rPr>
              <w:t>Segment profit</w:t>
            </w:r>
          </w:p>
        </w:tc>
        <w:tc>
          <w:tcPr>
            <w:tcW w:w="160" w:type="dxa"/>
            <w:vAlign w:val="bottom"/>
            <w:shd w:val="clear" w:color="auto" w:fill="E5FF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E5FFFF"/>
            </w:tcBorders>
            <w:shd w:val="clear" w:color="auto" w:fill="E5FFFF"/>
          </w:tcPr>
          <w:p>
            <w:pPr>
              <w:jc w:val="right"/>
              <w:ind w:right="36"/>
              <w:spacing w:after="0"/>
              <w:rPr>
                <w:sz w:val="20"/>
                <w:szCs w:val="20"/>
                <w:color w:val="auto"/>
              </w:rPr>
            </w:pPr>
            <w:r>
              <w:rPr>
                <w:rFonts w:ascii="Arial" w:cs="Arial" w:eastAsia="Arial" w:hAnsi="Arial"/>
                <w:sz w:val="18"/>
                <w:szCs w:val="18"/>
                <w:color w:val="auto"/>
              </w:rPr>
              <w:t>533</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5FFFF"/>
          </w:tcPr>
          <w:p>
            <w:pPr>
              <w:jc w:val="right"/>
              <w:ind w:right="28"/>
              <w:spacing w:after="0"/>
              <w:rPr>
                <w:sz w:val="20"/>
                <w:szCs w:val="20"/>
                <w:color w:val="auto"/>
              </w:rPr>
            </w:pPr>
            <w:r>
              <w:rPr>
                <w:rFonts w:ascii="Arial" w:cs="Arial" w:eastAsia="Arial" w:hAnsi="Arial"/>
                <w:sz w:val="18"/>
                <w:szCs w:val="18"/>
                <w:color w:val="auto"/>
              </w:rPr>
              <w:t>467</w:t>
            </w: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60" w:type="dxa"/>
            <w:vAlign w:val="bottom"/>
            <w:gridSpan w:val="3"/>
            <w:shd w:val="clear" w:color="auto" w:fill="E5FFFF"/>
          </w:tcPr>
          <w:p>
            <w:pPr>
              <w:jc w:val="center"/>
              <w:ind w:left="317"/>
              <w:spacing w:after="0"/>
              <w:rPr>
                <w:sz w:val="20"/>
                <w:szCs w:val="20"/>
                <w:color w:val="auto"/>
              </w:rPr>
            </w:pPr>
            <w:r>
              <w:rPr>
                <w:rFonts w:ascii="Arial" w:cs="Arial" w:eastAsia="Arial" w:hAnsi="Arial"/>
                <w:sz w:val="18"/>
                <w:szCs w:val="18"/>
                <w:color w:val="auto"/>
                <w:w w:val="99"/>
              </w:rPr>
              <w:t>14%</w:t>
            </w: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ind w:right="36"/>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E5FFFF"/>
          </w:tcPr>
          <w:p>
            <w:pPr>
              <w:jc w:val="right"/>
              <w:ind w:right="28"/>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2014 vs. 2013</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142"/>
        </w:trPr>
        <w:tc>
          <w:tcPr>
            <w:tcW w:w="5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7"/>
          </w:tcPr>
          <w:p>
            <w:pPr>
              <w:jc w:val="center"/>
              <w:ind w:left="176"/>
              <w:spacing w:after="0" w:line="143"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7"/>
          </w:tcPr>
          <w:p>
            <w:pPr>
              <w:jc w:val="center"/>
              <w:ind w:right="40"/>
              <w:spacing w:after="0" w:line="143" w:lineRule="exact"/>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5"/>
        </w:trPr>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4"/>
                <w:szCs w:val="14"/>
                <w:b w:val="1"/>
                <w:bCs w:val="1"/>
                <w:color w:val="auto"/>
                <w:w w:val="99"/>
              </w:rPr>
              <w:t>June 30,</w:t>
            </w: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9"/>
              </w:rPr>
              <w:t>June 30,</w:t>
            </w:r>
          </w:p>
        </w:tc>
        <w:tc>
          <w:tcPr>
            <w:tcW w:w="3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560" w:type="dxa"/>
            <w:vAlign w:val="bottom"/>
          </w:tcPr>
          <w:p>
            <w:pPr>
              <w:spacing w:after="0"/>
              <w:rPr>
                <w:sz w:val="12"/>
                <w:szCs w:val="12"/>
                <w:color w:val="auto"/>
              </w:rPr>
            </w:pPr>
          </w:p>
        </w:tc>
      </w:tr>
      <w:tr>
        <w:trPr>
          <w:trHeight w:val="175"/>
        </w:trPr>
        <w:tc>
          <w:tcPr>
            <w:tcW w:w="580" w:type="dxa"/>
            <w:vAlign w:val="bottom"/>
          </w:tcPr>
          <w:p>
            <w:pPr>
              <w:spacing w:after="0"/>
              <w:rPr>
                <w:sz w:val="15"/>
                <w:szCs w:val="15"/>
                <w:color w:val="auto"/>
              </w:rPr>
            </w:pPr>
          </w:p>
        </w:tc>
        <w:tc>
          <w:tcPr>
            <w:tcW w:w="4280" w:type="dxa"/>
            <w:vAlign w:val="bottom"/>
            <w:gridSpan w:val="2"/>
          </w:tcPr>
          <w:p>
            <w:pPr>
              <w:ind w:left="38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3"/>
          </w:tcPr>
          <w:p>
            <w:pPr>
              <w:jc w:val="center"/>
              <w:ind w:left="348"/>
              <w:spacing w:after="0"/>
              <w:rPr>
                <w:sz w:val="20"/>
                <w:szCs w:val="20"/>
                <w:color w:val="auto"/>
              </w:rPr>
            </w:pPr>
            <w:r>
              <w:rPr>
                <w:rFonts w:ascii="Arial" w:cs="Arial" w:eastAsia="Arial" w:hAnsi="Arial"/>
                <w:sz w:val="14"/>
                <w:szCs w:val="14"/>
                <w:b w:val="1"/>
                <w:bCs w:val="1"/>
                <w:color w:val="auto"/>
              </w:rPr>
              <w:t>Profit</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Profit</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6"/>
        </w:trPr>
        <w:tc>
          <w:tcPr>
            <w:tcW w:w="580" w:type="dxa"/>
            <w:vAlign w:val="bottom"/>
          </w:tcPr>
          <w:p>
            <w:pPr>
              <w:spacing w:after="0"/>
              <w:rPr>
                <w:sz w:val="17"/>
                <w:szCs w:val="17"/>
                <w:color w:val="auto"/>
              </w:rPr>
            </w:pPr>
          </w:p>
        </w:tc>
        <w:tc>
          <w:tcPr>
            <w:tcW w:w="400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280" w:type="dxa"/>
            <w:vAlign w:val="bottom"/>
            <w:tcBorders>
              <w:top w:val="single" w:sz="8" w:color="E5FFFF"/>
              <w:right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720" w:type="dxa"/>
            <w:vAlign w:val="bottom"/>
            <w:tcBorders>
              <w:top w:val="single" w:sz="8" w:color="auto"/>
              <w:right w:val="single" w:sz="8" w:color="E5FFFF"/>
            </w:tcBorders>
            <w:shd w:val="clear" w:color="auto" w:fill="E5FFFF"/>
          </w:tcPr>
          <w:p>
            <w:pPr>
              <w:spacing w:after="0"/>
              <w:rPr>
                <w:sz w:val="17"/>
                <w:szCs w:val="17"/>
                <w:color w:val="auto"/>
              </w:rPr>
            </w:pPr>
          </w:p>
        </w:tc>
        <w:tc>
          <w:tcPr>
            <w:tcW w:w="400" w:type="dxa"/>
            <w:vAlign w:val="bottom"/>
            <w:tcBorders>
              <w:top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30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w:t>
            </w:r>
          </w:p>
        </w:tc>
        <w:tc>
          <w:tcPr>
            <w:tcW w:w="30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880" w:type="dxa"/>
            <w:vAlign w:val="bottom"/>
            <w:tcBorders>
              <w:top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c>
          <w:tcPr>
            <w:tcW w:w="8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70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3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w:t>
            </w: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28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Acquisitions and divestitures, net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E5FF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E5FF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280" w:type="dxa"/>
            <w:vAlign w:val="bottom"/>
            <w:tcBorders>
              <w:bottom w:val="single" w:sz="8" w:color="E5FFFF"/>
              <w:right w:val="single" w:sz="8" w:color="E5FFFF"/>
            </w:tcBorders>
            <w:gridSpan w:val="2"/>
            <w:shd w:val="clear" w:color="auto" w:fill="E5FFFF"/>
          </w:tcPr>
          <w:p>
            <w:pPr>
              <w:spacing w:after="0" w:line="197" w:lineRule="exact"/>
              <w:rPr>
                <w:sz w:val="20"/>
                <w:szCs w:val="20"/>
                <w:color w:val="auto"/>
              </w:rPr>
            </w:pPr>
            <w:r>
              <w:rPr>
                <w:rFonts w:ascii="Arial" w:cs="Arial" w:eastAsia="Arial" w:hAnsi="Arial"/>
                <w:sz w:val="18"/>
                <w:szCs w:val="18"/>
                <w:color w:val="auto"/>
              </w:rPr>
              <w:t>Total % Change</w:t>
            </w:r>
          </w:p>
        </w:tc>
        <w:tc>
          <w:tcPr>
            <w:tcW w:w="16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right w:val="single" w:sz="8" w:color="E5FFFF"/>
            </w:tcBorders>
            <w:shd w:val="clear" w:color="auto" w:fill="E5FFFF"/>
          </w:tcPr>
          <w:p>
            <w:pPr>
              <w:spacing w:after="0"/>
              <w:rPr>
                <w:sz w:val="18"/>
                <w:szCs w:val="18"/>
                <w:color w:val="auto"/>
              </w:rPr>
            </w:pPr>
          </w:p>
        </w:tc>
        <w:tc>
          <w:tcPr>
            <w:tcW w:w="4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E5FFFF"/>
            </w:tcBorders>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E5FFFF"/>
            </w:tcBorders>
            <w:shd w:val="clear" w:color="auto" w:fill="E5FFFF"/>
          </w:tcPr>
          <w:p>
            <w:pPr>
              <w:spacing w:after="0"/>
              <w:rPr>
                <w:sz w:val="18"/>
                <w:szCs w:val="18"/>
                <w:color w:val="auto"/>
              </w:rPr>
            </w:pPr>
          </w:p>
        </w:tc>
        <w:tc>
          <w:tcPr>
            <w:tcW w:w="40" w:type="dxa"/>
            <w:vAlign w:val="bottom"/>
            <w:tcBorders>
              <w:bottom w:val="single" w:sz="8" w:color="auto"/>
            </w:tcBorders>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E5FFFF"/>
            </w:tcBorders>
            <w:shd w:val="clear" w:color="auto" w:fill="E5FFFF"/>
          </w:tcPr>
          <w:p>
            <w:pPr>
              <w:spacing w:after="0"/>
              <w:rPr>
                <w:sz w:val="18"/>
                <w:szCs w:val="18"/>
                <w:color w:val="auto"/>
              </w:rPr>
            </w:pPr>
          </w:p>
        </w:tc>
        <w:tc>
          <w:tcPr>
            <w:tcW w:w="140" w:type="dxa"/>
            <w:vAlign w:val="bottom"/>
            <w:tcBorders>
              <w:bottom w:val="single" w:sz="8" w:color="E5FFFF"/>
            </w:tcBorders>
            <w:shd w:val="clear" w:color="auto" w:fill="E5FFFF"/>
          </w:tcPr>
          <w:p>
            <w:pPr>
              <w:spacing w:after="0"/>
              <w:rPr>
                <w:sz w:val="18"/>
                <w:szCs w:val="18"/>
                <w:color w:val="auto"/>
              </w:rPr>
            </w:pPr>
          </w:p>
        </w:tc>
        <w:tc>
          <w:tcPr>
            <w:tcW w:w="60" w:type="dxa"/>
            <w:vAlign w:val="bottom"/>
            <w:tcBorders>
              <w:bottom w:val="single" w:sz="8" w:color="E5FFFF"/>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4"/>
              </w:rPr>
              <w:t>13%</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6"/>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74"/>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7"/>
        </w:trPr>
        <w:tc>
          <w:tcPr>
            <w:tcW w:w="580" w:type="dxa"/>
            <w:vAlign w:val="bottom"/>
            <w:tcBorders>
              <w:bottom w:val="single" w:sz="8" w:color="C0C0C0"/>
            </w:tcBorders>
          </w:tcPr>
          <w:p>
            <w:pPr>
              <w:spacing w:after="0"/>
              <w:rPr>
                <w:sz w:val="20"/>
                <w:szCs w:val="20"/>
                <w:color w:val="auto"/>
              </w:rPr>
            </w:pPr>
          </w:p>
        </w:tc>
        <w:tc>
          <w:tcPr>
            <w:tcW w:w="400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5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22" w:right="239" w:bottom="1440" w:gutter="0" w:footer="0" w:header="0"/>
        </w:sectPr>
      </w:pPr>
    </w:p>
    <w:bookmarkStart w:id="40" w:name="page41"/>
    <w:bookmarkEnd w:id="40"/>
    <w:p>
      <w:pPr>
        <w:jc w:val="both"/>
        <w:ind w:firstLine="648"/>
        <w:spacing w:after="0"/>
        <w:rPr>
          <w:sz w:val="20"/>
          <w:szCs w:val="20"/>
          <w:color w:val="auto"/>
        </w:rPr>
      </w:pPr>
      <w:r>
        <w:rPr>
          <w:rFonts w:ascii="Arial" w:cs="Arial" w:eastAsia="Arial" w:hAnsi="Arial"/>
          <w:sz w:val="18"/>
          <w:szCs w:val="18"/>
          <w:color w:val="auto"/>
        </w:rPr>
        <w:t>Automation and Control Solutions (“ACS”) sales increased by 10 percent in the quarter ended June 30, 2014 compared with the quarter ended June 30, 2013 and 10 percent in the six months ended June 30, 2014 compared with the six months ended June 30, 2013 primarily due to growth from acquisitions, net of divestitures and organic sales growth.</w:t>
      </w:r>
    </w:p>
    <w:p>
      <w:pPr>
        <w:spacing w:after="0" w:line="189" w:lineRule="exact"/>
        <w:rPr>
          <w:sz w:val="20"/>
          <w:szCs w:val="20"/>
          <w:color w:val="auto"/>
        </w:rPr>
      </w:pPr>
    </w:p>
    <w:p>
      <w:pPr>
        <w:jc w:val="both"/>
        <w:ind w:left="980" w:hanging="324"/>
        <w:spacing w:after="0" w:line="23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Energy, Safety &amp; Security increased by 15 percent (4 percent organic) in the quarter and six months ended June 30, 2014 principally due to (i) acquisitions, net of divestitures (ii) increases in sales volumes in our Environmental and Combustion Control business driven by strong U.S. residential market conditions and new product introductions, and (iii) higher sales volumes of our fire and gas systems and sensors products driven by growth in Asia, Europe and the Middle East, and (iv) increases in sales volumes in our Scanning and Mobility business in the second quarter of 2014 driven by organic growth in all regions.</w:t>
      </w:r>
    </w:p>
    <w:p>
      <w:pPr>
        <w:spacing w:after="0" w:line="229"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Building Solutions &amp; Distribution increased by 2 percent in the quarter ended June 30, 2014 and were flat in the six months ended June 30, 2014 principally due to increased sales volumes in our Americas Distribution business partially offset by continued softness in the U.S. energy retrofit business. Building Solutions backlog increased in the quarter and six months ended June 30, 2014.</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ACS segment profit increased by 14 percent in the quarter ended June 30, 2014 compared with the quarter ended June 30, 2013 due to a 9 percent increase in operational segment profit and a 5 percent increase from acquisitions. The increase in operational segment profit is primarily due to the positive impact of price and productivity, net of inflation and higher sales volumes as discussed above partially offset by continued investment for growth. Cost of products and services sold totaled $2.4 billion for the quarter ended June 30, 2014, an increase of $201 million which is primarily due to acquisitions, net of divestitures, higher sales volume and inflation partially offset by the favorable impact of productivity.</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ACS segment profit increased by 13 percent in the six months ended June 30, 2014 compared with the six months ended June 30, 2013 due to a 7 percent increase in operational segment profit and a 6 percent increase from acquisitions. The increase in operational segment profit is primarily due to the positive impact of price and productivity, net of inflation and higher sales volumes as discussed above partially offset by continued investment for growth. Cost of products and services sold totaled $4.6 billion for the six months ended June 30, 2014, an increase of $356 million which is primarily due to acquisitions, net of divestitures, higher sales volume and inflation partially offset by the favorable impact of productivity.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940" w:type="dxa"/>
            <w:vAlign w:val="bottom"/>
          </w:tcPr>
          <w:p>
            <w:pPr>
              <w:jc w:val="right"/>
              <w:ind w:right="116"/>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E5FFFF"/>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2,636</w:t>
            </w: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2,479</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w:t>
            </w:r>
          </w:p>
        </w:tc>
        <w:tc>
          <w:tcPr>
            <w:tcW w:w="2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5,102</w:t>
            </w:r>
          </w:p>
        </w:tc>
        <w:tc>
          <w:tcPr>
            <w:tcW w:w="6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4,903</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1,857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1,751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3,563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3,425</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E5FFFF"/>
          </w:tcPr>
          <w:p>
            <w:pPr>
              <w:spacing w:after="0"/>
              <w:rPr>
                <w:sz w:val="18"/>
                <w:szCs w:val="18"/>
                <w:color w:val="auto"/>
              </w:rPr>
            </w:pPr>
          </w:p>
        </w:tc>
        <w:tc>
          <w:tcPr>
            <w:tcW w:w="720" w:type="dxa"/>
            <w:vAlign w:val="bottom"/>
            <w:tcBorders>
              <w:right w:val="single" w:sz="8" w:color="E5FFFF"/>
            </w:tcBorders>
            <w:shd w:val="clear" w:color="auto" w:fill="E5FFFF"/>
          </w:tcPr>
          <w:p>
            <w:pPr>
              <w:jc w:val="right"/>
              <w:ind w:right="33"/>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0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523</w:t>
            </w: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r>
      <w:tr>
        <w:trPr>
          <w:trHeight w:val="230"/>
        </w:trPr>
        <w:tc>
          <w:tcPr>
            <w:tcW w:w="48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E5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E5FFFF"/>
            </w:tcBorders>
          </w:tcPr>
          <w:p>
            <w:pPr>
              <w:spacing w:after="0"/>
              <w:rPr>
                <w:sz w:val="19"/>
                <w:szCs w:val="19"/>
                <w:color w:val="auto"/>
              </w:rPr>
            </w:pPr>
          </w:p>
        </w:tc>
        <w:tc>
          <w:tcPr>
            <w:tcW w:w="120" w:type="dxa"/>
            <w:vAlign w:val="bottom"/>
            <w:tcBorders>
              <w:bottom w:val="single" w:sz="8" w:color="E5FFFF"/>
            </w:tcBorders>
          </w:tcPr>
          <w:p>
            <w:pPr>
              <w:spacing w:after="0"/>
              <w:rPr>
                <w:sz w:val="19"/>
                <w:szCs w:val="19"/>
                <w:color w:val="auto"/>
              </w:rPr>
            </w:pPr>
          </w:p>
        </w:tc>
        <w:tc>
          <w:tcPr>
            <w:tcW w:w="820" w:type="dxa"/>
            <w:vAlign w:val="bottom"/>
            <w:tcBorders>
              <w:bottom w:val="single" w:sz="8" w:color="E5FFFF"/>
            </w:tcBorders>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w:t>
            </w:r>
          </w:p>
        </w:tc>
        <w:tc>
          <w:tcPr>
            <w:tcW w:w="60" w:type="dxa"/>
            <w:vAlign w:val="bottom"/>
            <w:tcBorders>
              <w:bottom w:val="single" w:sz="8" w:color="E5FFFF"/>
            </w:tcBorders>
          </w:tcPr>
          <w:p>
            <w:pPr>
              <w:spacing w:after="0"/>
              <w:rPr>
                <w:sz w:val="19"/>
                <w:szCs w:val="19"/>
                <w:color w:val="auto"/>
              </w:rPr>
            </w:pPr>
          </w:p>
        </w:tc>
        <w:tc>
          <w:tcPr>
            <w:tcW w:w="14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E5FFFF"/>
            </w:tcBorders>
          </w:tcPr>
          <w:p>
            <w:pPr>
              <w:spacing w:after="0"/>
              <w:rPr>
                <w:sz w:val="19"/>
                <w:szCs w:val="19"/>
                <w:color w:val="auto"/>
              </w:rPr>
            </w:pPr>
          </w:p>
        </w:tc>
        <w:tc>
          <w:tcPr>
            <w:tcW w:w="940" w:type="dxa"/>
            <w:vAlign w:val="bottom"/>
            <w:tcBorders>
              <w:bottom w:val="single" w:sz="8" w:color="E5FFFF"/>
            </w:tcBorders>
          </w:tcPr>
          <w:p>
            <w:pPr>
              <w:spacing w:after="0"/>
              <w:rPr>
                <w:sz w:val="19"/>
                <w:szCs w:val="19"/>
                <w:color w:val="auto"/>
              </w:rPr>
            </w:pPr>
          </w:p>
        </w:tc>
      </w:tr>
      <w:tr>
        <w:trPr>
          <w:trHeight w:val="210"/>
        </w:trPr>
        <w:tc>
          <w:tcPr>
            <w:tcW w:w="4820" w:type="dxa"/>
            <w:vAlign w:val="bottom"/>
            <w:shd w:val="clear" w:color="auto" w:fill="E5FFFF"/>
          </w:tcPr>
          <w:p>
            <w:pPr>
              <w:spacing w:after="0"/>
              <w:rPr>
                <w:sz w:val="20"/>
                <w:szCs w:val="20"/>
                <w:color w:val="auto"/>
              </w:rPr>
            </w:pPr>
            <w:r>
              <w:rPr>
                <w:rFonts w:ascii="Arial" w:cs="Arial" w:eastAsia="Arial" w:hAnsi="Arial"/>
                <w:sz w:val="18"/>
                <w:szCs w:val="18"/>
                <w:color w:val="auto"/>
              </w:rPr>
              <w:t>Segment profit</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E5FFFF"/>
            </w:tcBorders>
            <w:shd w:val="clear" w:color="auto" w:fill="E5FFFF"/>
          </w:tcPr>
          <w:p>
            <w:pPr>
              <w:jc w:val="right"/>
              <w:ind w:right="33"/>
              <w:spacing w:after="0"/>
              <w:rPr>
                <w:sz w:val="20"/>
                <w:szCs w:val="20"/>
                <w:color w:val="auto"/>
              </w:rPr>
            </w:pPr>
            <w:r>
              <w:rPr>
                <w:rFonts w:ascii="Arial" w:cs="Arial" w:eastAsia="Arial" w:hAnsi="Arial"/>
                <w:sz w:val="18"/>
                <w:szCs w:val="18"/>
                <w:color w:val="auto"/>
              </w:rPr>
              <w:t>475</w:t>
            </w: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948</w:t>
            </w:r>
          </w:p>
        </w:tc>
        <w:tc>
          <w:tcPr>
            <w:tcW w:w="60" w:type="dxa"/>
            <w:vAlign w:val="bottom"/>
            <w:shd w:val="clear" w:color="auto" w:fill="E5FFFF"/>
          </w:tcPr>
          <w:p>
            <w:pPr>
              <w:spacing w:after="0"/>
              <w:rPr>
                <w:sz w:val="18"/>
                <w:szCs w:val="18"/>
                <w:color w:val="auto"/>
              </w:rPr>
            </w:pPr>
          </w:p>
        </w:tc>
        <w:tc>
          <w:tcPr>
            <w:tcW w:w="2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9"/>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2014 vs. 2013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422"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7134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7" w:lineRule="exact"/>
        <w:rPr>
          <w:sz w:val="20"/>
          <w:szCs w:val="20"/>
          <w:color w:val="auto"/>
        </w:rPr>
      </w:pPr>
    </w:p>
    <w:p>
      <w:pPr>
        <w:ind w:left="180" w:right="1280"/>
        <w:spacing w:after="0" w:line="262" w:lineRule="auto"/>
        <w:rPr>
          <w:sz w:val="20"/>
          <w:szCs w:val="20"/>
          <w:color w:val="auto"/>
        </w:rPr>
      </w:pPr>
      <w:r>
        <w:rPr>
          <w:rFonts w:ascii="Arial" w:cs="Arial" w:eastAsia="Arial" w:hAnsi="Arial"/>
          <w:sz w:val="18"/>
          <w:szCs w:val="18"/>
          <w:color w:val="auto"/>
        </w:rPr>
        <w:t>Organic growth/ Operational segment profit Total %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142"/>
        </w:trPr>
        <w:tc>
          <w:tcPr>
            <w:tcW w:w="2280" w:type="dxa"/>
            <w:vAlign w:val="bottom"/>
            <w:tcBorders>
              <w:top w:val="single" w:sz="8" w:color="auto"/>
            </w:tcBorders>
            <w:gridSpan w:val="4"/>
          </w:tcPr>
          <w:p>
            <w:pPr>
              <w:jc w:val="center"/>
              <w:ind w:left="188"/>
              <w:spacing w:after="0" w:line="143"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4"/>
          </w:tcPr>
          <w:p>
            <w:pPr>
              <w:jc w:val="center"/>
              <w:spacing w:after="0" w:line="143" w:lineRule="exact"/>
              <w:rPr>
                <w:sz w:val="20"/>
                <w:szCs w:val="20"/>
                <w:color w:val="auto"/>
              </w:rPr>
            </w:pPr>
            <w:r>
              <w:rPr>
                <w:rFonts w:ascii="Arial" w:cs="Arial" w:eastAsia="Arial" w:hAnsi="Arial"/>
                <w:sz w:val="14"/>
                <w:szCs w:val="14"/>
                <w:b w:val="1"/>
                <w:bCs w:val="1"/>
                <w:color w:val="auto"/>
              </w:rPr>
              <w:t>Six Months Ended</w:t>
            </w:r>
          </w:p>
        </w:tc>
      </w:tr>
      <w:tr>
        <w:trPr>
          <w:trHeight w:val="175"/>
        </w:trPr>
        <w:tc>
          <w:tcPr>
            <w:tcW w:w="8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508"/>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Borders>
              <w:bottom w:val="single" w:sz="8" w:color="auto"/>
            </w:tcBorders>
            <w:gridSpan w:val="3"/>
          </w:tcPr>
          <w:p>
            <w:pPr>
              <w:jc w:val="center"/>
              <w:ind w:left="861"/>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r>
      <w:tr>
        <w:trPr>
          <w:trHeight w:val="142"/>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left="168"/>
              <w:spacing w:after="0" w:line="143" w:lineRule="exact"/>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19"/>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840" w:type="dxa"/>
            <w:vAlign w:val="bottom"/>
          </w:tcPr>
          <w:p>
            <w:pPr>
              <w:ind w:left="400"/>
              <w:spacing w:after="0"/>
              <w:rPr>
                <w:sz w:val="20"/>
                <w:szCs w:val="20"/>
                <w:color w:val="auto"/>
              </w:rPr>
            </w:pPr>
            <w:r>
              <w:rPr>
                <w:rFonts w:ascii="Arial" w:cs="Arial" w:eastAsia="Arial" w:hAnsi="Arial"/>
                <w:sz w:val="14"/>
                <w:szCs w:val="14"/>
                <w:b w:val="1"/>
                <w:bCs w:val="1"/>
                <w:color w:val="auto"/>
              </w:rPr>
              <w:t>Sales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left="208"/>
              <w:spacing w:after="0"/>
              <w:rPr>
                <w:sz w:val="20"/>
                <w:szCs w:val="20"/>
                <w:color w:val="auto"/>
              </w:rPr>
            </w:pPr>
            <w:r>
              <w:rPr>
                <w:rFonts w:ascii="Arial" w:cs="Arial" w:eastAsia="Arial" w:hAnsi="Arial"/>
                <w:sz w:val="14"/>
                <w:szCs w:val="14"/>
                <w:b w:val="1"/>
                <w:bCs w:val="1"/>
                <w:color w:val="auto"/>
              </w:rPr>
              <w:t>Profit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ind w:left="400"/>
              <w:spacing w:after="0"/>
              <w:rPr>
                <w:sz w:val="20"/>
                <w:szCs w:val="20"/>
                <w:color w:val="auto"/>
              </w:rPr>
            </w:pPr>
            <w:r>
              <w:rPr>
                <w:rFonts w:ascii="Arial" w:cs="Arial" w:eastAsia="Arial" w:hAnsi="Arial"/>
                <w:sz w:val="14"/>
                <w:szCs w:val="14"/>
                <w:b w:val="1"/>
                <w:bCs w:val="1"/>
                <w:color w:val="auto"/>
              </w:rPr>
              <w:t>Sales</w:t>
            </w:r>
          </w:p>
        </w:tc>
        <w:tc>
          <w:tcPr>
            <w:tcW w:w="960" w:type="dxa"/>
            <w:vAlign w:val="bottom"/>
          </w:tcPr>
          <w:p>
            <w:pPr>
              <w:jc w:val="right"/>
              <w:ind w:right="319"/>
              <w:spacing w:after="0"/>
              <w:rPr>
                <w:sz w:val="20"/>
                <w:szCs w:val="20"/>
                <w:color w:val="auto"/>
              </w:rPr>
            </w:pPr>
            <w:r>
              <w:rPr>
                <w:rFonts w:ascii="Arial" w:cs="Arial" w:eastAsia="Arial" w:hAnsi="Arial"/>
                <w:sz w:val="14"/>
                <w:szCs w:val="14"/>
                <w:b w:val="1"/>
                <w:bCs w:val="1"/>
                <w:color w:val="auto"/>
              </w:rPr>
              <w:t>Profit</w:t>
            </w:r>
          </w:p>
        </w:tc>
      </w:tr>
      <w:tr>
        <w:trPr>
          <w:trHeight w:val="210"/>
        </w:trPr>
        <w:tc>
          <w:tcPr>
            <w:tcW w:w="8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135255</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4900" w:space="720"/>
            <w:col w:w="5800"/>
          </w:cols>
          <w:pgMar w:left="240" w:top="422" w:right="239" w:bottom="1440" w:gutter="0" w:footer="0" w:header="0"/>
          <w:type w:val="continuous"/>
        </w:sectPr>
      </w:pPr>
    </w:p>
    <w:bookmarkStart w:id="41" w:name="page42"/>
    <w:bookmarkEnd w:id="41"/>
    <w:p>
      <w:pPr>
        <w:jc w:val="both"/>
        <w:ind w:firstLine="648"/>
        <w:spacing w:after="0"/>
        <w:rPr>
          <w:sz w:val="20"/>
          <w:szCs w:val="20"/>
          <w:color w:val="auto"/>
        </w:rPr>
      </w:pPr>
      <w:r>
        <w:rPr>
          <w:rFonts w:ascii="Arial" w:cs="Arial" w:eastAsia="Arial" w:hAnsi="Arial"/>
          <w:sz w:val="18"/>
          <w:szCs w:val="18"/>
          <w:color w:val="auto"/>
        </w:rPr>
        <w:t>Performance Materials and Technologies sales increased by 6 percent in the quarter ended June 30, 2014 compared with the quarter ended June 30, 2013 and 4 percent for the six months ended June 30, 2014 compared with the six months ended June 30, 2013 due to an increase in organic sales.</w:t>
      </w:r>
    </w:p>
    <w:p>
      <w:pPr>
        <w:spacing w:after="0" w:line="189" w:lineRule="exact"/>
        <w:rPr>
          <w:sz w:val="20"/>
          <w:szCs w:val="20"/>
          <w:color w:val="auto"/>
        </w:rPr>
      </w:pPr>
    </w:p>
    <w:p>
      <w:pPr>
        <w:jc w:val="both"/>
        <w:ind w:left="660" w:hanging="328"/>
        <w:spacing w:after="0" w:line="23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UOP sales increased by 17 percent in the quarter ended June 30, 2014 and 13 percent in the six months ended June 30, 2014 driven primarily by higher catalysts and gas processing volumes partially offset by lower equipment, licensing and service revenues. We expect UOP growth to moderate in the second half of 2014 due to project timing as well as stronger volume growth in the second half of 2013 as compared to the second half of 2014.</w:t>
      </w:r>
    </w:p>
    <w:p>
      <w:pPr>
        <w:spacing w:after="0" w:line="228" w:lineRule="exact"/>
        <w:rPr>
          <w:rFonts w:ascii="Arial" w:cs="Arial" w:eastAsia="Arial" w:hAnsi="Arial"/>
          <w:sz w:val="18"/>
          <w:szCs w:val="18"/>
          <w:color w:val="auto"/>
        </w:rPr>
      </w:pPr>
    </w:p>
    <w:p>
      <w:pPr>
        <w:jc w:val="both"/>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Process Solutions sales decreased 1 percent (flat organic) in the quarter ended June 30, 2014 and were flat (increased 2 percent organic) in the six months ended June 30, 2014 driven primarily by large project completions partially offset by service and software solutions volume growth. Project orders and backlog increased in the quarter and six months ended June 30, 2014.</w:t>
      </w:r>
    </w:p>
    <w:p>
      <w:pPr>
        <w:spacing w:after="0" w:line="229"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Materials sales increased by 5 percent in the quarter ended June 30, 2014 and 1 percent in the six months ended June 30, 2014 driven primarily by (i) increased volume in Fluorine Products and Resins and Chemicals, and (ii) higher Specialty Products volumes in the second quarter of 2014, partially offset by unfavorable pricing most significantly in Resins and Chemicals. We anticipate unfavorable pricing to moderate over the remainder of the year.</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Performance Materials and Technologies segment profit increased by 8 percent in the quarter ended June 30, 2014 compared with the quarter ended June 30, 2013 and 4 percent compared with the six months ended June 30, 2013 primarily due to productivity net of inflation and higher sales volumes as discussed above partially offset by unfavorable Advanced Materials pricing (which is anticipated to moderate over the remainder of the year), unfavorable UOP catalyst shipments mix and continued investment for growth. Cost of products and services sold totaled $1.9 billion for the quarter ended June 30, 2014 and $3.6 billion for the six months ended June 30, 2014, an increase of $106 million and $138 million, respectively, which is primarily due to higher volume and continued investment for growth partially offset by productivity net of inflation.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Systems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940" w:type="dxa"/>
            <w:vAlign w:val="bottom"/>
          </w:tcPr>
          <w:p>
            <w:pPr>
              <w:jc w:val="right"/>
              <w:ind w:right="116"/>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1,019</w:t>
            </w:r>
          </w:p>
        </w:tc>
        <w:tc>
          <w:tcPr>
            <w:tcW w:w="6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947</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2,012</w:t>
            </w:r>
          </w:p>
        </w:tc>
        <w:tc>
          <w:tcPr>
            <w:tcW w:w="20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1,861</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1,583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1,520</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40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0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81</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79</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r>
      <w:tr>
        <w:trPr>
          <w:trHeight w:val="230"/>
        </w:trPr>
        <w:tc>
          <w:tcPr>
            <w:tcW w:w="48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E5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E5FFFF"/>
            </w:tcBorders>
          </w:tcPr>
          <w:p>
            <w:pPr>
              <w:spacing w:after="0"/>
              <w:rPr>
                <w:sz w:val="19"/>
                <w:szCs w:val="19"/>
                <w:color w:val="auto"/>
              </w:rPr>
            </w:pPr>
          </w:p>
        </w:tc>
        <w:tc>
          <w:tcPr>
            <w:tcW w:w="120" w:type="dxa"/>
            <w:vAlign w:val="bottom"/>
            <w:tcBorders>
              <w:bottom w:val="single" w:sz="8" w:color="E5FFFF"/>
            </w:tcBorders>
          </w:tcPr>
          <w:p>
            <w:pPr>
              <w:spacing w:after="0"/>
              <w:rPr>
                <w:sz w:val="19"/>
                <w:szCs w:val="19"/>
                <w:color w:val="auto"/>
              </w:rPr>
            </w:pPr>
          </w:p>
        </w:tc>
        <w:tc>
          <w:tcPr>
            <w:tcW w:w="820" w:type="dxa"/>
            <w:vAlign w:val="bottom"/>
            <w:tcBorders>
              <w:bottom w:val="single" w:sz="8" w:color="E5FFFF"/>
            </w:tcBorders>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E5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E5FFFF"/>
            </w:tcBorders>
          </w:tcPr>
          <w:p>
            <w:pPr>
              <w:spacing w:after="0"/>
              <w:rPr>
                <w:sz w:val="19"/>
                <w:szCs w:val="19"/>
                <w:color w:val="auto"/>
              </w:rPr>
            </w:pPr>
          </w:p>
        </w:tc>
        <w:tc>
          <w:tcPr>
            <w:tcW w:w="940" w:type="dxa"/>
            <w:vAlign w:val="bottom"/>
            <w:tcBorders>
              <w:bottom w:val="single" w:sz="8" w:color="E5FFFF"/>
            </w:tcBorders>
          </w:tcPr>
          <w:p>
            <w:pPr>
              <w:spacing w:after="0"/>
              <w:rPr>
                <w:sz w:val="19"/>
                <w:szCs w:val="19"/>
                <w:color w:val="auto"/>
              </w:rPr>
            </w:pPr>
          </w:p>
        </w:tc>
      </w:tr>
      <w:tr>
        <w:trPr>
          <w:trHeight w:val="210"/>
        </w:trPr>
        <w:tc>
          <w:tcPr>
            <w:tcW w:w="4820" w:type="dxa"/>
            <w:vAlign w:val="bottom"/>
            <w:shd w:val="clear" w:color="auto" w:fill="E5FFFF"/>
          </w:tcPr>
          <w:p>
            <w:pPr>
              <w:spacing w:after="0"/>
              <w:rPr>
                <w:sz w:val="20"/>
                <w:szCs w:val="20"/>
                <w:color w:val="auto"/>
              </w:rPr>
            </w:pPr>
            <w:r>
              <w:rPr>
                <w:rFonts w:ascii="Arial" w:cs="Arial" w:eastAsia="Arial" w:hAnsi="Arial"/>
                <w:sz w:val="18"/>
                <w:szCs w:val="18"/>
                <w:color w:val="auto"/>
              </w:rPr>
              <w:t>Segment profit</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E5FFFF"/>
          </w:tcPr>
          <w:p>
            <w:pPr>
              <w:spacing w:after="0"/>
              <w:rPr>
                <w:sz w:val="18"/>
                <w:szCs w:val="18"/>
                <w:color w:val="auto"/>
              </w:rPr>
            </w:pP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321</w:t>
            </w: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4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99"/>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tcPr>
          <w:p>
            <w:pPr>
              <w:jc w:val="right"/>
              <w:ind w:right="7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7"/>
        </w:trPr>
        <w:tc>
          <w:tcPr>
            <w:tcW w:w="48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22" w:right="2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8890</wp:posOffset>
            </wp:positionV>
            <wp:extent cx="25298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83" w:lineRule="exact"/>
        <w:rPr>
          <w:sz w:val="20"/>
          <w:szCs w:val="20"/>
          <w:color w:val="auto"/>
        </w:rPr>
      </w:pPr>
    </w:p>
    <w:p>
      <w:pPr>
        <w:ind w:left="580" w:right="180"/>
        <w:spacing w:after="0" w:line="242" w:lineRule="auto"/>
        <w:rPr>
          <w:sz w:val="20"/>
          <w:szCs w:val="20"/>
          <w:color w:val="auto"/>
        </w:rPr>
      </w:pPr>
      <w:r>
        <w:rPr>
          <w:rFonts w:ascii="Arial" w:cs="Arial" w:eastAsia="Arial" w:hAnsi="Arial"/>
          <w:sz w:val="18"/>
          <w:szCs w:val="18"/>
          <w:color w:val="auto"/>
        </w:rPr>
        <w:t>Organic growth/ Operational segment profit Foreign exchange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Arial" w:cs="Arial" w:eastAsia="Arial" w:hAnsi="Arial"/>
          <w:sz w:val="14"/>
          <w:szCs w:val="14"/>
          <w:b w:val="1"/>
          <w:bCs w:val="1"/>
          <w:color w:val="auto"/>
        </w:rPr>
        <w:t>2014 vs. 2013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40" w:type="dxa"/>
            <w:vAlign w:val="bottom"/>
            <w:tcBorders>
              <w:top w:val="single" w:sz="8" w:color="auto"/>
            </w:tcBorders>
            <w:gridSpan w:val="5"/>
          </w:tcPr>
          <w:p>
            <w:pPr>
              <w:jc w:val="center"/>
              <w:ind w:right="300"/>
              <w:spacing w:after="0" w:line="143" w:lineRule="exact"/>
              <w:rPr>
                <w:sz w:val="20"/>
                <w:szCs w:val="20"/>
                <w:color w:val="auto"/>
              </w:rPr>
            </w:pPr>
            <w:r>
              <w:rPr>
                <w:rFonts w:ascii="Arial" w:cs="Arial" w:eastAsia="Arial" w:hAnsi="Arial"/>
                <w:sz w:val="14"/>
                <w:szCs w:val="14"/>
                <w:b w:val="1"/>
                <w:bCs w:val="1"/>
                <w:color w:val="auto"/>
              </w:rPr>
              <w:t>Three Months Ended</w:t>
            </w:r>
          </w:p>
        </w:tc>
        <w:tc>
          <w:tcPr>
            <w:tcW w:w="2860" w:type="dxa"/>
            <w:vAlign w:val="bottom"/>
            <w:tcBorders>
              <w:top w:val="single" w:sz="8" w:color="auto"/>
            </w:tcBorders>
            <w:gridSpan w:val="4"/>
          </w:tcPr>
          <w:p>
            <w:pPr>
              <w:jc w:val="center"/>
              <w:spacing w:after="0" w:line="143" w:lineRule="exact"/>
              <w:rPr>
                <w:sz w:val="20"/>
                <w:szCs w:val="20"/>
                <w:color w:val="auto"/>
              </w:rPr>
            </w:pPr>
            <w:r>
              <w:rPr>
                <w:rFonts w:ascii="Arial" w:cs="Arial" w:eastAsia="Arial" w:hAnsi="Arial"/>
                <w:sz w:val="14"/>
                <w:szCs w:val="14"/>
                <w:b w:val="1"/>
                <w:bCs w:val="1"/>
                <w:color w:val="auto"/>
              </w:rPr>
              <w:t>Six Months Ended</w:t>
            </w:r>
          </w:p>
        </w:tc>
      </w:tr>
      <w:tr>
        <w:trPr>
          <w:trHeight w:val="175"/>
        </w:trPr>
        <w:tc>
          <w:tcPr>
            <w:tcW w:w="180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4"/>
                <w:szCs w:val="14"/>
                <w:b w:val="1"/>
                <w:bCs w:val="1"/>
                <w:color w:val="auto"/>
                <w:w w:val="99"/>
              </w:rPr>
              <w:t>June 30,</w:t>
            </w:r>
          </w:p>
        </w:tc>
        <w:tc>
          <w:tcPr>
            <w:tcW w:w="10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4"/>
                <w:szCs w:val="14"/>
                <w:b w:val="1"/>
                <w:bCs w:val="1"/>
                <w:color w:val="auto"/>
                <w:w w:val="99"/>
              </w:rPr>
              <w:t>June 30,</w:t>
            </w:r>
          </w:p>
        </w:tc>
        <w:tc>
          <w:tcPr>
            <w:tcW w:w="1060" w:type="dxa"/>
            <w:vAlign w:val="bottom"/>
            <w:tcBorders>
              <w:bottom w:val="single" w:sz="8" w:color="auto"/>
            </w:tcBorders>
          </w:tcPr>
          <w:p>
            <w:pPr>
              <w:spacing w:after="0"/>
              <w:rPr>
                <w:sz w:val="15"/>
                <w:szCs w:val="15"/>
                <w:color w:val="auto"/>
              </w:rPr>
            </w:pPr>
          </w:p>
        </w:tc>
      </w:tr>
      <w:tr>
        <w:trPr>
          <w:trHeight w:val="142"/>
        </w:trPr>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97"/>
              <w:spacing w:after="0" w:line="143" w:lineRule="exact"/>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297"/>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800" w:type="dxa"/>
            <w:vAlign w:val="bottom"/>
            <w:gridSpan w:val="3"/>
          </w:tcPr>
          <w:p>
            <w:pPr>
              <w:ind w:left="440"/>
              <w:spacing w:after="0"/>
              <w:rPr>
                <w:sz w:val="20"/>
                <w:szCs w:val="20"/>
                <w:color w:val="auto"/>
              </w:rPr>
            </w:pPr>
            <w:r>
              <w:rPr>
                <w:rFonts w:ascii="Arial" w:cs="Arial" w:eastAsia="Arial" w:hAnsi="Arial"/>
                <w:sz w:val="14"/>
                <w:szCs w:val="14"/>
                <w:b w:val="1"/>
                <w:bCs w:val="1"/>
                <w:color w:val="auto"/>
              </w:rPr>
              <w:t>Sales</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Profit</w:t>
            </w:r>
          </w:p>
        </w:tc>
        <w:tc>
          <w:tcPr>
            <w:tcW w:w="1800" w:type="dxa"/>
            <w:vAlign w:val="bottom"/>
            <w:gridSpan w:val="3"/>
          </w:tcPr>
          <w:p>
            <w:pPr>
              <w:ind w:left="440"/>
              <w:spacing w:after="0"/>
              <w:rPr>
                <w:sz w:val="20"/>
                <w:szCs w:val="20"/>
                <w:color w:val="auto"/>
              </w:rPr>
            </w:pPr>
            <w:r>
              <w:rPr>
                <w:rFonts w:ascii="Arial" w:cs="Arial" w:eastAsia="Arial" w:hAnsi="Arial"/>
                <w:sz w:val="14"/>
                <w:szCs w:val="14"/>
                <w:b w:val="1"/>
                <w:bCs w:val="1"/>
                <w:color w:val="auto"/>
              </w:rPr>
              <w:t>Sales</w:t>
            </w: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Profit</w:t>
            </w:r>
          </w:p>
        </w:tc>
      </w:tr>
      <w:tr>
        <w:trPr>
          <w:trHeight w:val="384"/>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03"/>
        </w:trPr>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r>
      <w:tr>
        <w:trPr>
          <w:trHeight w:val="210"/>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-436880</wp:posOffset>
            </wp:positionV>
            <wp:extent cx="651764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7640" cy="12890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-170815</wp:posOffset>
            </wp:positionV>
            <wp:extent cx="651764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660"/>
            <w:col w:w="6560"/>
          </w:cols>
          <w:pgMar w:left="240" w:top="450" w:right="239" w:bottom="1440" w:gutter="0" w:footer="0" w:header="0"/>
        </w:sectPr>
      </w:pPr>
    </w:p>
    <w:p>
      <w:pPr>
        <w:spacing w:after="0" w:line="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Transportation Systems sales increased by 8 percent in the quarter ended June 30, 2014 compared with the quarter ended June 30, 2013, primarily due to a 4 percent increase in organic sales and a 4 percent increase from foreign exchange. The increase in organic sales was driven by continued growth from new platform launches, higher global turbo penetration and increased commercial vehicle demand in Europe.</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Transportation Systems sales increased by 8 percent in the six months ended June 30, 2014 when compared with the six months ended June 30, 2013 primarily due to a 6 percent increase in organic sales and a 2 percent increase from foreign exchange. The increase in organic sales was driven by continued growth from new platform launches, higher global turbo penetration and European light vehicle production, and increased commercial vehicle demand in Europe.</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Transportation Systems segment profit increased by 33 percent in the quarter ended June 30, 2014 when compared with the quarter ended June 30, 2013 due to a 28 percent increase from operational segment profit and a 5 percent favorable impact from foreign exchange. The increase in operational segment profit is primarily due to higher productivity, net of inflation (most significantly the positive impacts from material productivity as well as projects to drive operational improvement in the Friction Materials business) and increased volume, partially offset by unfavorable pricing. Cost of products and services sold totaled $800 million in the quarter ended June 30, 2014, an increase of $31 million, which is primarily a result of increased volume, partially offset by increased productivity.</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Transportation Systems segment profit for the six months ended June 30, 2014 increased by 35 percent compared with the six months ended June 30, 2013 due to a 32 percent increase from operational segment profit and a 3 percent favorable impact from foreign exchange. The increase in operational segment profit is primarily due to higher productivity, net of inflation (most significantly the positive impacts from material productivity as well as projects to drive operational improvement in the Friction Materials business) and increased volume, partially offset by unfavorable pricing. Cost of products and services sold totaled $1.6 billion in the six months ended June 30, 2014, an increase of $63 million, which is primarily a result of increased volume, partially offset by increased productivity.</w:t>
      </w:r>
    </w:p>
    <w:p>
      <w:pPr>
        <w:spacing w:after="0" w:line="192" w:lineRule="exact"/>
        <w:rPr>
          <w:sz w:val="20"/>
          <w:szCs w:val="20"/>
          <w:color w:val="auto"/>
        </w:rPr>
      </w:pPr>
    </w:p>
    <w:p>
      <w:pPr>
        <w:ind w:right="240" w:firstLine="648"/>
        <w:spacing w:after="0" w:line="239" w:lineRule="auto"/>
        <w:rPr>
          <w:sz w:val="20"/>
          <w:szCs w:val="20"/>
          <w:color w:val="auto"/>
        </w:rPr>
      </w:pPr>
      <w:r>
        <w:rPr>
          <w:rFonts w:ascii="Arial" w:cs="Arial" w:eastAsia="Arial" w:hAnsi="Arial"/>
          <w:sz w:val="18"/>
          <w:szCs w:val="18"/>
          <w:color w:val="auto"/>
        </w:rPr>
        <w:t>In January 2014, the Company entered into a definitive agreement to sell its Friction Materials business unit to Federal Mogul Corporation for approximately $155 million. The Company closed the sale of its Friction Materials business on July 11, 2014. The Company recognized a pre-tax and after-tax loss of approximately $33 million (of which $5 million was recognized in 2014). See Note 3 Divestiture of Notes to the Financial Statements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See Note 4 of Notes to Financial Statements for a discussion of repositioning and other charges incurred in the three and six months ended June 30, 2014 and 2013. Our repositioning actions are expected to generate incremental pretax savings of approximately $150 million in 2014 compared with 2013 principally from planned workforce reductions. Cash expenditures for severance and other exit costs necessary to execute these actions were $77 million in the six months ended June 30, 2014 and were funded through operating cash flows. Cash expenditures for severance and other exit costs necessary to execute the remaining actions are expected to be approximately $175 million in 2014 and will be funded through operating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type w:val="continuous"/>
        </w:sectPr>
      </w:pPr>
    </w:p>
    <w:bookmarkStart w:id="43" w:name="page44"/>
    <w:bookmarkEnd w:id="43"/>
    <w:p>
      <w:pPr>
        <w:ind w:left="340"/>
        <w:spacing w:after="0"/>
        <w:rPr>
          <w:sz w:val="20"/>
          <w:szCs w:val="20"/>
          <w:color w:val="auto"/>
        </w:rPr>
      </w:pPr>
      <w:r>
        <w:rPr>
          <w:rFonts w:ascii="Arial" w:cs="Arial" w:eastAsia="Arial" w:hAnsi="Arial"/>
          <w:sz w:val="18"/>
          <w:szCs w:val="18"/>
          <w:b w:val="1"/>
          <w:bCs w:val="1"/>
          <w:color w:val="auto"/>
        </w:rPr>
        <w:t>B.  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summary</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 of Cash Flows for the six months ended June 30, 2014 and 2013, are summarized as follows:</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680" w:type="dxa"/>
            <w:vAlign w:val="bottom"/>
            <w:tcBorders>
              <w:bottom w:val="single" w:sz="8" w:color="E5FFFF"/>
            </w:tcBorders>
          </w:tcPr>
          <w:p>
            <w:pPr>
              <w:spacing w:after="0"/>
              <w:rPr>
                <w:sz w:val="16"/>
                <w:szCs w:val="16"/>
                <w:color w:val="auto"/>
              </w:rPr>
            </w:pPr>
          </w:p>
        </w:tc>
        <w:tc>
          <w:tcPr>
            <w:tcW w:w="1400" w:type="dxa"/>
            <w:vAlign w:val="bottom"/>
            <w:tcBorders>
              <w:bottom w:val="single" w:sz="8" w:color="E5FF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E5FF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56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14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Operating activities</w:t>
            </w:r>
          </w:p>
        </w:tc>
        <w:tc>
          <w:tcPr>
            <w:tcW w:w="1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2,029</w:t>
            </w:r>
          </w:p>
        </w:tc>
        <w:tc>
          <w:tcPr>
            <w:tcW w:w="28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1,597</w:t>
            </w:r>
          </w:p>
        </w:tc>
      </w:tr>
      <w:tr>
        <w:trPr>
          <w:trHeight w:val="203"/>
        </w:trPr>
        <w:tc>
          <w:tcPr>
            <w:tcW w:w="20" w:type="dxa"/>
            <w:vAlign w:val="bottom"/>
          </w:tcPr>
          <w:p>
            <w:pPr>
              <w:spacing w:after="0"/>
              <w:rPr>
                <w:sz w:val="17"/>
                <w:szCs w:val="17"/>
                <w:color w:val="auto"/>
              </w:rPr>
            </w:pPr>
          </w:p>
        </w:tc>
        <w:tc>
          <w:tcPr>
            <w:tcW w:w="568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Investing activities</w:t>
            </w:r>
          </w:p>
        </w:tc>
        <w:tc>
          <w:tcPr>
            <w:tcW w:w="14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(1,205)</w:t>
            </w:r>
          </w:p>
        </w:tc>
        <w:tc>
          <w:tcPr>
            <w:tcW w:w="2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(863)</w:t>
            </w: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Financing activities</w:t>
            </w: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(694)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(650)</w:t>
            </w:r>
          </w:p>
        </w:tc>
      </w:tr>
      <w:tr>
        <w:trPr>
          <w:trHeight w:val="216"/>
        </w:trPr>
        <w:tc>
          <w:tcPr>
            <w:tcW w:w="20" w:type="dxa"/>
            <w:vAlign w:val="bottom"/>
          </w:tcPr>
          <w:p>
            <w:pPr>
              <w:spacing w:after="0"/>
              <w:rPr>
                <w:sz w:val="18"/>
                <w:szCs w:val="18"/>
                <w:color w:val="auto"/>
              </w:rPr>
            </w:pPr>
          </w:p>
        </w:tc>
        <w:tc>
          <w:tcPr>
            <w:tcW w:w="568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40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30</w:t>
            </w:r>
          </w:p>
        </w:tc>
        <w:tc>
          <w:tcPr>
            <w:tcW w:w="2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(169)</w:t>
            </w:r>
          </w:p>
        </w:tc>
      </w:tr>
      <w:tr>
        <w:trPr>
          <w:trHeight w:val="237"/>
        </w:trPr>
        <w:tc>
          <w:tcPr>
            <w:tcW w:w="57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Cash provided by operating activities increased by $432 million during the six months ended June 30, 2014 compared with the six months ended June 30, 2013 primarily due to (i) a $345 million increase of income before taxes, (ii) reduced net payments for repositioning and other charges of $163 million (primarily due to the collection of a $130 million asbestos receivable due from one of our insurance carriers), (iii) reduced cash contributions to our pension and other postretirement plans of $128 million, partially offset by a $286 million unfavorable impact from working capital (driven by higher receivables due to timing of sales within the quarter and inventory to support sales growth, partially offset by improved accounts payable performance) and higher cash tax payments of approximately $149 million.</w:t>
      </w:r>
    </w:p>
    <w:p>
      <w:pPr>
        <w:spacing w:after="0" w:line="19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Cash used for investing activities increased by $342 million during the six months ended June 30, 2014 compared with the six months ended June 30, 2013 primarily due to (i) a net $697 million increase in investments (primarily short-term marketable securities), (ii) a $77 million increase in expenditures for property, plant and equipment, (iii) an increase of approximately $32 million in settlement payments of foreign currency exchange contracts used as economic hedges on certain non-functional currency denominated monetary assets and liabilities, partially offset by a decrease in cash paid for acquisitions of $458 million (most significantly RAE Systems, Inc. in 2013).</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used for financing activities increased by $44 million during the six months ended June 30, 2014 compared to the six months ended June 30, 2013 primarily due to increase in net repurchases of common stock of $91 million and an increase in cash dividends paid of $71 million, partially offset by an increase in the net proceeds from debt issuances of $150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98"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February 2014, the Company repaid its $600 million of 3.875 percent notes. The repayment was funded through the issuance of commercial paper.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44" w:name="page45"/>
    <w:bookmarkEnd w:id="44"/>
    <w:p>
      <w:pPr>
        <w:jc w:val="both"/>
        <w:ind w:firstLine="648"/>
        <w:spacing w:after="0"/>
        <w:rPr>
          <w:sz w:val="20"/>
          <w:szCs w:val="20"/>
          <w:color w:val="auto"/>
        </w:rPr>
      </w:pPr>
      <w:r>
        <w:rPr>
          <w:rFonts w:ascii="Arial" w:cs="Arial" w:eastAsia="Arial" w:hAnsi="Arial"/>
          <w:sz w:val="18"/>
          <w:szCs w:val="18"/>
          <w:color w:val="auto"/>
        </w:rPr>
        <w:t>In January 2014, the Company entered into a definitive agreement to sell its Friction Materials business to Federal Mogul Corporation for $155 million. The Company closed the sale of its Friction Materials business on July 11, 2014. See Note 3 Divestiture of Notes to Financial Statements for further discussion.</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2014, we are not required to make contributions to our U.S. pension plans. We plan to make contributions of cash or marketable securities of approximately $150 million to our non-U.S. plans to satisfy regulatory funding standards. In the first six months of 2014, we contributed $ 117 million of marketable securities and $23 million of cash to our non-U.S. plans. The timing and amount of contributions to both our U.S. and non-U.S. plans may be impacted by a number of factors, including the funded status of the plans.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During the second quarter of 2014, the Company repurchased $231 million of outstanding shares. Under the Company’s previously reported $5 billion share repurchase program, $4.4 billion remained available as of June 30, 2014 for additional share repurchases. Honeywell presently expects to repurchase outstanding shares from time to time during 2014 to offset the dilutive impact of employee stock based compensation plans, including future option exercises, restricted unit vesting and matching contributions under our savings plans. The amount and timing of future repurchases may vary depending on market conditions and the level of operating, financing and other investing activities.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NARCO Plan of Reorganization went into effect on April 30, 2013. See Asbestos Matters in Note 17 to the financial statements for further discussion of expected funding obligations in 2014 related to the NARCO Trust.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a discussion of environmental, asbestos and other litigation matters in Note 17 of Notes to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financial information as of June 30, 2014 should be read in conjunction with the financial statements for the year ended December 31, 2013 contained in our Form 10-K filed on February 14, 2014.</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Form 10-K filed on February 14,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of Notes to Financial Statements for a discussion of recent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our 2013 Annual Report on Form 10-K (Item 7A). As of June 30, 2014, there has been no material change in this information</w:t>
      </w:r>
      <w:r>
        <w:rPr>
          <w:rFonts w:ascii="Arial" w:cs="Arial" w:eastAsia="Arial" w:hAnsi="Arial"/>
          <w:sz w:val="18"/>
          <w:szCs w:val="18"/>
          <w:b w:val="1"/>
          <w:bCs w:val="1"/>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1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45" w:name="page46"/>
    <w:bookmarkEnd w:id="45"/>
    <w:p>
      <w:pPr>
        <w:jc w:val="both"/>
        <w:spacing w:after="0" w:line="239" w:lineRule="auto"/>
        <w:rPr>
          <w:sz w:val="20"/>
          <w:szCs w:val="20"/>
          <w:color w:val="auto"/>
        </w:rPr>
      </w:pPr>
      <w:r>
        <w:rPr>
          <w:rFonts w:ascii="Arial" w:cs="Arial" w:eastAsia="Arial" w:hAnsi="Arial"/>
          <w:sz w:val="18"/>
          <w:szCs w:val="18"/>
          <w:color w:val="auto"/>
        </w:rPr>
        <w:t>reported within the time periods specified in the Securities and Exchange Commission rules and forms, and that it is accumulated and communicated to our management, including our CEO, our CFO,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u w:val="single" w:color="auto"/>
          <w:color w:val="auto"/>
        </w:rPr>
        <w:t>Legal Proceedings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a discussion of environmental, asbestos and other litigation matters in Note 17 of Notes to Financial Statements.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Changes in Securities and Use of Proceeds</w:t>
      </w:r>
    </w:p>
    <w:p>
      <w:pPr>
        <w:spacing w:after="0" w:line="34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purchased 2,500,000 shares of its common stock, par value $1 per share, in the quarter ending June 30, 2014. Under the Company’s previously reported $5 billion share repurchase program, $ 4.4 billion remained available as of June 30, 2014 for additional share repurchases. Honeywell presently expects to repurchase outstanding shares from time to time during 2014 to offset the dilutive impact of employee stock based compensation plans, including future option exercises, restricted unit vesting and matching contributions under our savings plans. The amount and timing of future repurchases may vary depending on market conditions and the level of operating, financing and other investing activities.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Honeywell’s purchase of its common stock, par value $1 per share, for the quarter ended June 30,</w:t>
      </w:r>
    </w:p>
    <w:p>
      <w:pPr>
        <w:spacing w:after="0"/>
        <w:rPr>
          <w:sz w:val="20"/>
          <w:szCs w:val="20"/>
          <w:color w:val="auto"/>
        </w:rPr>
      </w:pPr>
      <w:r>
        <w:rPr>
          <w:rFonts w:ascii="Arial" w:cs="Arial" w:eastAsia="Arial" w:hAnsi="Arial"/>
          <w:sz w:val="18"/>
          <w:szCs w:val="18"/>
          <w:color w:val="auto"/>
        </w:rPr>
        <w:t>2014: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60" w:type="dxa"/>
            <w:vAlign w:val="bottom"/>
            <w:gridSpan w:val="4"/>
          </w:tcPr>
          <w:p>
            <w:pPr>
              <w:ind w:left="200"/>
              <w:spacing w:after="0"/>
              <w:rPr>
                <w:sz w:val="20"/>
                <w:szCs w:val="20"/>
                <w:color w:val="auto"/>
              </w:rPr>
            </w:pPr>
            <w:r>
              <w:rPr>
                <w:rFonts w:ascii="Arial" w:cs="Arial" w:eastAsia="Arial" w:hAnsi="Arial"/>
                <w:sz w:val="14"/>
                <w:szCs w:val="14"/>
                <w:b w:val="1"/>
                <w:bCs w:val="1"/>
                <w:color w:val="auto"/>
              </w:rPr>
              <w:t>Issuer Purchases of Equity Securities</w:t>
            </w: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2"/>
        </w:trPr>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4"/>
                <w:szCs w:val="14"/>
                <w:color w:val="auto"/>
              </w:rPr>
            </w:pPr>
          </w:p>
        </w:tc>
        <w:tc>
          <w:tcPr>
            <w:tcW w:w="25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(b)</w:t>
            </w:r>
          </w:p>
        </w:tc>
        <w:tc>
          <w:tcPr>
            <w:tcW w:w="20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(c )</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Total Number</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of Shares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Purchased as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25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Average</w:t>
            </w:r>
          </w:p>
        </w:tc>
        <w:tc>
          <w:tcPr>
            <w:tcW w:w="20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Part of Publicly</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25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Price Paid</w:t>
            </w:r>
          </w:p>
        </w:tc>
        <w:tc>
          <w:tcPr>
            <w:tcW w:w="20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Announced Plans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75"/>
        </w:trPr>
        <w:tc>
          <w:tcPr>
            <w:tcW w:w="17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rPr>
              <w:t>or Programs</w:t>
            </w:r>
          </w:p>
        </w:tc>
        <w:tc>
          <w:tcPr>
            <w:tcW w:w="34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398"/>
        </w:trPr>
        <w:tc>
          <w:tcPr>
            <w:tcW w:w="2080" w:type="dxa"/>
            <w:vAlign w:val="bottom"/>
            <w:gridSpan w:val="4"/>
          </w:tcPr>
          <w:p>
            <w:pPr>
              <w:jc w:val="right"/>
              <w:ind w:right="660"/>
              <w:spacing w:after="0"/>
              <w:rPr>
                <w:sz w:val="20"/>
                <w:szCs w:val="20"/>
                <w:color w:val="auto"/>
              </w:rPr>
            </w:pPr>
            <w:r>
              <w:rPr>
                <w:rFonts w:ascii="Arial" w:cs="Arial" w:eastAsia="Arial" w:hAnsi="Arial"/>
                <w:sz w:val="18"/>
                <w:szCs w:val="18"/>
                <w:color w:val="auto"/>
              </w:rPr>
              <w:t>May 2014</w:t>
            </w:r>
          </w:p>
        </w:tc>
        <w:tc>
          <w:tcPr>
            <w:tcW w:w="2140" w:type="dxa"/>
            <w:vAlign w:val="bottom"/>
          </w:tcPr>
          <w:p>
            <w:pPr>
              <w:jc w:val="right"/>
              <w:ind w:right="583"/>
              <w:spacing w:after="0"/>
              <w:rPr>
                <w:sz w:val="20"/>
                <w:szCs w:val="20"/>
                <w:color w:val="auto"/>
              </w:rPr>
            </w:pPr>
            <w:r>
              <w:rPr>
                <w:rFonts w:ascii="Arial" w:cs="Arial" w:eastAsia="Arial" w:hAnsi="Arial"/>
                <w:sz w:val="18"/>
                <w:szCs w:val="18"/>
                <w:color w:val="auto"/>
              </w:rPr>
              <w:t>2,000,000</w:t>
            </w:r>
          </w:p>
        </w:tc>
        <w:tc>
          <w:tcPr>
            <w:tcW w:w="2120" w:type="dxa"/>
            <w:vAlign w:val="bottom"/>
            <w:gridSpan w:val="2"/>
          </w:tcPr>
          <w:p>
            <w:pPr>
              <w:jc w:val="right"/>
              <w:ind w:right="488"/>
              <w:spacing w:after="0"/>
              <w:rPr>
                <w:sz w:val="20"/>
                <w:szCs w:val="20"/>
                <w:color w:val="auto"/>
              </w:rPr>
            </w:pPr>
            <w:r>
              <w:rPr>
                <w:rFonts w:ascii="Arial" w:cs="Arial" w:eastAsia="Arial" w:hAnsi="Arial"/>
                <w:sz w:val="18"/>
                <w:szCs w:val="18"/>
                <w:color w:val="auto"/>
              </w:rPr>
              <w:t>$92.63</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jc w:val="right"/>
              <w:ind w:right="584"/>
              <w:spacing w:after="0"/>
              <w:rPr>
                <w:sz w:val="20"/>
                <w:szCs w:val="20"/>
                <w:color w:val="auto"/>
              </w:rPr>
            </w:pPr>
            <w:r>
              <w:rPr>
                <w:rFonts w:ascii="Arial" w:cs="Arial" w:eastAsia="Arial" w:hAnsi="Arial"/>
                <w:sz w:val="18"/>
                <w:szCs w:val="18"/>
                <w:color w:val="auto"/>
              </w:rPr>
              <w:t>2,000,000</w:t>
            </w:r>
          </w:p>
        </w:tc>
        <w:tc>
          <w:tcPr>
            <w:tcW w:w="340" w:type="dxa"/>
            <w:vAlign w:val="bottom"/>
          </w:tcPr>
          <w:p>
            <w:pPr>
              <w:spacing w:after="0"/>
              <w:rPr>
                <w:sz w:val="24"/>
                <w:szCs w:val="24"/>
                <w:color w:val="auto"/>
              </w:rPr>
            </w:pPr>
          </w:p>
        </w:tc>
        <w:tc>
          <w:tcPr>
            <w:tcW w:w="2260" w:type="dxa"/>
            <w:vAlign w:val="bottom"/>
          </w:tcPr>
          <w:p>
            <w:pPr>
              <w:jc w:val="right"/>
              <w:ind w:right="824"/>
              <w:spacing w:after="0"/>
              <w:rPr>
                <w:sz w:val="20"/>
                <w:szCs w:val="20"/>
                <w:color w:val="auto"/>
              </w:rPr>
            </w:pPr>
            <w:r>
              <w:rPr>
                <w:rFonts w:ascii="Arial" w:cs="Arial" w:eastAsia="Arial" w:hAnsi="Arial"/>
                <w:sz w:val="18"/>
                <w:szCs w:val="18"/>
                <w:color w:val="auto"/>
              </w:rPr>
              <w:t>$4,495</w:t>
            </w:r>
          </w:p>
        </w:tc>
      </w:tr>
      <w:tr>
        <w:trPr>
          <w:trHeight w:val="217"/>
        </w:trPr>
        <w:tc>
          <w:tcPr>
            <w:tcW w:w="2080" w:type="dxa"/>
            <w:vAlign w:val="bottom"/>
            <w:gridSpan w:val="4"/>
          </w:tcPr>
          <w:p>
            <w:pPr>
              <w:jc w:val="right"/>
              <w:ind w:right="660"/>
              <w:spacing w:after="0"/>
              <w:rPr>
                <w:sz w:val="20"/>
                <w:szCs w:val="20"/>
                <w:color w:val="auto"/>
              </w:rPr>
            </w:pPr>
            <w:r>
              <w:rPr>
                <w:rFonts w:ascii="Arial" w:cs="Arial" w:eastAsia="Arial" w:hAnsi="Arial"/>
                <w:sz w:val="18"/>
                <w:szCs w:val="18"/>
                <w:color w:val="auto"/>
              </w:rPr>
              <w:t>June 2014</w:t>
            </w:r>
          </w:p>
        </w:tc>
        <w:tc>
          <w:tcPr>
            <w:tcW w:w="2140" w:type="dxa"/>
            <w:vAlign w:val="bottom"/>
          </w:tcPr>
          <w:p>
            <w:pPr>
              <w:jc w:val="right"/>
              <w:ind w:right="583"/>
              <w:spacing w:after="0"/>
              <w:rPr>
                <w:sz w:val="20"/>
                <w:szCs w:val="20"/>
                <w:color w:val="auto"/>
              </w:rPr>
            </w:pPr>
            <w:r>
              <w:rPr>
                <w:rFonts w:ascii="Arial" w:cs="Arial" w:eastAsia="Arial" w:hAnsi="Arial"/>
                <w:sz w:val="18"/>
                <w:szCs w:val="18"/>
                <w:color w:val="auto"/>
              </w:rPr>
              <w:t>500,000</w:t>
            </w:r>
          </w:p>
        </w:tc>
        <w:tc>
          <w:tcPr>
            <w:tcW w:w="2120" w:type="dxa"/>
            <w:vAlign w:val="bottom"/>
            <w:gridSpan w:val="2"/>
          </w:tcPr>
          <w:p>
            <w:pPr>
              <w:jc w:val="right"/>
              <w:ind w:right="488"/>
              <w:spacing w:after="0"/>
              <w:rPr>
                <w:sz w:val="20"/>
                <w:szCs w:val="20"/>
                <w:color w:val="auto"/>
              </w:rPr>
            </w:pPr>
            <w:r>
              <w:rPr>
                <w:rFonts w:ascii="Arial" w:cs="Arial" w:eastAsia="Arial" w:hAnsi="Arial"/>
                <w:sz w:val="18"/>
                <w:szCs w:val="18"/>
                <w:color w:val="auto"/>
              </w:rPr>
              <w:t>$91.91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Pr>
          <w:p>
            <w:pPr>
              <w:jc w:val="right"/>
              <w:ind w:right="584"/>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18"/>
                <w:szCs w:val="18"/>
                <w:color w:val="auto"/>
              </w:rPr>
            </w:pPr>
          </w:p>
        </w:tc>
        <w:tc>
          <w:tcPr>
            <w:tcW w:w="2260" w:type="dxa"/>
            <w:vAlign w:val="bottom"/>
          </w:tcPr>
          <w:p>
            <w:pPr>
              <w:jc w:val="right"/>
              <w:ind w:right="824"/>
              <w:spacing w:after="0"/>
              <w:rPr>
                <w:sz w:val="20"/>
                <w:szCs w:val="20"/>
                <w:color w:val="auto"/>
              </w:rPr>
            </w:pPr>
            <w:r>
              <w:rPr>
                <w:rFonts w:ascii="Arial" w:cs="Arial" w:eastAsia="Arial" w:hAnsi="Arial"/>
                <w:sz w:val="18"/>
                <w:szCs w:val="18"/>
                <w:color w:val="auto"/>
              </w:rPr>
              <w:t>$4,449</w:t>
            </w:r>
          </w:p>
        </w:tc>
      </w:tr>
      <w:tr>
        <w:trPr>
          <w:trHeight w:val="378"/>
        </w:trPr>
        <w:tc>
          <w:tcPr>
            <w:tcW w:w="208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right="3600" w:hanging="4923"/>
        <w:spacing w:after="0" w:line="465" w:lineRule="auto"/>
        <w:tabs>
          <w:tab w:leader="none" w:pos="1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Exhibits. See the Exhibit Index on page 48 of this Quarterly Report on Form 10-Q.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Honeywell International Inc.</w:t>
      </w:r>
    </w:p>
    <w:p>
      <w:pPr>
        <w:spacing w:after="0" w:line="225"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July 18,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Adam M. Matteo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21697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Adam M. Matteo</w:t>
      </w:r>
    </w:p>
    <w:p>
      <w:pPr>
        <w:ind w:left="6180"/>
        <w:spacing w:after="0"/>
        <w:rPr>
          <w:sz w:val="20"/>
          <w:szCs w:val="20"/>
          <w:color w:val="auto"/>
        </w:rPr>
      </w:pPr>
      <w:r>
        <w:rPr>
          <w:rFonts w:ascii="Arial" w:cs="Arial" w:eastAsia="Arial" w:hAnsi="Arial"/>
          <w:sz w:val="18"/>
          <w:szCs w:val="18"/>
          <w:color w:val="auto"/>
        </w:rPr>
        <w:t>Vice President and Controller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(on behalf of the Registrant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as the Registrant’s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Accounting Officer)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Exhibit</w:t>
            </w:r>
          </w:p>
        </w:tc>
        <w:tc>
          <w:tcPr>
            <w:tcW w:w="38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22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w:t>
            </w:r>
          </w:p>
        </w:tc>
        <w:tc>
          <w:tcPr>
            <w:tcW w:w="340" w:type="dxa"/>
            <w:vAlign w:val="bottom"/>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c>
          <w:tcPr>
            <w:tcW w:w="636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Description</w:t>
            </w:r>
          </w:p>
        </w:tc>
      </w:tr>
    </w:tbl>
    <w:p>
      <w:pPr>
        <w:spacing w:after="0" w:line="185" w:lineRule="exact"/>
        <w:rPr>
          <w:sz w:val="20"/>
          <w:szCs w:val="20"/>
          <w:color w:val="auto"/>
        </w:rPr>
      </w:pPr>
    </w:p>
    <w:p>
      <w:pPr>
        <w:ind w:left="1260" w:hanging="1252"/>
        <w:spacing w:after="0"/>
        <w:tabs>
          <w:tab w:leader="none" w:pos="1260" w:val="left"/>
        </w:tabs>
        <w:numPr>
          <w:ilvl w:val="0"/>
          <w:numId w:val="10"/>
        </w:numPr>
        <w:rPr>
          <w:rFonts w:ascii="Arial" w:cs="Arial" w:eastAsia="Arial" w:hAnsi="Arial"/>
          <w:sz w:val="36"/>
          <w:szCs w:val="36"/>
          <w:color w:val="auto"/>
          <w:vertAlign w:val="superscript"/>
        </w:rPr>
      </w:pPr>
      <w:r>
        <w:rPr>
          <w:rFonts w:ascii="Arial" w:cs="Arial" w:eastAsia="Arial" w:hAnsi="Arial"/>
          <w:sz w:val="18"/>
          <w:szCs w:val="18"/>
          <w:color w:val="auto"/>
        </w:rPr>
        <w:t xml:space="preserve">Computation of Per Share Earnings </w:t>
      </w:r>
      <w:r>
        <w:rPr>
          <w:rFonts w:ascii="Arial" w:cs="Arial" w:eastAsia="Arial" w:hAnsi="Arial"/>
          <w:sz w:val="30"/>
          <w:szCs w:val="30"/>
          <w:color w:val="auto"/>
          <w:vertAlign w:val="superscript"/>
        </w:rPr>
        <w:t>(1)</w:t>
      </w:r>
    </w:p>
    <w:p>
      <w:pPr>
        <w:spacing w:after="0" w:line="75" w:lineRule="exact"/>
        <w:rPr>
          <w:rFonts w:ascii="Arial" w:cs="Arial" w:eastAsia="Arial" w:hAnsi="Arial"/>
          <w:sz w:val="36"/>
          <w:szCs w:val="36"/>
          <w:color w:val="auto"/>
          <w:vertAlign w:val="superscript"/>
        </w:rPr>
      </w:pPr>
    </w:p>
    <w:p>
      <w:pPr>
        <w:ind w:left="1260" w:hanging="1252"/>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Computation of Ratio of Earnings to Fixed Charges (filed herewith)</w:t>
      </w:r>
    </w:p>
    <w:p>
      <w:pPr>
        <w:spacing w:after="0" w:line="225" w:lineRule="exact"/>
        <w:rPr>
          <w:sz w:val="20"/>
          <w:szCs w:val="20"/>
          <w:color w:val="auto"/>
        </w:rPr>
      </w:pPr>
    </w:p>
    <w:p>
      <w:pPr>
        <w:ind w:left="1260" w:right="200" w:hanging="1252"/>
        <w:spacing w:after="0" w:line="246"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Accountants’ Acknowledgment Letter as to the incorporation of their report relating to unaudited interim financial statements (filed herewith)</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260"/>
              <w:spacing w:after="0"/>
              <w:rPr>
                <w:sz w:val="20"/>
                <w:szCs w:val="20"/>
                <w:color w:val="auto"/>
              </w:rPr>
            </w:pPr>
            <w:r>
              <w:rPr>
                <w:rFonts w:ascii="Arial" w:cs="Arial" w:eastAsia="Arial" w:hAnsi="Arial"/>
                <w:sz w:val="18"/>
                <w:szCs w:val="18"/>
                <w:color w:val="auto"/>
                <w:w w:val="99"/>
              </w:rPr>
              <w:t>Certification of Principal Executive Officer Pursuant to 18 U.S.C. Section 1350, as Adopted Pursuant to Section 906 of the</w:t>
            </w:r>
          </w:p>
        </w:tc>
      </w:tr>
      <w:tr>
        <w:trPr>
          <w:trHeight w:val="217"/>
        </w:trPr>
        <w:tc>
          <w:tcPr>
            <w:tcW w:w="1000" w:type="dxa"/>
            <w:vAlign w:val="bottom"/>
          </w:tcPr>
          <w:p>
            <w:pPr>
              <w:spacing w:after="0"/>
              <w:rPr>
                <w:sz w:val="18"/>
                <w:szCs w:val="18"/>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Sarbanes-Oxley Act of 2002 (filed herewith)</w:t>
            </w:r>
          </w:p>
        </w:tc>
      </w:tr>
      <w:tr>
        <w:trPr>
          <w:trHeight w:val="404"/>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994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w:t>
            </w:r>
          </w:p>
        </w:tc>
      </w:tr>
      <w:tr>
        <w:trPr>
          <w:trHeight w:val="217"/>
        </w:trPr>
        <w:tc>
          <w:tcPr>
            <w:tcW w:w="1000" w:type="dxa"/>
            <w:vAlign w:val="bottom"/>
          </w:tcPr>
          <w:p>
            <w:pPr>
              <w:spacing w:after="0"/>
              <w:rPr>
                <w:sz w:val="18"/>
                <w:szCs w:val="18"/>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Sarbanes-Oxley Act of 2002 (filed herewith)</w:t>
            </w:r>
          </w:p>
        </w:tc>
      </w:tr>
      <w:tr>
        <w:trPr>
          <w:trHeight w:val="419"/>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940" w:type="dxa"/>
            <w:vAlign w:val="bottom"/>
          </w:tcPr>
          <w:p>
            <w:pPr>
              <w:ind w:left="260"/>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3420" w:hanging="5612"/>
        <w:spacing w:after="0" w:line="465" w:lineRule="auto"/>
        <w:tabs>
          <w:tab w:leader="none" w:pos="9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required is provided in Note 6 to the consolidated financial statements in this report.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12</w:t>
      </w:r>
    </w:p>
    <w:p>
      <w:pPr>
        <w:spacing w:after="0" w:line="211"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ind w:right="1080"/>
        <w:spacing w:after="0" w:line="234" w:lineRule="auto"/>
        <w:rPr>
          <w:sz w:val="20"/>
          <w:szCs w:val="20"/>
          <w:color w:val="auto"/>
        </w:rPr>
      </w:pPr>
      <w:r>
        <w:rPr>
          <w:rFonts w:ascii="Arial" w:cs="Arial" w:eastAsia="Arial" w:hAnsi="Arial"/>
          <w:sz w:val="18"/>
          <w:szCs w:val="18"/>
          <w:b w:val="1"/>
          <w:bCs w:val="1"/>
          <w:color w:val="auto"/>
        </w:rPr>
        <w:t>Six Months Ended</w:t>
      </w:r>
    </w:p>
    <w:p>
      <w:pPr>
        <w:jc w:val="center"/>
        <w:ind w:right="1080"/>
        <w:spacing w:after="0" w:line="235" w:lineRule="auto"/>
        <w:rPr>
          <w:sz w:val="20"/>
          <w:szCs w:val="20"/>
          <w:color w:val="auto"/>
        </w:rPr>
      </w:pPr>
      <w:r>
        <w:rPr>
          <w:rFonts w:ascii="Arial" w:cs="Arial" w:eastAsia="Arial" w:hAnsi="Arial"/>
          <w:sz w:val="18"/>
          <w:szCs w:val="18"/>
          <w:b w:val="1"/>
          <w:bCs w:val="1"/>
          <w:color w:val="auto"/>
        </w:rPr>
        <w:t>June 30, 2014</w:t>
      </w:r>
    </w:p>
    <w:p>
      <w:pPr>
        <w:spacing w:after="0" w:line="1"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(Dollars in millions)</w:t>
      </w:r>
    </w:p>
    <w:p>
      <w:pPr>
        <w:spacing w:after="0" w:line="190"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7500" w:type="dxa"/>
            <w:vAlign w:val="bottom"/>
          </w:tcPr>
          <w:p>
            <w:pPr>
              <w:spacing w:after="0"/>
              <w:rPr>
                <w:sz w:val="20"/>
                <w:szCs w:val="20"/>
                <w:color w:val="auto"/>
              </w:rPr>
            </w:pPr>
            <w:r>
              <w:rPr>
                <w:rFonts w:ascii="Arial" w:cs="Arial" w:eastAsia="Arial" w:hAnsi="Arial"/>
                <w:sz w:val="18"/>
                <w:szCs w:val="18"/>
                <w:b w:val="1"/>
                <w:bCs w:val="1"/>
                <w:color w:val="auto"/>
              </w:rPr>
              <w:t>Determination of Earnings: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75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Income before taxes</w:t>
            </w:r>
          </w:p>
        </w:tc>
        <w:tc>
          <w:tcPr>
            <w:tcW w:w="320" w:type="dxa"/>
            <w:vAlign w:val="bottom"/>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2,934</w:t>
            </w:r>
          </w:p>
        </w:tc>
      </w:tr>
      <w:tr>
        <w:trPr>
          <w:trHeight w:val="203"/>
        </w:trPr>
        <w:tc>
          <w:tcPr>
            <w:tcW w:w="7500" w:type="dxa"/>
            <w:vAlign w:val="bottom"/>
          </w:tcPr>
          <w:p>
            <w:pPr>
              <w:ind w:left="180"/>
              <w:spacing w:after="0" w:line="202" w:lineRule="exact"/>
              <w:rPr>
                <w:sz w:val="20"/>
                <w:szCs w:val="20"/>
                <w:color w:val="auto"/>
              </w:rPr>
            </w:pPr>
            <w:r>
              <w:rPr>
                <w:rFonts w:ascii="Arial" w:cs="Arial" w:eastAsia="Arial" w:hAnsi="Arial"/>
                <w:sz w:val="18"/>
                <w:szCs w:val="18"/>
                <w:color w:val="auto"/>
              </w:rPr>
              <w:t>Add (Deduct):</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750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Amortization of capitalized interest</w:t>
            </w:r>
          </w:p>
        </w:tc>
        <w:tc>
          <w:tcPr>
            <w:tcW w:w="32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7500" w:type="dxa"/>
            <w:vAlign w:val="bottom"/>
          </w:tcPr>
          <w:p>
            <w:pPr>
              <w:ind w:left="360"/>
              <w:spacing w:after="0" w:line="202" w:lineRule="exact"/>
              <w:rPr>
                <w:sz w:val="20"/>
                <w:szCs w:val="20"/>
                <w:color w:val="auto"/>
              </w:rPr>
            </w:pPr>
            <w:r>
              <w:rPr>
                <w:rFonts w:ascii="Arial" w:cs="Arial" w:eastAsia="Arial" w:hAnsi="Arial"/>
                <w:sz w:val="18"/>
                <w:szCs w:val="18"/>
                <w:color w:val="auto"/>
              </w:rPr>
              <w:t>Fixed charges</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r>
      <w:tr>
        <w:trPr>
          <w:trHeight w:val="216"/>
        </w:trPr>
        <w:tc>
          <w:tcPr>
            <w:tcW w:w="7500" w:type="dxa"/>
            <w:vAlign w:val="bottom"/>
            <w:shd w:val="clear" w:color="auto" w:fill="E5FFFF"/>
          </w:tcPr>
          <w:p>
            <w:pPr>
              <w:ind w:left="360"/>
              <w:spacing w:after="0"/>
              <w:rPr>
                <w:sz w:val="20"/>
                <w:szCs w:val="20"/>
                <w:color w:val="auto"/>
              </w:rPr>
            </w:pPr>
            <w:r>
              <w:rPr>
                <w:rFonts w:ascii="Arial" w:cs="Arial" w:eastAsia="Arial" w:hAnsi="Arial"/>
                <w:sz w:val="18"/>
                <w:szCs w:val="18"/>
                <w:color w:val="auto"/>
              </w:rPr>
              <w:t>Equity income, net of distributions</w:t>
            </w:r>
          </w:p>
        </w:tc>
        <w:tc>
          <w:tcPr>
            <w:tcW w:w="32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7500" w:type="dxa"/>
            <w:vAlign w:val="bottom"/>
          </w:tcPr>
          <w:p>
            <w:pPr>
              <w:ind w:left="540"/>
              <w:spacing w:after="0"/>
              <w:rPr>
                <w:sz w:val="20"/>
                <w:szCs w:val="20"/>
                <w:color w:val="auto"/>
              </w:rPr>
            </w:pPr>
            <w:r>
              <w:rPr>
                <w:rFonts w:ascii="Arial" w:cs="Arial" w:eastAsia="Arial" w:hAnsi="Arial"/>
                <w:sz w:val="18"/>
                <w:szCs w:val="18"/>
                <w:b w:val="1"/>
                <w:bCs w:val="1"/>
                <w:color w:val="auto"/>
              </w:rPr>
              <w:t>Total earnings, as defined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w:t>
            </w:r>
          </w:p>
        </w:tc>
      </w:tr>
      <w:tr>
        <w:trPr>
          <w:trHeight w:val="20"/>
        </w:trPr>
        <w:tc>
          <w:tcPr>
            <w:tcW w:w="7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7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3"/>
        </w:trPr>
        <w:tc>
          <w:tcPr>
            <w:tcW w:w="75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Fixed Charges:</w:t>
            </w:r>
          </w:p>
        </w:tc>
        <w:tc>
          <w:tcPr>
            <w:tcW w:w="32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r>
      <w:tr>
        <w:trPr>
          <w:trHeight w:val="243"/>
        </w:trPr>
        <w:tc>
          <w:tcPr>
            <w:tcW w:w="7500" w:type="dxa"/>
            <w:vAlign w:val="bottom"/>
          </w:tcPr>
          <w:p>
            <w:pPr>
              <w:ind w:left="18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5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Interest and other financial charges</w:t>
            </w:r>
          </w:p>
        </w:tc>
        <w:tc>
          <w:tcPr>
            <w:tcW w:w="32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159</w:t>
            </w:r>
          </w:p>
        </w:tc>
      </w:tr>
      <w:tr>
        <w:trPr>
          <w:trHeight w:val="196"/>
        </w:trPr>
        <w:tc>
          <w:tcPr>
            <w:tcW w:w="7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216"/>
        </w:trPr>
        <w:tc>
          <w:tcPr>
            <w:tcW w:w="75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7500" w:type="dxa"/>
            <w:vAlign w:val="bottom"/>
          </w:tcPr>
          <w:p>
            <w:pPr>
              <w:ind w:left="540"/>
              <w:spacing w:after="0"/>
              <w:rPr>
                <w:sz w:val="20"/>
                <w:szCs w:val="20"/>
                <w:color w:val="auto"/>
              </w:rPr>
            </w:pPr>
            <w:r>
              <w:rPr>
                <w:rFonts w:ascii="Arial" w:cs="Arial" w:eastAsia="Arial" w:hAnsi="Arial"/>
                <w:sz w:val="18"/>
                <w:szCs w:val="18"/>
                <w:b w:val="1"/>
                <w:bCs w:val="1"/>
                <w:color w:val="auto"/>
              </w:rPr>
              <w:t>Total fixed charges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7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7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3"/>
        </w:trPr>
        <w:tc>
          <w:tcPr>
            <w:tcW w:w="75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Ratio of Earnings to Fixed Charges</w:t>
            </w:r>
          </w:p>
        </w:tc>
        <w:tc>
          <w:tcPr>
            <w:tcW w:w="32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b w:val="1"/>
                <w:bCs w:val="1"/>
                <w:color w:val="auto"/>
              </w:rPr>
              <w:t>16.27</w:t>
            </w:r>
          </w:p>
        </w:tc>
      </w:tr>
    </w:tbl>
    <w:p>
      <w:pPr>
        <w:spacing w:after="0" w:line="215" w:lineRule="exact"/>
        <w:rPr>
          <w:sz w:val="20"/>
          <w:szCs w:val="20"/>
          <w:color w:val="auto"/>
        </w:rPr>
      </w:pPr>
    </w:p>
    <w:p>
      <w:pPr>
        <w:ind w:right="400" w:firstLine="8"/>
        <w:spacing w:after="0" w:line="246" w:lineRule="auto"/>
        <w:tabs>
          <w:tab w:leader="none" w:pos="2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236855</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340"/>
          </w:cols>
          <w:pgMar w:left="1320" w:top="118"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July 18,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aware that our report dated July 18, 2014 on our review of interim financial information of Honeywell International Inc. (the “Company”) for the three and six-month periods ended June 30, 2014 and 2013 and included in the Company’s quarterly report on Form 10-Q for the quarter ended June 30, 2014 is incorporated by reference in its Registration Statements on Form S-3 (No.033-55425, 333-22355, 333-101455, and 333-186695), Form S-8 (No. 033-58347, 333-49280, 333-136083, 333-136086, 333-146932, 333-148995, 333-175260 and 333-195331) and Form S-4 (No. 333-82049).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rPr>
          <w:sz w:val="20"/>
          <w:szCs w:val="20"/>
          <w:color w:val="auto"/>
        </w:rPr>
      </w:pPr>
      <w:r>
        <w:rPr>
          <w:rFonts w:ascii="Arial" w:cs="Arial" w:eastAsia="Arial" w:hAnsi="Arial"/>
          <w:sz w:val="18"/>
          <w:szCs w:val="18"/>
          <w:color w:val="auto"/>
        </w:rPr>
        <w:t>Florham Park,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David M. Cote,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7220" w:val="left"/>
          <w:tab w:leader="none" w:pos="7680" w:val="left"/>
        </w:tabs>
        <w:rPr>
          <w:sz w:val="20"/>
          <w:szCs w:val="20"/>
          <w:color w:val="auto"/>
        </w:rPr>
      </w:pPr>
      <w:r>
        <w:rPr>
          <w:rFonts w:ascii="Arial" w:cs="Arial" w:eastAsia="Arial" w:hAnsi="Arial"/>
          <w:sz w:val="18"/>
          <w:szCs w:val="18"/>
          <w:color w:val="auto"/>
        </w:rPr>
        <w:t>Date: July 18,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-1905</wp:posOffset>
            </wp:positionV>
            <wp:extent cx="23666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8"/>
          <w:szCs w:val="18"/>
          <w:color w:val="auto"/>
        </w:rPr>
        <w:t>David M. Cote</w:t>
      </w:r>
    </w:p>
    <w:p>
      <w:pPr>
        <w:ind w:left="7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Chief Financial Officer, certify that:</w:t>
      </w:r>
    </w:p>
    <w:p>
      <w:pPr>
        <w:spacing w:after="0" w:line="19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3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98" w:lineRule="exact"/>
        <w:rPr>
          <w:rFonts w:ascii="Arial" w:cs="Arial" w:eastAsia="Arial" w:hAnsi="Arial"/>
          <w:sz w:val="18"/>
          <w:szCs w:val="18"/>
          <w:color w:val="auto"/>
        </w:rPr>
      </w:pPr>
    </w:p>
    <w:p>
      <w:pPr>
        <w:jc w:val="both"/>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right="20" w:hanging="320"/>
        <w:spacing w:after="0"/>
        <w:tabs>
          <w:tab w:leader="none" w:pos="13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7420" w:val="left"/>
          <w:tab w:leader="none" w:pos="7880" w:val="left"/>
        </w:tabs>
        <w:rPr>
          <w:sz w:val="20"/>
          <w:szCs w:val="20"/>
          <w:color w:val="auto"/>
        </w:rPr>
      </w:pPr>
      <w:r>
        <w:rPr>
          <w:rFonts w:ascii="Arial" w:cs="Arial" w:eastAsia="Arial" w:hAnsi="Arial"/>
          <w:sz w:val="18"/>
          <w:szCs w:val="18"/>
          <w:color w:val="auto"/>
        </w:rPr>
        <w:t>Date: July 18,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A.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-1905</wp:posOffset>
            </wp:positionV>
            <wp:extent cx="22383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7900"/>
        <w:spacing w:after="0"/>
        <w:rPr>
          <w:sz w:val="20"/>
          <w:szCs w:val="20"/>
          <w:color w:val="auto"/>
        </w:rPr>
      </w:pPr>
      <w:r>
        <w:rPr>
          <w:rFonts w:ascii="Arial" w:cs="Arial" w:eastAsia="Arial" w:hAnsi="Arial"/>
          <w:sz w:val="18"/>
          <w:szCs w:val="18"/>
          <w:color w:val="auto"/>
        </w:rPr>
        <w:t>Thomas A. Szlosek</w:t>
      </w:r>
    </w:p>
    <w:p>
      <w:pPr>
        <w:ind w:left="79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ending June 30, 2014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wp:posOffset>
            </wp:positionV>
            <wp:extent cx="11576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David M. Cote</w:t>
      </w:r>
    </w:p>
    <w:p>
      <w:pPr>
        <w:ind w:left="46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ending June 30, 2014 as filed with the Securities and Exchange Commission on the date hereof (the Report), I, Thomas A. Szlosek, Chief Financial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Thomas A.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wp:posOffset>
            </wp:positionV>
            <wp:extent cx="13804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Thomas A. Szlosek</w:t>
      </w:r>
    </w:p>
    <w:p>
      <w:pPr>
        <w:ind w:left="4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Letter"/>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upp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1"/>
      <w:numFmt w:val="decimal"/>
      <w:start w:val="15"/>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2020-01-28T00:19:22Z</dcterms:created>
  <dcterms:modified xsi:type="dcterms:W3CDTF">2020-01-28T00:19:22Z</dcterms:modified>
</cp:coreProperties>
</file>