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5783.xml.htm"/>
      <w:bookmarkStart w:id="1" w:name="kswkform4_17858757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Reilly Jennifer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838"/>
        <w:gridCol w:w="1232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242.01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158.8481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401k plan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85"/>
        <w:gridCol w:w="51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were granted under the 2016 Stock Incentive Plan of Honeywell International Inc. and its Affiliates and were adjusted to reflect the spin-off of Solstice Advanced Materials Inc. from Honeywell International Inc. ("Honeywell Technologies") on October 30, 2025, and further adjusted to reflect the spin-off of Honeywell Aerospace Inc. from Honeywell Technologies on June 29, 2026 and the reverse stock split of Honeywell Technologies.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the reinvestment of dividend equivalents into 31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were granted under the 2016 Stock Incentive Plan of Honeywell International Inc. and its Affiliates and vest 33%, 33% and 34% on each of August 1, 2026, August 1, 2027 and August 1, 2028,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Excludes reinvestment of dividend equivalents during the vesting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Jennifer J. Reilly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736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739</Words>
  <Characters>4002</Characters>
  <CharactersWithSpaces>4645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