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Form SD</w:t>
      </w:r>
    </w:p>
    <w:p>
      <w:pPr>
        <w:spacing w:after="0" w:line="23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Honeywell International Inc.</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4"/>
          <w:szCs w:val="24"/>
          <w:color w:val="auto"/>
        </w:rPr>
      </w:pPr>
    </w:p>
    <w:tbl>
      <w:tblPr>
        <w:tblLayout w:type="fixed"/>
        <w:tblInd w:w="520" w:type="dxa"/>
        <w:tblCellMar>
          <w:top w:w="0" w:type="dxa"/>
          <w:left w:w="0" w:type="dxa"/>
          <w:bottom w:w="0" w:type="dxa"/>
          <w:right w:w="0" w:type="dxa"/>
        </w:tblCellMar>
      </w:tblPr>
      <w:tr>
        <w:trPr>
          <w:trHeight w:val="229"/>
        </w:trPr>
        <w:tc>
          <w:tcPr>
            <w:tcW w:w="3420" w:type="dxa"/>
            <w:vAlign w:val="bottom"/>
          </w:tcPr>
          <w:p>
            <w:pPr>
              <w:jc w:val="center"/>
              <w:ind w:right="630"/>
              <w:spacing w:after="0"/>
              <w:rPr>
                <w:sz w:val="20"/>
                <w:szCs w:val="20"/>
                <w:color w:val="auto"/>
              </w:rPr>
            </w:pPr>
            <w:r>
              <w:rPr>
                <w:rFonts w:ascii="Arial" w:cs="Arial" w:eastAsia="Arial" w:hAnsi="Arial"/>
                <w:sz w:val="18"/>
                <w:szCs w:val="18"/>
                <w:b w:val="1"/>
                <w:bCs w:val="1"/>
                <w:color w:val="auto"/>
                <w:w w:val="98"/>
              </w:rPr>
              <w:t>Delaware</w:t>
            </w:r>
          </w:p>
        </w:tc>
        <w:tc>
          <w:tcPr>
            <w:tcW w:w="3540" w:type="dxa"/>
            <w:vAlign w:val="bottom"/>
          </w:tcPr>
          <w:p>
            <w:pPr>
              <w:jc w:val="right"/>
              <w:ind w:right="1490"/>
              <w:spacing w:after="0"/>
              <w:rPr>
                <w:sz w:val="20"/>
                <w:szCs w:val="20"/>
                <w:color w:val="auto"/>
              </w:rPr>
            </w:pPr>
            <w:r>
              <w:rPr>
                <w:rFonts w:ascii="Arial" w:cs="Arial" w:eastAsia="Arial" w:hAnsi="Arial"/>
                <w:sz w:val="18"/>
                <w:szCs w:val="18"/>
                <w:b w:val="1"/>
                <w:bCs w:val="1"/>
                <w:color w:val="auto"/>
              </w:rPr>
              <w:t>1-8974</w:t>
            </w:r>
          </w:p>
        </w:tc>
        <w:tc>
          <w:tcPr>
            <w:tcW w:w="2840" w:type="dxa"/>
            <w:vAlign w:val="bottom"/>
          </w:tcPr>
          <w:p>
            <w:pPr>
              <w:jc w:val="right"/>
              <w:ind w:right="390"/>
              <w:spacing w:after="0"/>
              <w:rPr>
                <w:sz w:val="20"/>
                <w:szCs w:val="20"/>
                <w:color w:val="auto"/>
              </w:rPr>
            </w:pPr>
            <w:r>
              <w:rPr>
                <w:rFonts w:ascii="Arial" w:cs="Arial" w:eastAsia="Arial" w:hAnsi="Arial"/>
                <w:sz w:val="18"/>
                <w:szCs w:val="18"/>
                <w:b w:val="1"/>
                <w:bCs w:val="1"/>
                <w:color w:val="auto"/>
              </w:rPr>
              <w:t>22-2640650</w:t>
            </w:r>
          </w:p>
        </w:tc>
      </w:tr>
      <w:tr>
        <w:trPr>
          <w:trHeight w:val="229"/>
        </w:trPr>
        <w:tc>
          <w:tcPr>
            <w:tcW w:w="3420" w:type="dxa"/>
            <w:vAlign w:val="bottom"/>
          </w:tcPr>
          <w:p>
            <w:pPr>
              <w:jc w:val="center"/>
              <w:ind w:right="630"/>
              <w:spacing w:after="0"/>
              <w:rPr>
                <w:sz w:val="20"/>
                <w:szCs w:val="20"/>
                <w:color w:val="auto"/>
              </w:rPr>
            </w:pPr>
            <w:r>
              <w:rPr>
                <w:rFonts w:ascii="Arial" w:cs="Arial" w:eastAsia="Arial" w:hAnsi="Arial"/>
                <w:sz w:val="18"/>
                <w:szCs w:val="18"/>
                <w:b w:val="1"/>
                <w:bCs w:val="1"/>
                <w:color w:val="auto"/>
              </w:rPr>
              <w:t>(State or Other Jurisdiction</w:t>
            </w:r>
          </w:p>
        </w:tc>
        <w:tc>
          <w:tcPr>
            <w:tcW w:w="3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(Commission File No.)</w:t>
            </w:r>
          </w:p>
        </w:tc>
        <w:tc>
          <w:tcPr>
            <w:tcW w:w="284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(I.R.S. Employer</w:t>
            </w:r>
          </w:p>
        </w:tc>
      </w:tr>
      <w:tr>
        <w:trPr>
          <w:trHeight w:val="230"/>
        </w:trPr>
        <w:tc>
          <w:tcPr>
            <w:tcW w:w="3420" w:type="dxa"/>
            <w:vAlign w:val="bottom"/>
          </w:tcPr>
          <w:p>
            <w:pPr>
              <w:jc w:val="center"/>
              <w:ind w:right="630"/>
              <w:spacing w:after="0"/>
              <w:rPr>
                <w:sz w:val="20"/>
                <w:szCs w:val="20"/>
                <w:color w:val="auto"/>
              </w:rPr>
            </w:pPr>
            <w:r>
              <w:rPr>
                <w:rFonts w:ascii="Arial" w:cs="Arial" w:eastAsia="Arial" w:hAnsi="Arial"/>
                <w:sz w:val="18"/>
                <w:szCs w:val="18"/>
                <w:b w:val="1"/>
                <w:bCs w:val="1"/>
                <w:color w:val="auto"/>
              </w:rPr>
              <w:t>of Incorporation or</w:t>
            </w:r>
          </w:p>
        </w:tc>
        <w:tc>
          <w:tcPr>
            <w:tcW w:w="3540" w:type="dxa"/>
            <w:vAlign w:val="bottom"/>
          </w:tcPr>
          <w:p>
            <w:pPr>
              <w:spacing w:after="0"/>
              <w:rPr>
                <w:sz w:val="19"/>
                <w:szCs w:val="19"/>
                <w:color w:val="auto"/>
              </w:rPr>
            </w:pPr>
          </w:p>
        </w:tc>
        <w:tc>
          <w:tcPr>
            <w:tcW w:w="2840" w:type="dxa"/>
            <w:vAlign w:val="bottom"/>
          </w:tcPr>
          <w:p>
            <w:pPr>
              <w:jc w:val="center"/>
              <w:ind w:left="830"/>
              <w:spacing w:after="0"/>
              <w:rPr>
                <w:sz w:val="20"/>
                <w:szCs w:val="20"/>
                <w:color w:val="auto"/>
              </w:rPr>
            </w:pPr>
            <w:r>
              <w:rPr>
                <w:rFonts w:ascii="Arial" w:cs="Arial" w:eastAsia="Arial" w:hAnsi="Arial"/>
                <w:sz w:val="18"/>
                <w:szCs w:val="18"/>
                <w:b w:val="1"/>
                <w:bCs w:val="1"/>
                <w:color w:val="auto"/>
              </w:rPr>
              <w:t>Identification Number)</w:t>
            </w:r>
          </w:p>
        </w:tc>
      </w:tr>
      <w:tr>
        <w:trPr>
          <w:trHeight w:val="247"/>
        </w:trPr>
        <w:tc>
          <w:tcPr>
            <w:tcW w:w="3420" w:type="dxa"/>
            <w:vAlign w:val="bottom"/>
          </w:tcPr>
          <w:p>
            <w:pPr>
              <w:jc w:val="center"/>
              <w:ind w:right="610"/>
              <w:spacing w:after="0"/>
              <w:rPr>
                <w:sz w:val="20"/>
                <w:szCs w:val="20"/>
                <w:color w:val="auto"/>
              </w:rPr>
            </w:pPr>
            <w:r>
              <w:rPr>
                <w:rFonts w:ascii="Arial" w:cs="Arial" w:eastAsia="Arial" w:hAnsi="Arial"/>
                <w:sz w:val="18"/>
                <w:szCs w:val="18"/>
                <w:b w:val="1"/>
                <w:bCs w:val="1"/>
                <w:color w:val="auto"/>
                <w:w w:val="99"/>
              </w:rPr>
              <w:t>Organization)</w:t>
            </w:r>
          </w:p>
        </w:tc>
        <w:tc>
          <w:tcPr>
            <w:tcW w:w="35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469"/>
        </w:trPr>
        <w:tc>
          <w:tcPr>
            <w:tcW w:w="3420" w:type="dxa"/>
            <w:vAlign w:val="bottom"/>
          </w:tcPr>
          <w:p>
            <w:pPr>
              <w:jc w:val="center"/>
              <w:ind w:right="610"/>
              <w:spacing w:after="0"/>
              <w:rPr>
                <w:sz w:val="20"/>
                <w:szCs w:val="20"/>
                <w:color w:val="auto"/>
              </w:rPr>
            </w:pPr>
            <w:r>
              <w:rPr>
                <w:rFonts w:ascii="Arial" w:cs="Arial" w:eastAsia="Arial" w:hAnsi="Arial"/>
                <w:sz w:val="18"/>
                <w:szCs w:val="18"/>
                <w:b w:val="1"/>
                <w:bCs w:val="1"/>
                <w:color w:val="auto"/>
                <w:w w:val="99"/>
              </w:rPr>
              <w:t>855 South Mint Street</w:t>
            </w:r>
          </w:p>
        </w:tc>
        <w:tc>
          <w:tcPr>
            <w:tcW w:w="3540" w:type="dxa"/>
            <w:vAlign w:val="bottom"/>
          </w:tcPr>
          <w:p>
            <w:pPr>
              <w:spacing w:after="0"/>
              <w:rPr>
                <w:sz w:val="24"/>
                <w:szCs w:val="24"/>
                <w:color w:val="auto"/>
              </w:rPr>
            </w:pPr>
          </w:p>
        </w:tc>
        <w:tc>
          <w:tcPr>
            <w:tcW w:w="2840" w:type="dxa"/>
            <w:vAlign w:val="bottom"/>
          </w:tcPr>
          <w:p>
            <w:pPr>
              <w:jc w:val="right"/>
              <w:ind w:right="610"/>
              <w:spacing w:after="0"/>
              <w:rPr>
                <w:sz w:val="20"/>
                <w:szCs w:val="20"/>
                <w:color w:val="auto"/>
              </w:rPr>
            </w:pPr>
            <w:r>
              <w:rPr>
                <w:rFonts w:ascii="Arial" w:cs="Arial" w:eastAsia="Arial" w:hAnsi="Arial"/>
                <w:sz w:val="18"/>
                <w:szCs w:val="18"/>
                <w:b w:val="1"/>
                <w:bCs w:val="1"/>
                <w:color w:val="auto"/>
              </w:rPr>
              <w:t>28202</w:t>
            </w:r>
          </w:p>
        </w:tc>
      </w:tr>
      <w:tr>
        <w:trPr>
          <w:trHeight w:val="230"/>
        </w:trPr>
        <w:tc>
          <w:tcPr>
            <w:tcW w:w="3420" w:type="dxa"/>
            <w:vAlign w:val="bottom"/>
          </w:tcPr>
          <w:p>
            <w:pPr>
              <w:jc w:val="center"/>
              <w:ind w:right="630"/>
              <w:spacing w:after="0"/>
              <w:rPr>
                <w:sz w:val="20"/>
                <w:szCs w:val="20"/>
                <w:color w:val="auto"/>
              </w:rPr>
            </w:pPr>
            <w:r>
              <w:rPr>
                <w:rFonts w:ascii="Arial" w:cs="Arial" w:eastAsia="Arial" w:hAnsi="Arial"/>
                <w:sz w:val="18"/>
                <w:szCs w:val="18"/>
                <w:b w:val="1"/>
                <w:bCs w:val="1"/>
                <w:color w:val="auto"/>
                <w:w w:val="99"/>
              </w:rPr>
              <w:t>Charlotte, NC</w:t>
            </w:r>
          </w:p>
        </w:tc>
        <w:tc>
          <w:tcPr>
            <w:tcW w:w="3540" w:type="dxa"/>
            <w:vAlign w:val="bottom"/>
          </w:tcPr>
          <w:p>
            <w:pPr>
              <w:spacing w:after="0"/>
              <w:rPr>
                <w:sz w:val="19"/>
                <w:szCs w:val="19"/>
                <w:color w:val="auto"/>
              </w:rPr>
            </w:pPr>
          </w:p>
        </w:tc>
        <w:tc>
          <w:tcPr>
            <w:tcW w:w="284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(Zip Code)</w:t>
            </w:r>
          </w:p>
        </w:tc>
      </w:tr>
      <w:tr>
        <w:trPr>
          <w:trHeight w:val="229"/>
        </w:trPr>
        <w:tc>
          <w:tcPr>
            <w:tcW w:w="3420" w:type="dxa"/>
            <w:vAlign w:val="bottom"/>
          </w:tcPr>
          <w:p>
            <w:pPr>
              <w:jc w:val="center"/>
              <w:ind w:right="630"/>
              <w:spacing w:after="0"/>
              <w:rPr>
                <w:sz w:val="20"/>
                <w:szCs w:val="20"/>
                <w:color w:val="auto"/>
              </w:rPr>
            </w:pPr>
            <w:r>
              <w:rPr>
                <w:rFonts w:ascii="Arial" w:cs="Arial" w:eastAsia="Arial" w:hAnsi="Arial"/>
                <w:sz w:val="18"/>
                <w:szCs w:val="18"/>
                <w:b w:val="1"/>
                <w:bCs w:val="1"/>
                <w:color w:val="auto"/>
                <w:w w:val="99"/>
              </w:rPr>
              <w:t>(Address of Principal Executive</w:t>
            </w:r>
          </w:p>
        </w:tc>
        <w:tc>
          <w:tcPr>
            <w:tcW w:w="35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47"/>
        </w:trPr>
        <w:tc>
          <w:tcPr>
            <w:tcW w:w="3420" w:type="dxa"/>
            <w:vAlign w:val="bottom"/>
          </w:tcPr>
          <w:p>
            <w:pPr>
              <w:jc w:val="center"/>
              <w:ind w:right="630"/>
              <w:spacing w:after="0"/>
              <w:rPr>
                <w:sz w:val="20"/>
                <w:szCs w:val="20"/>
                <w:color w:val="auto"/>
              </w:rPr>
            </w:pPr>
            <w:r>
              <w:rPr>
                <w:rFonts w:ascii="Arial" w:cs="Arial" w:eastAsia="Arial" w:hAnsi="Arial"/>
                <w:sz w:val="18"/>
                <w:szCs w:val="18"/>
                <w:b w:val="1"/>
                <w:bCs w:val="1"/>
                <w:color w:val="auto"/>
                <w:w w:val="98"/>
              </w:rPr>
              <w:t>Offices)</w:t>
            </w:r>
          </w:p>
        </w:tc>
        <w:tc>
          <w:tcPr>
            <w:tcW w:w="3540" w:type="dxa"/>
            <w:vAlign w:val="bottom"/>
          </w:tcPr>
          <w:p>
            <w:pPr>
              <w:spacing w:after="0"/>
              <w:rPr>
                <w:sz w:val="21"/>
                <w:szCs w:val="21"/>
                <w:color w:val="auto"/>
              </w:rPr>
            </w:pPr>
          </w:p>
        </w:tc>
        <w:tc>
          <w:tcPr>
            <w:tcW w:w="2840" w:type="dxa"/>
            <w:vAlign w:val="bottom"/>
          </w:tcPr>
          <w:p>
            <w:pPr>
              <w:spacing w:after="0"/>
              <w:rPr>
                <w:sz w:val="21"/>
                <w:szCs w:val="21"/>
                <w:color w:val="auto"/>
              </w:rPr>
            </w:pPr>
          </w:p>
        </w:tc>
      </w:tr>
    </w:tbl>
    <w:p>
      <w:pPr>
        <w:spacing w:after="0" w:line="3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Su Ping Lu</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(704) 627-6200</w:t>
      </w:r>
    </w:p>
    <w:p>
      <w:pPr>
        <w:spacing w:after="0" w:line="23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and telephone number, including area code, of the</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80" w:lineRule="exact"/>
        <w:rPr>
          <w:sz w:val="24"/>
          <w:szCs w:val="24"/>
          <w:color w:val="auto"/>
        </w:rPr>
      </w:pPr>
    </w:p>
    <w:p>
      <w:pPr>
        <w:ind w:left="440" w:hanging="392"/>
        <w:spacing w:after="0"/>
        <w:tabs>
          <w:tab w:leader="none" w:pos="44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Rule 13p-1 under the Securities Exchange Act (17 CFR 240.13p-1) for the reporting period from January 1 to December 31, 2025.</w:t>
      </w:r>
    </w:p>
    <w:p>
      <w:pPr>
        <w:sectPr>
          <w:pgSz w:w="11900" w:h="16838" w:orient="portrait"/>
          <w:cols w:equalWidth="0" w:num="1">
            <w:col w:w="10920"/>
          </w:cols>
          <w:pgMar w:left="320" w:top="871" w:right="65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Conflict Minerals Disclosure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Conflict Minerals Disclosure and Report</w:t>
      </w:r>
    </w:p>
    <w:p>
      <w:pPr>
        <w:spacing w:after="0" w:line="25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 copy of Honeywell International Inc.’s Conflict Minerals Report is provided as Exhibit 1.01 hereto and is publicly available at http://investor.honeywell.com/financial-information/sec-filings (see Conflict Minerals Report).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an exhibit hereto.</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2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 #</w:t>
            </w: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1.01</w:t>
            </w:r>
          </w:p>
        </w:tc>
        <w:tc>
          <w:tcPr>
            <w:tcW w:w="1460" w:type="dxa"/>
            <w:vAlign w:val="bottom"/>
          </w:tcPr>
          <w:p>
            <w:pPr>
              <w:spacing w:after="0"/>
              <w:rPr>
                <w:sz w:val="15"/>
                <w:szCs w:val="15"/>
                <w:color w:val="auto"/>
              </w:rPr>
            </w:pPr>
          </w:p>
        </w:tc>
        <w:tc>
          <w:tcPr>
            <w:tcW w:w="606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Conflict Minerals Report as required by Items 1.01 and 1.02 of this Form SD</w:t>
            </w:r>
          </w:p>
        </w:tc>
        <w:tc>
          <w:tcPr>
            <w:tcW w:w="1700" w:type="dxa"/>
            <w:vAlign w:val="bottom"/>
            <w:tcBorders>
              <w:top w:val="single" w:sz="8" w:color="auto"/>
            </w:tcBorders>
          </w:tcPr>
          <w:p>
            <w:pPr>
              <w:spacing w:after="0"/>
              <w:rPr>
                <w:sz w:val="15"/>
                <w:szCs w:val="15"/>
                <w:color w:val="auto"/>
              </w:rPr>
            </w:pPr>
          </w:p>
        </w:tc>
      </w:tr>
    </w:tbl>
    <w:p>
      <w:pPr>
        <w:sectPr>
          <w:pgSz w:w="11900" w:h="16838" w:orient="portrait"/>
          <w:cols w:equalWidth="0" w:num="1">
            <w:col w:w="10680"/>
          </w:cols>
          <w:pgMar w:left="320" w:top="1012" w:right="89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ind w:left="680"/>
        <w:spacing w:after="0"/>
        <w:tabs>
          <w:tab w:leader="none" w:pos="606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color w:val="auto"/>
        </w:rPr>
        <w:t>HONEYWELL INTERNATIONAL INC.</w:t>
      </w:r>
    </w:p>
    <w:p>
      <w:pPr>
        <w:spacing w:after="0" w:line="29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Su Ping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040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Su Ping Lu</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General Counsel</w:t>
      </w:r>
    </w:p>
    <w:p>
      <w:pPr>
        <w:ind w:left="652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0980"/>
          </w:cols>
          <w:pgMar w:left="320" w:top="1255" w:right="59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1.01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2025</w:t>
      </w:r>
    </w:p>
    <w:p>
      <w:pPr>
        <w:spacing w:after="0" w:line="28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This report for the year ended December 31, 2025, is presented to comply with Rule 13p-1 under the Securities Exchange Act of 1934, as amended (the Rule). The Rule was adopted by the Securities and Exchange Commission (the SEC) to implement reporting and disclosure requirements related to conflict minerals as directed by the Dodd-Frank Wall Street Reform and Consumer Protection Act of 2010 (the Dodd-Frank Act). The Rule imposes certain reporting obligations on SEC registrants whose manufactured products contain conflict minerals which are necessary to the functionality or production of their products. Conflict Minerals are defined as cassiterite, columbite-tantalite, wolframite and gold, including their derivatives, which are limited to tin, tantalum and tungsten (3TG).</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The information in this report includes the products of Honeywell International Inc. and its subsidiaries (Honeywell) as of December 31, 2025. In accordance with Instruction 3 to Item 1.01 of Form SD, this report does not include products manufactured by companies acquired during the fiscal year ended December 31, 2025, that previously had not been obligated to provide a specialized disclosure report with respect to conflict minerals.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Overview</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Honeywell’s Business</w:t>
      </w:r>
    </w:p>
    <w:p>
      <w:pPr>
        <w:spacing w:after="0" w:line="285"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Honeywell is an integrated operating company serving a broad range of industries and geographies around the world with a portfolio that is underpinned by our Honeywell Accelerator operating system and Honeywell Forge integrated software platform. As a trusted partner, we help organizations solve the world's toughest, most complex challenges, helping provide actionable solutions and innovations that help make the world smarter, safer, and more sustainable.</w:t>
      </w:r>
    </w:p>
    <w:p>
      <w:pPr>
        <w:spacing w:after="0" w:line="19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During 2025, we globally managed our business operations through four reportable segments: Aerospace Technologies, Building Automation, Energy and Sustainability Solutions, and Industrial Automation.</w:t>
      </w:r>
    </w:p>
    <w:p>
      <w:pPr>
        <w:spacing w:after="0" w:line="18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Aerospace Technologies: leading global supplier of products, software and services for aircrafts that it sells to original</w:t>
      </w:r>
    </w:p>
    <w:p>
      <w:pPr>
        <w:spacing w:after="0" w:line="40" w:lineRule="exact"/>
        <w:rPr>
          <w:rFonts w:ascii="Arial" w:cs="Arial" w:eastAsia="Arial" w:hAnsi="Arial"/>
          <w:sz w:val="20"/>
          <w:szCs w:val="20"/>
          <w:color w:val="auto"/>
        </w:rPr>
      </w:pPr>
    </w:p>
    <w:p>
      <w:pPr>
        <w:ind w:left="660"/>
        <w:spacing w:after="0" w:line="328" w:lineRule="auto"/>
        <w:rPr>
          <w:rFonts w:ascii="Arial" w:cs="Arial" w:eastAsia="Arial" w:hAnsi="Arial"/>
          <w:sz w:val="20"/>
          <w:szCs w:val="20"/>
          <w:color w:val="auto"/>
        </w:rPr>
      </w:pPr>
      <w:r>
        <w:rPr>
          <w:rFonts w:ascii="Arial" w:cs="Arial" w:eastAsia="Arial" w:hAnsi="Arial"/>
          <w:sz w:val="20"/>
          <w:szCs w:val="20"/>
          <w:color w:val="auto"/>
        </w:rPr>
        <w:t>equipment manufacturers (OEMs) and other customers in a variety of end markets including: air transport, regional, business and general aviation aircraft, airlines, aircraft operators and defense and space contractors;</w:t>
      </w:r>
    </w:p>
    <w:p>
      <w:pPr>
        <w:spacing w:after="0" w:line="32" w:lineRule="exact"/>
        <w:rPr>
          <w:rFonts w:ascii="Arial" w:cs="Arial" w:eastAsia="Arial" w:hAnsi="Arial"/>
          <w:sz w:val="20"/>
          <w:szCs w:val="20"/>
          <w:color w:val="auto"/>
        </w:rPr>
      </w:pPr>
    </w:p>
    <w:p>
      <w:pPr>
        <w:ind w:left="660" w:hanging="328"/>
        <w:spacing w:after="0" w:line="31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Building Automation: leading global provider of products, software, solutions and technologies that enable building owners and occupants to ensure their facilities are safe, energy efficient, sustainable and productive;</w:t>
      </w:r>
    </w:p>
    <w:p>
      <w:pPr>
        <w:spacing w:after="0" w:line="46" w:lineRule="exact"/>
        <w:rPr>
          <w:rFonts w:ascii="Arial" w:cs="Arial" w:eastAsia="Arial" w:hAnsi="Arial"/>
          <w:sz w:val="20"/>
          <w:szCs w:val="20"/>
          <w:color w:val="auto"/>
        </w:rPr>
      </w:pPr>
    </w:p>
    <w:p>
      <w:pPr>
        <w:jc w:val="both"/>
        <w:ind w:left="660" w:hanging="328"/>
        <w:spacing w:after="0" w:line="29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Energy and Sustainability Solutions: enables energy security for customers globally through a century of domain expertise and innovation to provide efficient and responsible energy expansion through digitally optimized operations; and</w:t>
      </w:r>
    </w:p>
    <w:p>
      <w:pPr>
        <w:spacing w:after="0" w:line="61" w:lineRule="exact"/>
        <w:rPr>
          <w:rFonts w:ascii="Arial" w:cs="Arial" w:eastAsia="Arial" w:hAnsi="Arial"/>
          <w:sz w:val="20"/>
          <w:szCs w:val="20"/>
          <w:color w:val="auto"/>
        </w:rPr>
      </w:pPr>
    </w:p>
    <w:p>
      <w:pPr>
        <w:ind w:left="660" w:hanging="328"/>
        <w:spacing w:after="0" w:line="31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Industrial Automation: global provider of industrial automation solutions that deliver intelligent, sustainable, and secure operations for customers in refining/petrochemicals, life sciences, utilities, and warehouse and logistics segments.</w:t>
      </w:r>
    </w:p>
    <w:p>
      <w:pPr>
        <w:sectPr>
          <w:pgSz w:w="11900" w:h="16838" w:orient="portrait"/>
          <w:cols w:equalWidth="0" w:num="1">
            <w:col w:w="11240"/>
          </w:cols>
          <w:pgMar w:left="320" w:top="791"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20"/>
          <w:szCs w:val="20"/>
          <w:color w:val="auto"/>
        </w:rPr>
        <w:t>Effective in the first quarter of 2026, Honeywell realigned certain of its business units comprising its Industrial Automation and Energy and Sustainability Solutions reportable business segments. This realignment formed a new reportable business segment, Process Automation and Technology, and resulted in a new composition of the Industrial Automation reportable business segment. Process Automation and Technology is comprised of UOP, which was previously in Energy and Sustainability Solutions, and the core portion of the Process Solutions business, which was previously in Industrial Automation. As a result, Honeywell will no longer report results for the Energy and Sustainability Solutions segment (the Advanced Materials business, which was formerly reported in Energy and Sustainability Solutions, was spun off on October 30, 2025). The new composition of Industrial Automation continues to include the smart energy, thermal solutions, and process measurement and control businesses, previously included in the Process Solutions business, as well as the Sensing and Safety Technologies (excluding Honeywell's former personal protective equipment business, which was sold on May 21, 2025), Warehouse and Workflow Solutions, and Productivity Solutions and Services businesses. Following the realignment, Honeywell’s reportable business segments are Aerospace Technologies, Building Automation, Process Automation and Technology, and Industrial Automation. On April 23, 2026, we filed a Current Report on Form 8-K to recast the consolidated financial statements in its Annual Report on Form 10-K for the year ended December 31, 2025 filed with the SEC on February 17, 2026 to reflect the changes in the Honeywell's reportable segments.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Honeywell’s Products Covered by this Report</w:t>
      </w:r>
    </w:p>
    <w:p>
      <w:pPr>
        <w:spacing w:after="0" w:line="285"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This report relates to Honeywell products: (i) for which 3TG are necessary to the functionality or production of that product; (ii) that were manufactured, or contracted to be manufactured, by Honeywell; and (iii) for which the manufacture was completed during calendar year 2025 (the Covered Products).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On the basis of a reasonable country of origin inquiry (RCOI) and due diligence measures described herein (including in the section titled “Due Diligence Results” below), as of this reporting period, Honeywell does not have sufficient validated information from the Supplier Group (as defined below) to determine the specific country of origin, and the mine or location of origin of, 3TG used in any part or product supplied to us for use in the Covered Products, including whether such 3TG originated in the Democratic Republic of the Congo, the Republic of the Congo, the Central African Republic, South Sudan, Uganda, Rwanda, Burundi, Tanzania, Zambia and Angola (the Covered Countries).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Honeywell’s Supply Chain</w:t>
      </w:r>
    </w:p>
    <w:p>
      <w:pPr>
        <w:spacing w:after="0" w:line="285"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Honeywell sells thousands of products across our four reportable segments containing parts from thousands of direct and indirect suppliers. As a “downstream” company with many tiers in our supply chain, we generally do not have a direct relationship with 3TG smelters or refiners (SORs). It is difficult for us to identify actors upstream from our direct material suppliers, and we rely on our direct material suppliers to provide information on the SORs as well as the origin of 3TG contained in parts or products supplied to us, including sources of 3TG that are supplied to them from their upstream suppliers. These direct material suppliers similarly rely on information provided by their suppliers.</w:t>
      </w:r>
    </w:p>
    <w:p>
      <w:pPr>
        <w:spacing w:after="0" w:line="217"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As we renew or enter into new purchase agreements with direct material suppliers, we are adding a 3TG compliance provision requiring such suppliers to conduct and document their inquiries into the SORs as well as the country of origin of 3TG in parts or products supplied to Honeywell and to provide Honeywell with information or representations that Honeywell requires to meet its compliance obligations. The terms and</w:t>
      </w:r>
    </w:p>
    <w:p>
      <w:pPr>
        <w:sectPr>
          <w:pgSz w:w="11900" w:h="16838" w:orient="portrait"/>
          <w:cols w:equalWidth="0" w:num="1">
            <w:col w:w="11240"/>
          </w:cols>
          <w:pgMar w:left="320" w:top="1036" w:right="339" w:bottom="1440" w:gutter="0" w:footer="0" w:header="0"/>
        </w:sectPr>
      </w:pPr>
    </w:p>
    <w:bookmarkStart w:id="5" w:name="page6"/>
    <w:bookmarkEnd w:id="5"/>
    <w:p>
      <w:pPr>
        <w:jc w:val="both"/>
        <w:spacing w:after="0" w:line="314" w:lineRule="auto"/>
        <w:rPr>
          <w:sz w:val="20"/>
          <w:szCs w:val="20"/>
          <w:color w:val="auto"/>
        </w:rPr>
      </w:pPr>
      <w:r>
        <w:rPr>
          <w:rFonts w:ascii="Arial" w:cs="Arial" w:eastAsia="Arial" w:hAnsi="Arial"/>
          <w:sz w:val="20"/>
          <w:szCs w:val="20"/>
          <w:color w:val="auto"/>
        </w:rPr>
        <w:t>lengths of contracts with our suppliers are varied, and we cannot always unilaterally impose new contract terms. As described herein, we are working with our suppliers to ensure they provide 3TG sourcing information.</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We are a member of the Responsible Minerals Initiative (RMI). The RMI is a broad-based initiative to develop control systems regarding SORs through independently validated audits under the RMI’s Responsible Minerals Assurance Process (RMAP) or other independent third-party programs.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Reasonable Country of Origin Inquiry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Honeywell conducted a good faith RCOI to determine whether the 3TG found in our products may have originated in the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Covered Countries and did not come from recycled or scrap sources. The elements of the RCOI were:</w:t>
      </w:r>
    </w:p>
    <w:p>
      <w:pPr>
        <w:spacing w:after="0" w:line="28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identification of relevant suppliers;</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data collection; and</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assessment to determine whether further due diligence was required.</w:t>
      </w:r>
    </w:p>
    <w:p>
      <w:pPr>
        <w:spacing w:after="0" w:line="297" w:lineRule="exact"/>
        <w:rPr>
          <w:sz w:val="20"/>
          <w:szCs w:val="20"/>
          <w:color w:val="auto"/>
        </w:rPr>
      </w:pPr>
    </w:p>
    <w:p>
      <w:pPr>
        <w:ind w:right="360"/>
        <w:spacing w:after="0" w:line="292" w:lineRule="auto"/>
        <w:rPr>
          <w:sz w:val="20"/>
          <w:szCs w:val="20"/>
          <w:color w:val="auto"/>
        </w:rPr>
      </w:pPr>
      <w:r>
        <w:rPr>
          <w:rFonts w:ascii="Arial" w:cs="Arial" w:eastAsia="Arial" w:hAnsi="Arial"/>
          <w:sz w:val="20"/>
          <w:szCs w:val="20"/>
          <w:color w:val="auto"/>
        </w:rPr>
        <w:t>Given the large number of suppliers in our supply chain, it is not practicable for us to conduct a survey of all our suppliers. Instead, each of our four reportable segments assessed the direct material suppliers that were most likely to provide parts or products containing 3TG, and we sent over 4,000 surveys to relevant direct material suppliers, representing nearly 90% of Honeywell’s direct material supplier spend in 2025 (the Supplier Group).</w:t>
      </w:r>
    </w:p>
    <w:p>
      <w:pPr>
        <w:spacing w:after="0" w:line="21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Honeywell used 2025 versions of the RMI’s Conflict Minerals Reporting Template (the Questionnaire). The Questionnaire is designed to facilitate disclosure and communication of information regarding SORs of 3TG contained in parts or products in our supply chain. It includes questions regarding a supplier’s engagement with its direct suppliers and a listing of the SORs that the supplier and its suppliers use. In addition, the Questionnaire contains questions about the origin of 3TG included in a supplier’s parts or products, as well as supplier due diligence efforts. Honeywell engaged a third-party vendor (the Vendor) to deploy the Questionnaire to the Supplier Group via a tracking tool, which enables Honeywell and the Vendor to manage and maintain records of responses from the Supplier Group in an electronic database.</w:t>
      </w:r>
    </w:p>
    <w:p>
      <w:pPr>
        <w:spacing w:after="0" w:line="5"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We followed up with all unresponsive members of the Supplier Group through a defined process via both automated email and personalized email, including offering assistance and further information to the Supplier Group about the requirements of the Rule and the 3TG compliance program.</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The 3TG compliance program includes automated data validation on all submitted Questionnaires via the Vendor’s software. The goal of data validation is to increase the accuracy of submissions and identify any contradictory answers in the Questionnaire. All submitted forms are accepted and classified as valid or invalid such that all data is retained. Members of the Supplier Group were contacted in regard to invalid forms and were encouraged to resubmit a valid form. We reviewed the responses to determine where further engagement with our Supplier Group was warranted.</w:t>
      </w:r>
    </w:p>
    <w:p>
      <w:pPr>
        <w:spacing w:after="0" w:line="203"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Based on the responses received from the Company’s RCOI, we compiled a list of entities that are confirmed SORs, including information regarding associated countries of origin.</w:t>
      </w:r>
    </w:p>
    <w:p>
      <w:pPr>
        <w:spacing w:after="0" w:line="195"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On the basis of the responses to our RCOI, Honeywell has reason to believe it is possible that some 3TG necessary to the functionality or production of our parts or products may have originated in the Covered Countries. Accordingly, Honeywell conducted further due diligence on the source and chain of custody of the 3TG contained in parts or products provided by the Supplier Group.</w:t>
      </w:r>
    </w:p>
    <w:p>
      <w:pPr>
        <w:sectPr>
          <w:pgSz w:w="11900" w:h="16838" w:orient="portrait"/>
          <w:cols w:equalWidth="0" w:num="1">
            <w:col w:w="11240"/>
          </w:cols>
          <w:pgMar w:left="320" w:top="79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Due Diligence Process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 of Due Diligence Measures</w:t>
      </w:r>
    </w:p>
    <w:p>
      <w:pPr>
        <w:spacing w:after="0" w:line="285"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Our due diligence measures have been designed to conform, in all material respects, with the Organization for Economic Co-operation and Development’s “Due Diligence Guidance for Responsible Supply Chains of Minerals from Conflict-Affected and High-Risk Areas, Third Edition (2016)” and the related Supplements for 3TG (the OECD Framework). Our due diligence included the following elements of the OECD Framework:</w:t>
      </w:r>
    </w:p>
    <w:p>
      <w:pPr>
        <w:spacing w:after="0" w:line="19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Step 1: Establish strong company management systems;</w:t>
      </w:r>
    </w:p>
    <w:p>
      <w:pPr>
        <w:spacing w:after="0" w:line="29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Step 2: Identify and assess risks in the supply chain;</w:t>
      </w:r>
    </w:p>
    <w:p>
      <w:pPr>
        <w:spacing w:after="0" w:line="28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Step 3: Design and implement a strategy to respond to identified risks;</w:t>
      </w:r>
    </w:p>
    <w:p>
      <w:pPr>
        <w:spacing w:after="0" w:line="28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Step 4: Carry out independent third-party audit of supply chain due diligence at identified points in the supply chain; and</w:t>
      </w:r>
    </w:p>
    <w:p>
      <w:pPr>
        <w:spacing w:after="0" w:line="28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Step 5: Report on supply chain due diligence.</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Due Diligence Performed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 1: Establish Strong Company Management Systems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Honeywell has established a management system to determine the source and chain of custody of 3TG in our supply chain.</w:t>
      </w:r>
    </w:p>
    <w:p>
      <w:pPr>
        <w:spacing w:after="0" w:line="28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Conflict Minerals Statement. We have adopted a conflict minerals statement (the Statement) that outlines to suppliers</w:t>
      </w:r>
    </w:p>
    <w:p>
      <w:pPr>
        <w:spacing w:after="0" w:line="53" w:lineRule="exact"/>
        <w:rPr>
          <w:rFonts w:ascii="Arial" w:cs="Arial" w:eastAsia="Arial" w:hAnsi="Arial"/>
          <w:sz w:val="20"/>
          <w:szCs w:val="20"/>
          <w:color w:val="auto"/>
        </w:rPr>
      </w:pPr>
    </w:p>
    <w:p>
      <w:pPr>
        <w:ind w:left="660" w:right="20"/>
        <w:spacing w:after="0" w:line="298" w:lineRule="auto"/>
        <w:rPr>
          <w:rFonts w:ascii="Arial" w:cs="Arial" w:eastAsia="Arial" w:hAnsi="Arial"/>
          <w:sz w:val="20"/>
          <w:szCs w:val="20"/>
          <w:color w:val="auto"/>
        </w:rPr>
      </w:pPr>
      <w:r>
        <w:rPr>
          <w:rFonts w:ascii="Arial" w:cs="Arial" w:eastAsia="Arial" w:hAnsi="Arial"/>
          <w:sz w:val="20"/>
          <w:szCs w:val="20"/>
          <w:color w:val="auto"/>
        </w:rPr>
        <w:t>and customers our commitment to responsible sourcing of 3TG throughout our global supply chain and to compliance with the Rule. The Statement is publicly available on our website at: https://www.honeywell.com/en-us/company/integrity-and-compliance (see “Honeywell's Conflict Minerals Statement”).</w:t>
      </w:r>
    </w:p>
    <w:p>
      <w:pPr>
        <w:spacing w:after="0" w:line="196" w:lineRule="exact"/>
        <w:rPr>
          <w:rFonts w:ascii="Arial" w:cs="Arial" w:eastAsia="Arial" w:hAnsi="Arial"/>
          <w:sz w:val="20"/>
          <w:szCs w:val="20"/>
          <w:color w:val="auto"/>
        </w:rPr>
      </w:pPr>
    </w:p>
    <w:p>
      <w:pPr>
        <w:jc w:val="both"/>
        <w:ind w:left="660" w:hanging="328"/>
        <w:spacing w:after="0" w:line="288" w:lineRule="auto"/>
        <w:tabs>
          <w:tab w:leader="none" w:pos="649"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Internal Team. Our management system includes oversight of our RCOI and due diligence processes by a team made up of representatives from each of Honeywell’s four reportable segments and from various functions within Honeywell</w:t>
      </w:r>
    </w:p>
    <w:p>
      <w:pPr>
        <w:spacing w:after="0" w:line="1" w:lineRule="exact"/>
        <w:rPr>
          <w:rFonts w:ascii="Arial" w:cs="Arial" w:eastAsia="Arial" w:hAnsi="Arial"/>
          <w:sz w:val="20"/>
          <w:szCs w:val="20"/>
          <w:color w:val="auto"/>
        </w:rPr>
      </w:pPr>
    </w:p>
    <w:p>
      <w:pPr>
        <w:jc w:val="both"/>
        <w:ind w:left="660"/>
        <w:spacing w:after="0" w:line="298" w:lineRule="auto"/>
        <w:rPr>
          <w:rFonts w:ascii="Arial" w:cs="Arial" w:eastAsia="Arial" w:hAnsi="Arial"/>
          <w:sz w:val="20"/>
          <w:szCs w:val="20"/>
          <w:color w:val="auto"/>
        </w:rPr>
      </w:pPr>
      <w:r>
        <w:rPr>
          <w:rFonts w:ascii="Arial" w:cs="Arial" w:eastAsia="Arial" w:hAnsi="Arial"/>
          <w:sz w:val="20"/>
          <w:szCs w:val="20"/>
          <w:color w:val="auto"/>
        </w:rPr>
        <w:t>such as Procurement, Product Stewardship, Health, Safety, Environment and Sustainability, Information Technology (IT) and Legal (the 3TG Compliance Team). The 3TG Compliance Team is responsible for implementing our 3TG compliance program and communicating information about program status and effectiveness to senior management.</w:t>
      </w:r>
    </w:p>
    <w:p>
      <w:pPr>
        <w:spacing w:after="0" w:line="19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Control Systems. We utilize the Questionnaire sent to our Supplier Group to gather information on the chain of custody</w:t>
      </w:r>
    </w:p>
    <w:p>
      <w:pPr>
        <w:spacing w:after="0" w:line="53" w:lineRule="exact"/>
        <w:rPr>
          <w:rFonts w:ascii="Arial" w:cs="Arial" w:eastAsia="Arial" w:hAnsi="Arial"/>
          <w:sz w:val="20"/>
          <w:szCs w:val="20"/>
          <w:color w:val="auto"/>
        </w:rPr>
      </w:pPr>
    </w:p>
    <w:p>
      <w:pPr>
        <w:ind w:left="660"/>
        <w:spacing w:after="0" w:line="314" w:lineRule="auto"/>
        <w:rPr>
          <w:rFonts w:ascii="Arial" w:cs="Arial" w:eastAsia="Arial" w:hAnsi="Arial"/>
          <w:sz w:val="20"/>
          <w:szCs w:val="20"/>
          <w:color w:val="auto"/>
        </w:rPr>
      </w:pPr>
      <w:r>
        <w:rPr>
          <w:rFonts w:ascii="Arial" w:cs="Arial" w:eastAsia="Arial" w:hAnsi="Arial"/>
          <w:sz w:val="20"/>
          <w:szCs w:val="20"/>
          <w:color w:val="auto"/>
        </w:rPr>
        <w:t>of the 3TG included in our products. In addition, we are a member of the Responsible Minerals Initiative, an industry-wide initiative working to develop conflict-free supply chains.</w:t>
      </w:r>
    </w:p>
    <w:p>
      <w:pPr>
        <w:spacing w:after="0" w:line="181" w:lineRule="exact"/>
        <w:rPr>
          <w:rFonts w:ascii="Arial" w:cs="Arial" w:eastAsia="Arial" w:hAnsi="Arial"/>
          <w:sz w:val="20"/>
          <w:szCs w:val="20"/>
          <w:color w:val="auto"/>
        </w:rPr>
      </w:pPr>
    </w:p>
    <w:p>
      <w:pPr>
        <w:jc w:val="both"/>
        <w:ind w:left="660" w:hanging="328"/>
        <w:spacing w:after="0" w:line="288" w:lineRule="auto"/>
        <w:tabs>
          <w:tab w:leader="none" w:pos="649" w:val="left"/>
        </w:tabs>
        <w:numPr>
          <w:ilvl w:val="0"/>
          <w:numId w:val="5"/>
        </w:numPr>
        <w:rPr>
          <w:rFonts w:ascii="Arial" w:cs="Arial" w:eastAsia="Arial" w:hAnsi="Arial"/>
          <w:sz w:val="20"/>
          <w:szCs w:val="20"/>
          <w:color w:val="auto"/>
        </w:rPr>
      </w:pPr>
      <w:r>
        <w:rPr>
          <w:rFonts w:ascii="Arial" w:cs="Arial" w:eastAsia="Arial" w:hAnsi="Arial"/>
          <w:sz w:val="20"/>
          <w:szCs w:val="20"/>
          <w:color w:val="auto"/>
        </w:rPr>
        <w:t>Supplier Engagement. We have communicated to the Supplier Group our obligations under the Rule by distributing to them background information on the Rule along with the Questionnaire. In addition, through our Vendor, we provide</w:t>
      </w:r>
    </w:p>
    <w:p>
      <w:pPr>
        <w:spacing w:after="0" w:line="1" w:lineRule="exact"/>
        <w:rPr>
          <w:rFonts w:ascii="Arial" w:cs="Arial" w:eastAsia="Arial" w:hAnsi="Arial"/>
          <w:sz w:val="20"/>
          <w:szCs w:val="20"/>
          <w:color w:val="auto"/>
        </w:rPr>
      </w:pPr>
    </w:p>
    <w:p>
      <w:pPr>
        <w:ind w:left="660" w:right="20"/>
        <w:spacing w:after="0" w:line="314" w:lineRule="auto"/>
        <w:rPr>
          <w:rFonts w:ascii="Arial" w:cs="Arial" w:eastAsia="Arial" w:hAnsi="Arial"/>
          <w:sz w:val="20"/>
          <w:szCs w:val="20"/>
          <w:color w:val="auto"/>
        </w:rPr>
      </w:pPr>
      <w:r>
        <w:rPr>
          <w:rFonts w:ascii="Arial" w:cs="Arial" w:eastAsia="Arial" w:hAnsi="Arial"/>
          <w:sz w:val="20"/>
          <w:szCs w:val="20"/>
          <w:color w:val="auto"/>
        </w:rPr>
        <w:t>training materials on 3TG compliance to the Supplier Group. We are also integrating a 3TG compliance provision into purchase agreements with direct material suppliers</w:t>
      </w:r>
    </w:p>
    <w:p>
      <w:pPr>
        <w:sectPr>
          <w:pgSz w:w="11900" w:h="16838" w:orient="portrait"/>
          <w:cols w:equalWidth="0" w:num="1">
            <w:col w:w="11240"/>
          </w:cols>
          <w:pgMar w:left="320" w:top="1034" w:right="339" w:bottom="1440" w:gutter="0" w:footer="0" w:header="0"/>
        </w:sectPr>
      </w:pPr>
    </w:p>
    <w:bookmarkStart w:id="7" w:name="page8"/>
    <w:bookmarkEnd w:id="7"/>
    <w:p>
      <w:pPr>
        <w:ind w:left="660" w:right="20"/>
        <w:spacing w:after="0" w:line="314" w:lineRule="auto"/>
        <w:rPr>
          <w:sz w:val="20"/>
          <w:szCs w:val="20"/>
          <w:color w:val="auto"/>
        </w:rPr>
      </w:pPr>
      <w:r>
        <w:rPr>
          <w:rFonts w:ascii="Arial" w:cs="Arial" w:eastAsia="Arial" w:hAnsi="Arial"/>
          <w:sz w:val="20"/>
          <w:szCs w:val="20"/>
          <w:color w:val="auto"/>
        </w:rPr>
        <w:t>that sets forth Honeywell’s expectations that such direct material suppliers will cooperate with Honeywell’s RCOI and due diligence measures as required by the Rule.</w:t>
      </w:r>
    </w:p>
    <w:p>
      <w:pPr>
        <w:spacing w:after="0" w:line="181" w:lineRule="exact"/>
        <w:rPr>
          <w:sz w:val="20"/>
          <w:szCs w:val="20"/>
          <w:color w:val="auto"/>
        </w:rPr>
      </w:pPr>
    </w:p>
    <w:p>
      <w:pPr>
        <w:ind w:left="660" w:hanging="328"/>
        <w:spacing w:after="0" w:line="328" w:lineRule="auto"/>
        <w:tabs>
          <w:tab w:leader="none" w:pos="649" w:val="left"/>
        </w:tabs>
        <w:numPr>
          <w:ilvl w:val="0"/>
          <w:numId w:val="6"/>
        </w:numPr>
        <w:rPr>
          <w:rFonts w:ascii="Arial" w:cs="Arial" w:eastAsia="Arial" w:hAnsi="Arial"/>
          <w:sz w:val="20"/>
          <w:szCs w:val="20"/>
          <w:color w:val="auto"/>
        </w:rPr>
      </w:pPr>
      <w:r>
        <w:rPr>
          <w:rFonts w:ascii="Arial" w:cs="Arial" w:eastAsia="Arial" w:hAnsi="Arial"/>
          <w:sz w:val="20"/>
          <w:szCs w:val="20"/>
          <w:color w:val="auto"/>
        </w:rPr>
        <w:t>Grievance Mechanism. We have a company level Helpline that provides employees and suppliers with a mechanism to report violations of our policies or other concerns.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 2: Identify and Assess Risks in the Supply Chain</w:t>
      </w:r>
    </w:p>
    <w:p>
      <w:pPr>
        <w:spacing w:after="0" w:line="28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Distribution of Questionnaires to Supplier Group. In 2025, we distributed the Questionnaire to the Supplier Group in order to gather information on our supply chain, including (i) whether any of the minerals they supplied to Honeywell may contain 3TG,</w:t>
      </w:r>
    </w:p>
    <w:p>
      <w:pPr>
        <w:spacing w:after="0" w:line="2" w:lineRule="exact"/>
        <w:rPr>
          <w:sz w:val="20"/>
          <w:szCs w:val="20"/>
          <w:color w:val="auto"/>
        </w:rPr>
      </w:pPr>
    </w:p>
    <w:p>
      <w:pPr>
        <w:jc w:val="both"/>
        <w:ind w:firstLine="8"/>
        <w:spacing w:after="0" w:line="298" w:lineRule="auto"/>
        <w:tabs>
          <w:tab w:leader="none" w:pos="278" w:val="left"/>
        </w:tabs>
        <w:numPr>
          <w:ilvl w:val="0"/>
          <w:numId w:val="7"/>
        </w:numPr>
        <w:rPr>
          <w:rFonts w:ascii="Arial" w:cs="Arial" w:eastAsia="Arial" w:hAnsi="Arial"/>
          <w:sz w:val="20"/>
          <w:szCs w:val="20"/>
          <w:color w:val="auto"/>
        </w:rPr>
      </w:pPr>
      <w:r>
        <w:rPr>
          <w:rFonts w:ascii="Arial" w:cs="Arial" w:eastAsia="Arial" w:hAnsi="Arial"/>
          <w:sz w:val="20"/>
          <w:szCs w:val="20"/>
          <w:color w:val="auto"/>
        </w:rPr>
        <w:t>whether any 3TG are necessary to the functionality or production of the parts or products in which they are used, and (iii) the SORs of any 3TG in our supply chain and whether the 3TG originated from the Covered Countries or came from recycled or scrap sources.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Assessment of Supplier Group Responses. We reviewed each response from the Supplier Group to assess the adequacy of such response. Members of the Supplier Group that failed to respond to the Questionnaire or that did not provide responses to all applicable questions in the Questionnaire received follow-up communications requesting additional information. If a supplier response indicated that 3TG contained in parts or products provided to Honeywell may have originated from the Covered Countries, then such response was sent to the 3TG Compliance Team for further review and determination of follow-up steps.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 3: Design and Implement a Strategy to Respond to Identified Risks</w:t>
      </w:r>
    </w:p>
    <w:p>
      <w:pPr>
        <w:spacing w:after="0" w:line="285"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We have a risk management plan to address concerns that a supplier may be providing to Honeywell products or parts that contain 3TG sourced from the Covered Countries. If a supplier indicates that its products may contain 3TG sourced from the Covered Countries, we will follow up with the supplier to gather more information, including the basis for the information provided and other information regarding the sourcing country and SOR. Identified risks will be reported to the 3TG Compliance Team, which will determine appropriate follow-up actions, if any, to mitigate risks. There have been no known instances of validated high-risk issues in the supply chain that require follow-up actions to be considered.</w:t>
      </w:r>
    </w:p>
    <w:p>
      <w:pPr>
        <w:spacing w:after="0" w:line="203"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To ensure that the Supplier Group understands our expectations with respect to compliance with the Rule, we distribute background information on the Rule and the Statement, and we provide access to training materials on 3TG compliance to the Supplier Group in addition to the Questionnaire.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Step 4: Carry Out Independent Third-Party Audit of Supply Chain Due Diligence at Identified Points in the Supply Chain</w:t>
      </w:r>
    </w:p>
    <w:p>
      <w:pPr>
        <w:spacing w:after="0" w:line="297"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Honeywell relies on RMI to identify conformant SORs, including through RMAP or through equivalent third-party audit programs (Conformant SORs). We compared the SORs identified by the Supplier Group to the list of Conformant SORs.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 5: Report on Supply Chain Due Diligence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This Conflict Minerals Report shall be filed with the SEC and is publicly available at: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http://investor.honeywell.com/financial-information/sec-filings (see “Conflict Minerals Report”).</w:t>
      </w:r>
    </w:p>
    <w:p>
      <w:pPr>
        <w:sectPr>
          <w:pgSz w:w="11900" w:h="16838" w:orient="portrait"/>
          <w:cols w:equalWidth="0" w:num="1">
            <w:col w:w="11240"/>
          </w:cols>
          <w:pgMar w:left="320" w:top="793"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Due Diligence Results</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The Questionnaire sent to the Supplier Group requests that the Supplier Group provide Honeywell with information on (i) the SORs that the Supplier Group and its suppliers use to supply the 3TG in the Covered Products, (ii) whether the 3TG used in the Covered Products originates from the Covered Countries, and (iii) the mine or location of origin of the 3TG used in the Covered Products. Honeywell must rely on responses from the Supplier Group to our Questionnaire in order to determine the facilities used to process 3TG used in the Covered Products, whether the 3TG used in the Covered Products originates from the Covered Countries and the source of 3TG used in the Covered Products.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For 2025, the responses received from the Supplier Group identified 339 unique RMI-recognized SORs, of which 209 or approximately 62% were validated as Conformant SORs. 956 supplier responses indicated that they may have sourced 3TG from one of the Covered Countries. However, based on our due diligence for this reporting period, we were unable to link conclusively 3TG from the Covered Countries to the Covered Products. We were unable to do so because the responses were generally with respect to the supplier’s overall 3TG sourcing, without specifying whether such 3TG was used in parts or products provided to Honeywell, or did not link such 3TG to parts or products provided to Honeywell in a reasonably reliable manner. The remaining survey responses provided SOR information for 3TG used in parts or products provided to Honeywell but did not confirm that the 3TG originated from the Covered Countries as the identified SORs source from multiple countries, or from recycled or scrap sources. We identified certain of these SORs as potentially sourcing from Covered Countries; these SORs are listed in Annex I and each such SOR was verified as a Conformant SOR.</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Based on the due diligence procedures described above, Honeywell does not have sufficient, validated information to determine conclusively the countries of origin of 3TG used in the Covered Products.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Steps to be taken to mitigate risk</w:t>
      </w:r>
    </w:p>
    <w:p>
      <w:pPr>
        <w:spacing w:after="0" w:line="285"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We intend to take the following steps to improve the due diligence conducted and to further mitigate any future risk of sourcing 3TG that benefit armed groups:</w:t>
      </w:r>
    </w:p>
    <w:p>
      <w:pPr>
        <w:spacing w:after="0" w:line="181" w:lineRule="exact"/>
        <w:rPr>
          <w:sz w:val="20"/>
          <w:szCs w:val="20"/>
          <w:color w:val="auto"/>
        </w:rPr>
      </w:pPr>
    </w:p>
    <w:p>
      <w:pPr>
        <w:ind w:left="660" w:hanging="328"/>
        <w:spacing w:after="0" w:line="328"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Continue to refine and update our process to target appropriate suppliers as well as re-survey suppliers to confirm that they do not incorporate 3TG in our supply chain.</w:t>
      </w:r>
    </w:p>
    <w:p>
      <w:pPr>
        <w:spacing w:after="0" w:line="167" w:lineRule="exact"/>
        <w:rPr>
          <w:rFonts w:ascii="Arial" w:cs="Arial" w:eastAsia="Arial" w:hAnsi="Arial"/>
          <w:sz w:val="20"/>
          <w:szCs w:val="20"/>
          <w:color w:val="auto"/>
        </w:rPr>
      </w:pPr>
    </w:p>
    <w:p>
      <w:pPr>
        <w:jc w:val="both"/>
        <w:ind w:left="660" w:hanging="328"/>
        <w:spacing w:after="0" w:line="293"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Continue to work closely with the Supplier Group to obtain the necessary validated information on the origin of the 3TG contained in the parts, products or services sold to Honeywell, which we expect will become available as (i) more upstream suppliers receive the necessary information from their respective upstream suppliers, and (ii) the RMI’s Responsible Minerals Assurance Process continues to grow and provide more visibility in determining whether manufactured products are sourced from the Covered Countries.</w:t>
      </w:r>
    </w:p>
    <w:p>
      <w:pPr>
        <w:spacing w:after="0" w:line="202" w:lineRule="exact"/>
        <w:rPr>
          <w:rFonts w:ascii="Arial" w:cs="Arial" w:eastAsia="Arial" w:hAnsi="Arial"/>
          <w:sz w:val="20"/>
          <w:szCs w:val="20"/>
          <w:color w:val="auto"/>
        </w:rPr>
      </w:pPr>
    </w:p>
    <w:p>
      <w:pPr>
        <w:jc w:val="both"/>
        <w:ind w:left="660" w:hanging="328"/>
        <w:spacing w:after="0" w:line="298"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Continue to include a 3TG compliance provision in new or renewed purchase agreements with direct material suppliers to set forth Honeywell’s expectations that such direct material suppliers will cooperate with Honeywell’s RCOI and due diligence measures as required by the Rule.</w:t>
      </w:r>
    </w:p>
    <w:p>
      <w:pPr>
        <w:spacing w:after="0" w:line="209" w:lineRule="exact"/>
        <w:rPr>
          <w:rFonts w:ascii="Arial" w:cs="Arial" w:eastAsia="Arial" w:hAnsi="Arial"/>
          <w:sz w:val="20"/>
          <w:szCs w:val="20"/>
          <w:color w:val="auto"/>
        </w:rPr>
      </w:pPr>
    </w:p>
    <w:p>
      <w:pPr>
        <w:ind w:left="660" w:hanging="328"/>
        <w:spacing w:after="0" w:line="314"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Continue to direct our suppliers to information and training resources in an effort to increase the response rate and improve the content of the supplier survey responses.</w:t>
      </w:r>
    </w:p>
    <w:p>
      <w:pPr>
        <w:sectPr>
          <w:pgSz w:w="11900" w:h="16838" w:orient="portrait"/>
          <w:cols w:equalWidth="0" w:num="1">
            <w:col w:w="11240"/>
          </w:cols>
          <w:pgMar w:left="320" w:top="791" w:right="339" w:bottom="1440" w:gutter="0" w:footer="0" w:header="0"/>
        </w:sectPr>
      </w:pPr>
    </w:p>
    <w:bookmarkStart w:id="9" w:name="page10"/>
    <w:bookmarkEnd w:id="9"/>
    <w:p>
      <w:pPr>
        <w:ind w:left="660" w:hanging="328"/>
        <w:spacing w:after="0" w:line="314" w:lineRule="auto"/>
        <w:tabs>
          <w:tab w:leader="none" w:pos="649"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Continue to analyze spend data against supplier response data to identify inconsistencies and areas of potential enhanced focus for supplier outreach efforts.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Statement about Forward-Looking Statements</w:t>
      </w: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i w:val="1"/>
          <w:iCs w:val="1"/>
          <w:color w:val="auto"/>
        </w:rPr>
        <w:t>This report contains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including ongoing conflicts in the Middle East, that can affect our performance in both the near- and long-term. In addition, no assurance can be given that any plan, initiative, projection, goal, commitment, expectation, or prospect set forth in this report can or will be achieved. These forward-looking statements should be considered in light of the information included in this report, our Annual Report on Form 10-K and other filings with the Securities and Exchange Commission. Any forward-looking plans or statements herein are not final and may be modified or abandoned at any time.</w:t>
      </w:r>
    </w:p>
    <w:p>
      <w:pPr>
        <w:sectPr>
          <w:pgSz w:w="11900" w:h="16838" w:orient="portrait"/>
          <w:cols w:equalWidth="0" w:num="1">
            <w:col w:w="11240"/>
          </w:cols>
          <w:pgMar w:left="320" w:top="793"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ANNEX I</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Metal</w:t>
            </w:r>
          </w:p>
        </w:tc>
        <w:tc>
          <w:tcPr>
            <w:tcW w:w="4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Standard SOR Name</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SOR Location</w:t>
            </w:r>
          </w:p>
        </w:tc>
        <w:tc>
          <w:tcPr>
            <w:tcW w:w="15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SOR ID</w:t>
            </w:r>
          </w:p>
        </w:tc>
      </w:tr>
      <w:tr>
        <w:trPr>
          <w:trHeight w:val="20"/>
        </w:trPr>
        <w:tc>
          <w:tcPr>
            <w:tcW w:w="1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80" w:type="dxa"/>
            <w:vAlign w:val="bottom"/>
            <w:tcBorders>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10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9"/>
              </w:rPr>
              <w:t>Almalyk Mining and Metallurgical Complex</w:t>
            </w:r>
          </w:p>
        </w:tc>
        <w:tc>
          <w:tcPr>
            <w:tcW w:w="240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9"/>
              </w:rPr>
              <w:t>Uzbekistan</w:t>
            </w:r>
          </w:p>
        </w:tc>
        <w:tc>
          <w:tcPr>
            <w:tcW w:w="158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8"/>
              </w:rPr>
              <w:t>CID000041</w:t>
            </w:r>
          </w:p>
        </w:tc>
      </w:tr>
      <w:tr>
        <w:trPr>
          <w:trHeight w:val="261"/>
        </w:trPr>
        <w:tc>
          <w:tcPr>
            <w:tcW w:w="1100" w:type="dxa"/>
            <w:vAlign w:val="bottom"/>
            <w:tcBorders>
              <w:left w:val="single" w:sz="8" w:color="auto"/>
              <w:right w:val="single" w:sz="8" w:color="auto"/>
            </w:tcBorders>
          </w:tcPr>
          <w:p>
            <w:pPr>
              <w:spacing w:after="0"/>
              <w:rPr>
                <w:sz w:val="22"/>
                <w:szCs w:val="22"/>
                <w:color w:val="auto"/>
              </w:rPr>
            </w:pP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(AMMC)</w:t>
            </w:r>
          </w:p>
        </w:tc>
        <w:tc>
          <w:tcPr>
            <w:tcW w:w="24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AngloGold Ashanti Corrego do Sitio Mineracao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Brazil</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CID000058</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Asahi Refining USA Inc.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United States of America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CID000920</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CCR Refinery - Glencore Canada Corporation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Canada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CID000185</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Heimerle + Meule GmbH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Germany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CID000694</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Istanbul Gold Refinery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Turkey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CID000814</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Jiangxi Copper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CID000855</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Metalor Technologies (Hong Kong)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CID001149</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Metalor Technologies S.A.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Switzerland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CID001153</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Mitsubishi Materials Corporation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Japan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CID001188</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MKS PAMP SA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Switzerland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CID001352</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MMTC-PAMP India Pvt.,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India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CID002509</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Nihon Material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Japan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CID001259</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Rand Refinery (Pty)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South Africa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CID001512</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Shandong Gold Smelting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CID001916</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Valcambi S.A.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Switzerland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CID002003</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Yokohama Metal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Japan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CID002129</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AMG Brasil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Brazil</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CID001076</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8"/>
        </w:trPr>
        <w:tc>
          <w:tcPr>
            <w:tcW w:w="110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8"/>
              </w:rPr>
              <w:t>Guangdong Rising Rare Metals-EO Materials</w:t>
            </w:r>
          </w:p>
        </w:tc>
        <w:tc>
          <w:tcPr>
            <w:tcW w:w="240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8"/>
              </w:rPr>
              <w:t>CID000291</w:t>
            </w:r>
          </w:p>
        </w:tc>
      </w:tr>
      <w:tr>
        <w:trPr>
          <w:trHeight w:val="261"/>
        </w:trPr>
        <w:tc>
          <w:tcPr>
            <w:tcW w:w="1100" w:type="dxa"/>
            <w:vAlign w:val="bottom"/>
            <w:tcBorders>
              <w:left w:val="single" w:sz="8" w:color="auto"/>
              <w:right w:val="single" w:sz="8" w:color="auto"/>
            </w:tcBorders>
          </w:tcPr>
          <w:p>
            <w:pPr>
              <w:spacing w:after="0"/>
              <w:rPr>
                <w:sz w:val="22"/>
                <w:szCs w:val="22"/>
                <w:color w:val="auto"/>
              </w:rPr>
            </w:pP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Ltd.</w:t>
            </w:r>
          </w:p>
        </w:tc>
        <w:tc>
          <w:tcPr>
            <w:tcW w:w="24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Jiujiang Zhongao Tantalum &amp; Niobium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CID002506</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Materion Newton Inc.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United States of America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CID002548</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Ningxia Orient Tantalum Industry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CID001277</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NPM Silmet 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Estonia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CID001200</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TANIOBIS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Thailand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CID002544</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TANIOBIS GmbH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Germany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CID002545</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TANIOBIS Smelting GmbH &amp; Co. KG</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Germany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CID002550</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Tantalum</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Ulba Metallurgical Plant JSC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Kazakhstan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CID001969</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Aurubis Beerse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Belgium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CID002773</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Luna Smelter,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Rwanda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CID003387</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8"/>
        </w:trPr>
        <w:tc>
          <w:tcPr>
            <w:tcW w:w="110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0"/>
                <w:szCs w:val="20"/>
                <w:color w:val="auto"/>
              </w:rPr>
              <w:t>Tin</w:t>
            </w:r>
          </w:p>
        </w:tc>
        <w:tc>
          <w:tcPr>
            <w:tcW w:w="428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8"/>
              </w:rPr>
              <w:t>Mining Minerals Resources SARL</w:t>
            </w:r>
          </w:p>
        </w:tc>
        <w:tc>
          <w:tcPr>
            <w:tcW w:w="240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8"/>
              </w:rPr>
              <w:t>Democratic Republic of</w:t>
            </w:r>
          </w:p>
        </w:tc>
        <w:tc>
          <w:tcPr>
            <w:tcW w:w="158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0"/>
                <w:szCs w:val="20"/>
                <w:color w:val="auto"/>
                <w:w w:val="98"/>
              </w:rPr>
              <w:t>CID004065</w:t>
            </w:r>
          </w:p>
        </w:tc>
      </w:tr>
      <w:tr>
        <w:trPr>
          <w:trHeight w:val="261"/>
        </w:trPr>
        <w:tc>
          <w:tcPr>
            <w:tcW w:w="1100" w:type="dxa"/>
            <w:vAlign w:val="bottom"/>
            <w:tcBorders>
              <w:left w:val="single" w:sz="8" w:color="auto"/>
              <w:right w:val="single" w:sz="8" w:color="auto"/>
            </w:tcBorders>
          </w:tcPr>
          <w:p>
            <w:pPr>
              <w:spacing w:after="0"/>
              <w:rPr>
                <w:sz w:val="22"/>
                <w:szCs w:val="22"/>
                <w:color w:val="auto"/>
              </w:rPr>
            </w:pPr>
          </w:p>
        </w:tc>
        <w:tc>
          <w:tcPr>
            <w:tcW w:w="42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the Congo</w:t>
            </w:r>
          </w:p>
        </w:tc>
        <w:tc>
          <w:tcPr>
            <w:tcW w:w="1580" w:type="dxa"/>
            <w:vAlign w:val="bottom"/>
            <w:tcBorders>
              <w:right w:val="single" w:sz="8" w:color="auto"/>
            </w:tcBorders>
          </w:tcPr>
          <w:p>
            <w:pPr>
              <w:spacing w:after="0"/>
              <w:rPr>
                <w:sz w:val="22"/>
                <w:szCs w:val="22"/>
                <w:color w:val="auto"/>
              </w:rPr>
            </w:pP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Thailand Smelting and Refining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Thailand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CID001898</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Tungsten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A.L.M.T.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Japan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CID000004</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Tungsten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Asia Tungsten Products Vietnam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Vietnam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CID002502</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Tungsten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H.C. Starck Tungsten GmbH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Germany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CID002541</w:t>
            </w:r>
          </w:p>
        </w:tc>
      </w:tr>
      <w:tr>
        <w:trPr>
          <w:trHeight w:val="31"/>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Tungsten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Jiangxi Xinsheng Tungsten Industry Co., Ltd.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China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CID002317</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340"/>
          </w:cols>
          <w:pgMar w:left="1280" w:top="764" w:right="12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1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4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TANIOBIS Smelting GmbH &amp; Co. KG</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Germany</w:t>
            </w:r>
          </w:p>
        </w:tc>
        <w:tc>
          <w:tcPr>
            <w:tcW w:w="15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20"/>
                <w:szCs w:val="20"/>
                <w:color w:val="auto"/>
              </w:rPr>
              <w:t>CID002542</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0"/>
        </w:trPr>
        <w:tc>
          <w:tcPr>
            <w:tcW w:w="11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Tungsten</w:t>
            </w:r>
          </w:p>
        </w:tc>
        <w:tc>
          <w:tcPr>
            <w:tcW w:w="4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Wolfram Bergbau und Hutten AG</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Austria</w:t>
            </w:r>
          </w:p>
        </w:tc>
        <w:tc>
          <w:tcPr>
            <w:tcW w:w="1580" w:type="dxa"/>
            <w:vAlign w:val="bottom"/>
            <w:tcBorders>
              <w:right w:val="single" w:sz="8" w:color="auto"/>
            </w:tcBorders>
          </w:tcPr>
          <w:p>
            <w:pPr>
              <w:ind w:left="280"/>
              <w:spacing w:after="0"/>
              <w:rPr>
                <w:sz w:val="20"/>
                <w:szCs w:val="20"/>
                <w:color w:val="auto"/>
              </w:rPr>
            </w:pPr>
            <w:r>
              <w:rPr>
                <w:rFonts w:ascii="Arial" w:cs="Arial" w:eastAsia="Arial" w:hAnsi="Arial"/>
                <w:sz w:val="20"/>
                <w:szCs w:val="20"/>
                <w:color w:val="auto"/>
              </w:rPr>
              <w:t>CID002044</w:t>
            </w:r>
          </w:p>
        </w:tc>
      </w:tr>
      <w:tr>
        <w:trPr>
          <w:trHeight w:val="30"/>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9340"/>
      </w:cols>
      <w:pgMar w:left="1280" w:top="795"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2026-05-29T18:05:30Z</dcterms:created>
  <dcterms:modified xsi:type="dcterms:W3CDTF">2026-05-29T18:05:30Z</dcterms:modified>
</cp:coreProperties>
</file>