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color w:val="auto"/>
        </w:rPr>
        <w:t>United States</w:t>
      </w:r>
    </w:p>
    <w:p>
      <w:pPr>
        <w:jc w:val="center"/>
        <w:ind w:right="-19"/>
        <w:spacing w:after="0" w:line="234" w:lineRule="auto"/>
        <w:rPr>
          <w:sz w:val="20"/>
          <w:szCs w:val="20"/>
          <w:color w:val="auto"/>
        </w:rPr>
      </w:pPr>
      <w:r>
        <w:rPr>
          <w:rFonts w:ascii="Arial" w:cs="Arial" w:eastAsia="Arial" w:hAnsi="Arial"/>
          <w:sz w:val="18"/>
          <w:szCs w:val="18"/>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Washington, D.C. 20549</w:t>
      </w:r>
    </w:p>
    <w:p>
      <w:pPr>
        <w:spacing w:after="0" w:line="17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3263900</wp:posOffset>
            </wp:positionH>
            <wp:positionV relativeFrom="paragraph">
              <wp:posOffset>140335</wp:posOffset>
            </wp:positionV>
            <wp:extent cx="72898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4"/>
          <w:szCs w:val="24"/>
          <w:color w:val="auto"/>
        </w:rPr>
      </w:pPr>
    </w:p>
    <w:p>
      <w:pPr>
        <w:spacing w:after="0" w:line="225" w:lineRule="exact"/>
        <w:rPr>
          <w:sz w:val="24"/>
          <w:szCs w:val="24"/>
          <w:color w:val="auto"/>
        </w:rPr>
      </w:pPr>
    </w:p>
    <w:p>
      <w:pPr>
        <w:ind w:left="3260" w:hanging="206"/>
        <w:spacing w:after="0"/>
        <w:tabs>
          <w:tab w:leader="none" w:pos="3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QUARTERLY REPORT PURSUANT TO SECTION 13 OR 15(d)</w:t>
      </w:r>
    </w:p>
    <w:p>
      <w:pPr>
        <w:ind w:left="3700"/>
        <w:spacing w:after="0"/>
        <w:rPr>
          <w:rFonts w:ascii="MS PGothic" w:cs="MS PGothic" w:eastAsia="MS PGothic" w:hAnsi="MS PGothic"/>
          <w:sz w:val="18"/>
          <w:szCs w:val="18"/>
          <w:color w:val="auto"/>
        </w:rPr>
      </w:pPr>
      <w:r>
        <w:rPr>
          <w:rFonts w:ascii="Arial" w:cs="Arial" w:eastAsia="Arial" w:hAnsi="Arial"/>
          <w:sz w:val="18"/>
          <w:szCs w:val="18"/>
          <w:color w:val="auto"/>
        </w:rPr>
        <w:t>OF THE SECURITIES EXCHANGE ACT OF 1934</w:t>
      </w:r>
    </w:p>
    <w:p>
      <w:pPr>
        <w:spacing w:after="0" w:line="19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For the quarterly period ended </w:t>
      </w:r>
      <w:r>
        <w:rPr>
          <w:rFonts w:ascii="Arial" w:cs="Arial" w:eastAsia="Arial" w:hAnsi="Arial"/>
          <w:sz w:val="18"/>
          <w:szCs w:val="18"/>
          <w:u w:val="single" w:color="auto"/>
          <w:color w:val="auto"/>
        </w:rPr>
        <w:t>June 30, 2018</w:t>
      </w:r>
    </w:p>
    <w:p>
      <w:pPr>
        <w:spacing w:after="0" w:line="19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OR</w:t>
      </w:r>
    </w:p>
    <w:p>
      <w:pPr>
        <w:spacing w:after="0" w:line="18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o TRANSITION REPORT PURSUANT TO SECTION 13 OR 15(d)</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OF THE SECURITIES EXCHANGE ACT OF 1934</w:t>
      </w:r>
    </w:p>
    <w:p>
      <w:pPr>
        <w:spacing w:after="0" w:line="19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 the transition period from ______ to _____</w:t>
      </w:r>
    </w:p>
    <w:p>
      <w:pPr>
        <w:spacing w:after="0" w:line="198" w:lineRule="exact"/>
        <w:rPr>
          <w:sz w:val="24"/>
          <w:szCs w:val="24"/>
          <w:color w:val="auto"/>
        </w:rPr>
      </w:pPr>
    </w:p>
    <w:p>
      <w:pPr>
        <w:ind w:left="4440"/>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u w:val="single" w:color="auto"/>
          <w:color w:val="auto"/>
        </w:rPr>
        <w:t>1-8974</w:t>
      </w:r>
    </w:p>
    <w:p>
      <w:pPr>
        <w:spacing w:after="0" w:line="176" w:lineRule="exact"/>
        <w:rPr>
          <w:sz w:val="24"/>
          <w:szCs w:val="24"/>
          <w:color w:val="auto"/>
        </w:rPr>
      </w:pPr>
    </w:p>
    <w:p>
      <w:pPr>
        <w:ind w:left="4520"/>
        <w:spacing w:after="0"/>
        <w:rPr>
          <w:sz w:val="20"/>
          <w:szCs w:val="20"/>
          <w:color w:val="auto"/>
        </w:rPr>
      </w:pPr>
      <w:r>
        <w:rPr>
          <w:rFonts w:ascii="Arial" w:cs="Arial" w:eastAsia="Arial" w:hAnsi="Arial"/>
          <w:sz w:val="18"/>
          <w:szCs w:val="18"/>
          <w:b w:val="1"/>
          <w:bCs w:val="1"/>
          <w:color w:val="auto"/>
        </w:rPr>
        <w:t>Honeywell International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195" w:lineRule="exact"/>
        <w:rPr>
          <w:sz w:val="24"/>
          <w:szCs w:val="24"/>
          <w:color w:val="auto"/>
        </w:rPr>
      </w:pPr>
    </w:p>
    <w:tbl>
      <w:tblPr>
        <w:tblLayout w:type="fixed"/>
        <w:tblInd w:w="700" w:type="dxa"/>
        <w:tblCellMar>
          <w:top w:w="0" w:type="dxa"/>
          <w:left w:w="0" w:type="dxa"/>
          <w:bottom w:w="0" w:type="dxa"/>
          <w:right w:w="0" w:type="dxa"/>
        </w:tblCellMar>
      </w:tblPr>
      <w:tr>
        <w:trPr>
          <w:trHeight w:val="207"/>
        </w:trPr>
        <w:tc>
          <w:tcPr>
            <w:tcW w:w="1020" w:type="dxa"/>
            <w:vAlign w:val="bottom"/>
          </w:tcPr>
          <w:p>
            <w:pPr>
              <w:spacing w:after="0"/>
              <w:rPr>
                <w:sz w:val="17"/>
                <w:szCs w:val="17"/>
                <w:color w:val="auto"/>
              </w:rPr>
            </w:pPr>
          </w:p>
        </w:tc>
        <w:tc>
          <w:tcPr>
            <w:tcW w:w="6280" w:type="dxa"/>
            <w:vAlign w:val="bottom"/>
            <w:gridSpan w:val="2"/>
          </w:tcPr>
          <w:p>
            <w:pPr>
              <w:jc w:val="center"/>
              <w:ind w:right="2160"/>
              <w:spacing w:after="0"/>
              <w:rPr>
                <w:sz w:val="20"/>
                <w:szCs w:val="20"/>
                <w:color w:val="auto"/>
              </w:rPr>
            </w:pPr>
            <w:r>
              <w:rPr>
                <w:rFonts w:ascii="Arial" w:cs="Arial" w:eastAsia="Arial" w:hAnsi="Arial"/>
                <w:sz w:val="18"/>
                <w:szCs w:val="18"/>
                <w:color w:val="auto"/>
                <w:w w:val="99"/>
              </w:rPr>
              <w:t>Delaware</w:t>
            </w:r>
          </w:p>
        </w:tc>
        <w:tc>
          <w:tcPr>
            <w:tcW w:w="2860" w:type="dxa"/>
            <w:vAlign w:val="bottom"/>
            <w:gridSpan w:val="2"/>
          </w:tcPr>
          <w:p>
            <w:pPr>
              <w:jc w:val="right"/>
              <w:ind w:right="960"/>
              <w:spacing w:after="0"/>
              <w:rPr>
                <w:sz w:val="20"/>
                <w:szCs w:val="20"/>
                <w:color w:val="auto"/>
              </w:rPr>
            </w:pPr>
            <w:r>
              <w:rPr>
                <w:rFonts w:ascii="Arial" w:cs="Arial" w:eastAsia="Arial" w:hAnsi="Arial"/>
                <w:sz w:val="18"/>
                <w:szCs w:val="18"/>
                <w:color w:val="auto"/>
              </w:rPr>
              <w:t>22-2640650</w:t>
            </w:r>
          </w:p>
        </w:tc>
      </w:tr>
      <w:tr>
        <w:trPr>
          <w:trHeight w:val="195"/>
        </w:trPr>
        <w:tc>
          <w:tcPr>
            <w:tcW w:w="1020" w:type="dxa"/>
            <w:vAlign w:val="bottom"/>
            <w:tcBorders>
              <w:top w:val="single" w:sz="8" w:color="auto"/>
            </w:tcBorders>
          </w:tcPr>
          <w:p>
            <w:pPr>
              <w:spacing w:after="0"/>
              <w:rPr>
                <w:sz w:val="16"/>
                <w:szCs w:val="16"/>
                <w:color w:val="auto"/>
              </w:rPr>
            </w:pPr>
          </w:p>
        </w:tc>
        <w:tc>
          <w:tcPr>
            <w:tcW w:w="5140" w:type="dxa"/>
            <w:vAlign w:val="bottom"/>
            <w:tcBorders>
              <w:top w:val="single" w:sz="8" w:color="auto"/>
            </w:tcBorders>
          </w:tcPr>
          <w:p>
            <w:pPr>
              <w:jc w:val="center"/>
              <w:ind w:right="930"/>
              <w:spacing w:after="0" w:line="195" w:lineRule="exact"/>
              <w:rPr>
                <w:sz w:val="20"/>
                <w:szCs w:val="20"/>
                <w:color w:val="auto"/>
              </w:rPr>
            </w:pPr>
            <w:r>
              <w:rPr>
                <w:rFonts w:ascii="Arial" w:cs="Arial" w:eastAsia="Arial" w:hAnsi="Arial"/>
                <w:sz w:val="18"/>
                <w:szCs w:val="18"/>
                <w:color w:val="auto"/>
                <w:w w:val="99"/>
              </w:rPr>
              <w:t>(State or other jurisdiction of</w:t>
            </w:r>
          </w:p>
        </w:tc>
        <w:tc>
          <w:tcPr>
            <w:tcW w:w="1140" w:type="dxa"/>
            <w:vAlign w:val="bottom"/>
          </w:tcPr>
          <w:p>
            <w:pPr>
              <w:spacing w:after="0"/>
              <w:rPr>
                <w:sz w:val="16"/>
                <w:szCs w:val="16"/>
                <w:color w:val="auto"/>
              </w:rPr>
            </w:pPr>
          </w:p>
        </w:tc>
        <w:tc>
          <w:tcPr>
            <w:tcW w:w="2860" w:type="dxa"/>
            <w:vAlign w:val="bottom"/>
            <w:tcBorders>
              <w:top w:val="single" w:sz="8" w:color="auto"/>
            </w:tcBorders>
            <w:gridSpan w:val="2"/>
          </w:tcPr>
          <w:p>
            <w:pPr>
              <w:jc w:val="center"/>
              <w:ind w:right="20"/>
              <w:spacing w:after="0" w:line="195" w:lineRule="exact"/>
              <w:rPr>
                <w:sz w:val="20"/>
                <w:szCs w:val="20"/>
                <w:color w:val="auto"/>
              </w:rPr>
            </w:pPr>
            <w:r>
              <w:rPr>
                <w:rFonts w:ascii="Arial" w:cs="Arial" w:eastAsia="Arial" w:hAnsi="Arial"/>
                <w:sz w:val="18"/>
                <w:szCs w:val="18"/>
                <w:color w:val="auto"/>
                <w:w w:val="99"/>
              </w:rPr>
              <w:t>(I.R.S. Employer</w:t>
            </w:r>
          </w:p>
        </w:tc>
      </w:tr>
      <w:tr>
        <w:trPr>
          <w:trHeight w:val="217"/>
        </w:trPr>
        <w:tc>
          <w:tcPr>
            <w:tcW w:w="1020" w:type="dxa"/>
            <w:vAlign w:val="bottom"/>
          </w:tcPr>
          <w:p>
            <w:pPr>
              <w:spacing w:after="0"/>
              <w:rPr>
                <w:sz w:val="18"/>
                <w:szCs w:val="18"/>
                <w:color w:val="auto"/>
              </w:rPr>
            </w:pPr>
          </w:p>
        </w:tc>
        <w:tc>
          <w:tcPr>
            <w:tcW w:w="6280" w:type="dxa"/>
            <w:vAlign w:val="bottom"/>
            <w:gridSpan w:val="2"/>
          </w:tcPr>
          <w:p>
            <w:pPr>
              <w:jc w:val="center"/>
              <w:ind w:right="2140"/>
              <w:spacing w:after="0"/>
              <w:rPr>
                <w:sz w:val="20"/>
                <w:szCs w:val="20"/>
                <w:color w:val="auto"/>
              </w:rPr>
            </w:pPr>
            <w:r>
              <w:rPr>
                <w:rFonts w:ascii="Arial" w:cs="Arial" w:eastAsia="Arial" w:hAnsi="Arial"/>
                <w:sz w:val="18"/>
                <w:szCs w:val="18"/>
                <w:color w:val="auto"/>
                <w:w w:val="99"/>
              </w:rPr>
              <w:t>incorporation or organization)</w:t>
            </w:r>
          </w:p>
        </w:tc>
        <w:tc>
          <w:tcPr>
            <w:tcW w:w="2860" w:type="dxa"/>
            <w:vAlign w:val="bottom"/>
            <w:gridSpan w:val="2"/>
          </w:tcPr>
          <w:p>
            <w:pPr>
              <w:jc w:val="center"/>
              <w:ind w:right="20"/>
              <w:spacing w:after="0"/>
              <w:rPr>
                <w:sz w:val="20"/>
                <w:szCs w:val="20"/>
                <w:color w:val="auto"/>
              </w:rPr>
            </w:pPr>
            <w:r>
              <w:rPr>
                <w:rFonts w:ascii="Arial" w:cs="Arial" w:eastAsia="Arial" w:hAnsi="Arial"/>
                <w:sz w:val="18"/>
                <w:szCs w:val="18"/>
                <w:color w:val="auto"/>
                <w:w w:val="99"/>
              </w:rPr>
              <w:t>Identification No.)</w:t>
            </w:r>
          </w:p>
        </w:tc>
      </w:tr>
      <w:tr>
        <w:trPr>
          <w:trHeight w:val="391"/>
        </w:trPr>
        <w:tc>
          <w:tcPr>
            <w:tcW w:w="1020" w:type="dxa"/>
            <w:vAlign w:val="bottom"/>
          </w:tcPr>
          <w:p>
            <w:pPr>
              <w:spacing w:after="0"/>
              <w:rPr>
                <w:sz w:val="24"/>
                <w:szCs w:val="24"/>
                <w:color w:val="auto"/>
              </w:rPr>
            </w:pPr>
          </w:p>
        </w:tc>
        <w:tc>
          <w:tcPr>
            <w:tcW w:w="6280" w:type="dxa"/>
            <w:vAlign w:val="bottom"/>
            <w:gridSpan w:val="2"/>
          </w:tcPr>
          <w:p>
            <w:pPr>
              <w:jc w:val="center"/>
              <w:ind w:right="2160"/>
              <w:spacing w:after="0"/>
              <w:rPr>
                <w:sz w:val="20"/>
                <w:szCs w:val="20"/>
                <w:color w:val="auto"/>
              </w:rPr>
            </w:pPr>
            <w:r>
              <w:rPr>
                <w:rFonts w:ascii="Arial" w:cs="Arial" w:eastAsia="Arial" w:hAnsi="Arial"/>
                <w:sz w:val="18"/>
                <w:szCs w:val="18"/>
                <w:color w:val="auto"/>
                <w:w w:val="98"/>
              </w:rPr>
              <w:t>115 Tabor Road</w:t>
            </w:r>
          </w:p>
        </w:tc>
        <w:tc>
          <w:tcPr>
            <w:tcW w:w="17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03"/>
        </w:trPr>
        <w:tc>
          <w:tcPr>
            <w:tcW w:w="1020" w:type="dxa"/>
            <w:vAlign w:val="bottom"/>
          </w:tcPr>
          <w:p>
            <w:pPr>
              <w:spacing w:after="0"/>
              <w:rPr>
                <w:sz w:val="17"/>
                <w:szCs w:val="17"/>
                <w:color w:val="auto"/>
              </w:rPr>
            </w:pPr>
          </w:p>
        </w:tc>
        <w:tc>
          <w:tcPr>
            <w:tcW w:w="6280" w:type="dxa"/>
            <w:vAlign w:val="bottom"/>
            <w:gridSpan w:val="2"/>
          </w:tcPr>
          <w:p>
            <w:pPr>
              <w:jc w:val="center"/>
              <w:ind w:right="2160"/>
              <w:spacing w:after="0" w:line="203" w:lineRule="exact"/>
              <w:rPr>
                <w:sz w:val="20"/>
                <w:szCs w:val="20"/>
                <w:color w:val="auto"/>
              </w:rPr>
            </w:pPr>
            <w:r>
              <w:rPr>
                <w:rFonts w:ascii="Arial" w:cs="Arial" w:eastAsia="Arial" w:hAnsi="Arial"/>
                <w:sz w:val="18"/>
                <w:szCs w:val="18"/>
                <w:color w:val="auto"/>
                <w:w w:val="99"/>
              </w:rPr>
              <w:t>Morris Plains, New Jersey</w:t>
            </w:r>
          </w:p>
        </w:tc>
        <w:tc>
          <w:tcPr>
            <w:tcW w:w="1720" w:type="dxa"/>
            <w:vAlign w:val="bottom"/>
          </w:tcPr>
          <w:p>
            <w:pPr>
              <w:jc w:val="right"/>
              <w:spacing w:after="0" w:line="203" w:lineRule="exact"/>
              <w:rPr>
                <w:sz w:val="20"/>
                <w:szCs w:val="20"/>
                <w:color w:val="auto"/>
              </w:rPr>
            </w:pPr>
            <w:r>
              <w:rPr>
                <w:rFonts w:ascii="Arial" w:cs="Arial" w:eastAsia="Arial" w:hAnsi="Arial"/>
                <w:sz w:val="18"/>
                <w:szCs w:val="18"/>
                <w:color w:val="auto"/>
              </w:rPr>
              <w:t>07950</w:t>
            </w:r>
          </w:p>
        </w:tc>
        <w:tc>
          <w:tcPr>
            <w:tcW w:w="1140" w:type="dxa"/>
            <w:vAlign w:val="bottom"/>
          </w:tcPr>
          <w:p>
            <w:pPr>
              <w:spacing w:after="0"/>
              <w:rPr>
                <w:sz w:val="17"/>
                <w:szCs w:val="17"/>
                <w:color w:val="auto"/>
              </w:rPr>
            </w:pPr>
          </w:p>
        </w:tc>
      </w:tr>
      <w:tr>
        <w:trPr>
          <w:trHeight w:val="210"/>
        </w:trPr>
        <w:tc>
          <w:tcPr>
            <w:tcW w:w="1020" w:type="dxa"/>
            <w:vAlign w:val="bottom"/>
            <w:tcBorders>
              <w:top w:val="single" w:sz="8" w:color="auto"/>
            </w:tcBorders>
          </w:tcPr>
          <w:p>
            <w:pPr>
              <w:spacing w:after="0"/>
              <w:rPr>
                <w:sz w:val="18"/>
                <w:szCs w:val="18"/>
                <w:color w:val="auto"/>
              </w:rPr>
            </w:pPr>
          </w:p>
        </w:tc>
        <w:tc>
          <w:tcPr>
            <w:tcW w:w="5140" w:type="dxa"/>
            <w:vAlign w:val="bottom"/>
            <w:tcBorders>
              <w:top w:val="single" w:sz="8" w:color="auto"/>
            </w:tcBorders>
          </w:tcPr>
          <w:p>
            <w:pPr>
              <w:jc w:val="center"/>
              <w:ind w:right="930"/>
              <w:spacing w:after="0"/>
              <w:rPr>
                <w:sz w:val="20"/>
                <w:szCs w:val="20"/>
                <w:color w:val="auto"/>
              </w:rPr>
            </w:pPr>
            <w:r>
              <w:rPr>
                <w:rFonts w:ascii="Arial" w:cs="Arial" w:eastAsia="Arial" w:hAnsi="Arial"/>
                <w:sz w:val="18"/>
                <w:szCs w:val="18"/>
                <w:color w:val="auto"/>
                <w:w w:val="99"/>
              </w:rPr>
              <w:t>(Address of principal executive offices)</w:t>
            </w:r>
          </w:p>
        </w:tc>
        <w:tc>
          <w:tcPr>
            <w:tcW w:w="1140" w:type="dxa"/>
            <w:vAlign w:val="bottom"/>
          </w:tcPr>
          <w:p>
            <w:pPr>
              <w:spacing w:after="0"/>
              <w:rPr>
                <w:sz w:val="18"/>
                <w:szCs w:val="18"/>
                <w:color w:val="auto"/>
              </w:rPr>
            </w:pPr>
          </w:p>
        </w:tc>
        <w:tc>
          <w:tcPr>
            <w:tcW w:w="286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color w:val="auto"/>
              </w:rPr>
              <w:t>(Zip Code)</w:t>
            </w:r>
          </w:p>
        </w:tc>
      </w:tr>
      <w:tr>
        <w:trPr>
          <w:trHeight w:val="391"/>
        </w:trPr>
        <w:tc>
          <w:tcPr>
            <w:tcW w:w="6160" w:type="dxa"/>
            <w:vAlign w:val="bottom"/>
            <w:gridSpan w:val="2"/>
          </w:tcPr>
          <w:p>
            <w:pPr>
              <w:jc w:val="center"/>
              <w:ind w:left="3790"/>
              <w:spacing w:after="0"/>
              <w:rPr>
                <w:sz w:val="20"/>
                <w:szCs w:val="20"/>
                <w:color w:val="auto"/>
              </w:rPr>
            </w:pPr>
            <w:r>
              <w:rPr>
                <w:rFonts w:ascii="Arial" w:cs="Arial" w:eastAsia="Arial" w:hAnsi="Arial"/>
                <w:sz w:val="18"/>
                <w:szCs w:val="18"/>
                <w:color w:val="auto"/>
              </w:rPr>
              <w:t>(973) 455-2000</w:t>
            </w:r>
          </w:p>
        </w:tc>
        <w:tc>
          <w:tcPr>
            <w:tcW w:w="11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10"/>
        </w:trPr>
        <w:tc>
          <w:tcPr>
            <w:tcW w:w="1020" w:type="dxa"/>
            <w:vAlign w:val="bottom"/>
          </w:tcPr>
          <w:p>
            <w:pPr>
              <w:spacing w:after="0"/>
              <w:rPr>
                <w:sz w:val="18"/>
                <w:szCs w:val="18"/>
                <w:color w:val="auto"/>
              </w:rPr>
            </w:pPr>
          </w:p>
        </w:tc>
        <w:tc>
          <w:tcPr>
            <w:tcW w:w="6280" w:type="dxa"/>
            <w:vAlign w:val="bottom"/>
            <w:tcBorders>
              <w:top w:val="single" w:sz="8" w:color="auto"/>
            </w:tcBorders>
            <w:gridSpan w:val="2"/>
          </w:tcPr>
          <w:p>
            <w:pPr>
              <w:jc w:val="center"/>
              <w:ind w:left="1650"/>
              <w:spacing w:after="0"/>
              <w:rPr>
                <w:sz w:val="20"/>
                <w:szCs w:val="20"/>
                <w:color w:val="auto"/>
              </w:rPr>
            </w:pPr>
            <w:r>
              <w:rPr>
                <w:rFonts w:ascii="Arial" w:cs="Arial" w:eastAsia="Arial" w:hAnsi="Arial"/>
                <w:sz w:val="18"/>
                <w:szCs w:val="18"/>
                <w:color w:val="auto"/>
                <w:w w:val="99"/>
              </w:rPr>
              <w:t>(Registrant’s telephone number, including area code)</w:t>
            </w:r>
          </w:p>
        </w:tc>
        <w:tc>
          <w:tcPr>
            <w:tcW w:w="1720" w:type="dxa"/>
            <w:vAlign w:val="bottom"/>
            <w:tcBorders>
              <w:top w:val="single" w:sz="8" w:color="auto"/>
            </w:tcBorders>
          </w:tcPr>
          <w:p>
            <w:pPr>
              <w:spacing w:after="0"/>
              <w:rPr>
                <w:sz w:val="18"/>
                <w:szCs w:val="18"/>
                <w:color w:val="auto"/>
              </w:rPr>
            </w:pPr>
          </w:p>
        </w:tc>
        <w:tc>
          <w:tcPr>
            <w:tcW w:w="1140" w:type="dxa"/>
            <w:vAlign w:val="bottom"/>
          </w:tcPr>
          <w:p>
            <w:pPr>
              <w:spacing w:after="0"/>
              <w:rPr>
                <w:sz w:val="18"/>
                <w:szCs w:val="18"/>
                <w:color w:val="auto"/>
              </w:rPr>
            </w:pPr>
          </w:p>
        </w:tc>
      </w:tr>
      <w:tr>
        <w:trPr>
          <w:trHeight w:val="391"/>
        </w:trPr>
        <w:tc>
          <w:tcPr>
            <w:tcW w:w="1020" w:type="dxa"/>
            <w:vAlign w:val="bottom"/>
          </w:tcPr>
          <w:p>
            <w:pPr>
              <w:spacing w:after="0"/>
              <w:rPr>
                <w:sz w:val="24"/>
                <w:szCs w:val="24"/>
                <w:color w:val="auto"/>
              </w:rPr>
            </w:pPr>
          </w:p>
        </w:tc>
        <w:tc>
          <w:tcPr>
            <w:tcW w:w="6280" w:type="dxa"/>
            <w:vAlign w:val="bottom"/>
            <w:tcBorders>
              <w:bottom w:val="single" w:sz="8" w:color="auto"/>
            </w:tcBorders>
            <w:gridSpan w:val="2"/>
          </w:tcPr>
          <w:p>
            <w:pPr>
              <w:jc w:val="center"/>
              <w:ind w:left="1630"/>
              <w:spacing w:after="0"/>
              <w:rPr>
                <w:sz w:val="20"/>
                <w:szCs w:val="20"/>
                <w:color w:val="auto"/>
              </w:rPr>
            </w:pPr>
            <w:r>
              <w:rPr>
                <w:rFonts w:ascii="Arial" w:cs="Arial" w:eastAsia="Arial" w:hAnsi="Arial"/>
                <w:sz w:val="18"/>
                <w:szCs w:val="18"/>
                <w:color w:val="auto"/>
                <w:w w:val="99"/>
              </w:rPr>
              <w:t>Not Applicable</w:t>
            </w:r>
          </w:p>
        </w:tc>
        <w:tc>
          <w:tcPr>
            <w:tcW w:w="1720" w:type="dxa"/>
            <w:vAlign w:val="bottom"/>
            <w:tcBorders>
              <w:bottom w:val="single" w:sz="8" w:color="auto"/>
            </w:tcBorders>
          </w:tcPr>
          <w:p>
            <w:pPr>
              <w:spacing w:after="0"/>
              <w:rPr>
                <w:sz w:val="24"/>
                <w:szCs w:val="24"/>
                <w:color w:val="auto"/>
              </w:rPr>
            </w:pPr>
          </w:p>
        </w:tc>
        <w:tc>
          <w:tcPr>
            <w:tcW w:w="1140" w:type="dxa"/>
            <w:vAlign w:val="bottom"/>
          </w:tcPr>
          <w:p>
            <w:pPr>
              <w:spacing w:after="0"/>
              <w:rPr>
                <w:sz w:val="24"/>
                <w:szCs w:val="24"/>
                <w:color w:val="auto"/>
              </w:rPr>
            </w:pPr>
          </w:p>
        </w:tc>
      </w:tr>
      <w:tr>
        <w:trPr>
          <w:trHeight w:val="195"/>
        </w:trPr>
        <w:tc>
          <w:tcPr>
            <w:tcW w:w="1020" w:type="dxa"/>
            <w:vAlign w:val="bottom"/>
          </w:tcPr>
          <w:p>
            <w:pPr>
              <w:spacing w:after="0"/>
              <w:rPr>
                <w:sz w:val="16"/>
                <w:szCs w:val="16"/>
                <w:color w:val="auto"/>
              </w:rPr>
            </w:pPr>
          </w:p>
        </w:tc>
        <w:tc>
          <w:tcPr>
            <w:tcW w:w="6280" w:type="dxa"/>
            <w:vAlign w:val="bottom"/>
            <w:gridSpan w:val="2"/>
          </w:tcPr>
          <w:p>
            <w:pPr>
              <w:jc w:val="center"/>
              <w:ind w:left="1630"/>
              <w:spacing w:after="0" w:line="195" w:lineRule="exact"/>
              <w:rPr>
                <w:sz w:val="20"/>
                <w:szCs w:val="20"/>
                <w:color w:val="auto"/>
              </w:rPr>
            </w:pPr>
            <w:r>
              <w:rPr>
                <w:rFonts w:ascii="Arial" w:cs="Arial" w:eastAsia="Arial" w:hAnsi="Arial"/>
                <w:sz w:val="18"/>
                <w:szCs w:val="18"/>
                <w:color w:val="auto"/>
                <w:w w:val="99"/>
              </w:rPr>
              <w:t>(Former name, former address and former fiscal year,</w:t>
            </w:r>
          </w:p>
        </w:tc>
        <w:tc>
          <w:tcPr>
            <w:tcW w:w="172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17"/>
        </w:trPr>
        <w:tc>
          <w:tcPr>
            <w:tcW w:w="1020" w:type="dxa"/>
            <w:vAlign w:val="bottom"/>
          </w:tcPr>
          <w:p>
            <w:pPr>
              <w:spacing w:after="0"/>
              <w:rPr>
                <w:sz w:val="18"/>
                <w:szCs w:val="18"/>
                <w:color w:val="auto"/>
              </w:rPr>
            </w:pPr>
          </w:p>
        </w:tc>
        <w:tc>
          <w:tcPr>
            <w:tcW w:w="6280" w:type="dxa"/>
            <w:vAlign w:val="bottom"/>
            <w:gridSpan w:val="2"/>
          </w:tcPr>
          <w:p>
            <w:pPr>
              <w:jc w:val="center"/>
              <w:ind w:left="1630"/>
              <w:spacing w:after="0"/>
              <w:rPr>
                <w:sz w:val="20"/>
                <w:szCs w:val="20"/>
                <w:color w:val="auto"/>
              </w:rPr>
            </w:pPr>
            <w:r>
              <w:rPr>
                <w:rFonts w:ascii="Arial" w:cs="Arial" w:eastAsia="Arial" w:hAnsi="Arial"/>
                <w:sz w:val="18"/>
                <w:szCs w:val="18"/>
                <w:color w:val="auto"/>
                <w:w w:val="99"/>
              </w:rPr>
              <w:t>if changed since last report)</w:t>
            </w:r>
          </w:p>
        </w:tc>
        <w:tc>
          <w:tcPr>
            <w:tcW w:w="1720" w:type="dxa"/>
            <w:vAlign w:val="bottom"/>
          </w:tcPr>
          <w:p>
            <w:pPr>
              <w:spacing w:after="0"/>
              <w:rPr>
                <w:sz w:val="18"/>
                <w:szCs w:val="18"/>
                <w:color w:val="auto"/>
              </w:rPr>
            </w:pPr>
          </w:p>
        </w:tc>
        <w:tc>
          <w:tcPr>
            <w:tcW w:w="1140" w:type="dxa"/>
            <w:vAlign w:val="bottom"/>
          </w:tcPr>
          <w:p>
            <w:pPr>
              <w:spacing w:after="0"/>
              <w:rPr>
                <w:sz w:val="18"/>
                <w:szCs w:val="18"/>
                <w:color w:val="auto"/>
              </w:rPr>
            </w:pPr>
          </w:p>
        </w:tc>
      </w:tr>
    </w:tbl>
    <w:p>
      <w:pPr>
        <w:spacing w:after="0" w:line="188" w:lineRule="exact"/>
        <w:rPr>
          <w:sz w:val="24"/>
          <w:szCs w:val="24"/>
          <w:color w:val="auto"/>
        </w:rPr>
      </w:pPr>
    </w:p>
    <w:p>
      <w:pPr>
        <w:jc w:val="both"/>
        <w:spacing w:after="0" w:line="214"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82" w:lineRule="exact"/>
        <w:rPr>
          <w:sz w:val="24"/>
          <w:szCs w:val="24"/>
          <w:color w:val="auto"/>
        </w:rPr>
      </w:pPr>
    </w:p>
    <w:p>
      <w:pPr>
        <w:jc w:val="both"/>
        <w:ind w:right="20"/>
        <w:spacing w:after="0" w:line="214"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82" w:lineRule="exact"/>
        <w:rPr>
          <w:sz w:val="24"/>
          <w:szCs w:val="24"/>
          <w:color w:val="auto"/>
        </w:rPr>
      </w:pPr>
    </w:p>
    <w:p>
      <w:pPr>
        <w:jc w:val="both"/>
        <w:spacing w:after="0"/>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definitions of “large accelerated filer,” “accelerated filer,” “smaller reporting company,” and “emerging growth company” in Rule 12b-2 of the Exchange Act. (Check one):</w:t>
      </w:r>
    </w:p>
    <w:p>
      <w:pPr>
        <w:sectPr>
          <w:pgSz w:w="11900" w:h="16838" w:orient="portrait"/>
          <w:cols w:equalWidth="0" w:num="1">
            <w:col w:w="11420"/>
          </w:cols>
          <w:pgMar w:left="240" w:top="242" w:right="239" w:bottom="1440" w:gutter="0" w:footer="0" w:header="0"/>
        </w:sectPr>
      </w:pPr>
    </w:p>
    <w:p>
      <w:pPr>
        <w:spacing w:after="0" w:line="143"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Large 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56" w:lineRule="exact"/>
        <w:rPr>
          <w:sz w:val="24"/>
          <w:szCs w:val="24"/>
          <w:color w:val="auto"/>
        </w:rPr>
      </w:pPr>
    </w:p>
    <w:p>
      <w:pPr>
        <w:spacing w:after="0"/>
        <w:rPr>
          <w:sz w:val="20"/>
          <w:szCs w:val="20"/>
          <w:color w:val="auto"/>
        </w:rPr>
      </w:pPr>
      <w:r>
        <w:rPr>
          <w:rFonts w:ascii="Arial" w:cs="Arial" w:eastAsia="Arial" w:hAnsi="Arial"/>
          <w:sz w:val="17"/>
          <w:szCs w:val="17"/>
          <w:color w:val="auto"/>
        </w:rPr>
        <w:t>Accelerated filer o</w:t>
      </w:r>
    </w:p>
    <w:p>
      <w:pPr>
        <w:spacing w:after="0" w:line="44" w:lineRule="exact"/>
        <w:rPr>
          <w:sz w:val="24"/>
          <w:szCs w:val="24"/>
          <w:color w:val="auto"/>
        </w:rPr>
      </w:pPr>
    </w:p>
    <w:p>
      <w:pPr>
        <w:sectPr>
          <w:pgSz w:w="11900" w:h="16838" w:orient="portrait"/>
          <w:cols w:equalWidth="0" w:num="2">
            <w:col w:w="7860" w:space="720"/>
            <w:col w:w="2840"/>
          </w:cols>
          <w:pgMar w:left="240" w:top="242" w:right="239" w:bottom="1440" w:gutter="0" w:footer="0" w:header="0"/>
          <w:type w:val="continuous"/>
        </w:sectPr>
      </w:pPr>
    </w:p>
    <w:p>
      <w:pPr>
        <w:spacing w:after="0"/>
        <w:rPr>
          <w:sz w:val="20"/>
          <w:szCs w:val="20"/>
          <w:color w:val="auto"/>
        </w:rPr>
      </w:pPr>
      <w:r>
        <w:rPr>
          <w:rFonts w:ascii="Arial" w:cs="Arial" w:eastAsia="Arial" w:hAnsi="Arial"/>
          <w:sz w:val="18"/>
          <w:szCs w:val="18"/>
          <w:color w:val="auto"/>
        </w:rPr>
        <w:t>Non-Accelerated filer o (Do not check if a 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Smaller reporting company o</w:t>
      </w:r>
    </w:p>
    <w:p>
      <w:pPr>
        <w:spacing w:after="0" w:line="1" w:lineRule="exact"/>
        <w:rPr>
          <w:sz w:val="24"/>
          <w:szCs w:val="24"/>
          <w:color w:val="auto"/>
        </w:rPr>
      </w:pPr>
    </w:p>
    <w:p>
      <w:pPr>
        <w:sectPr>
          <w:pgSz w:w="11900" w:h="16838" w:orient="portrait"/>
          <w:cols w:equalWidth="0" w:num="2">
            <w:col w:w="7860" w:space="720"/>
            <w:col w:w="2840"/>
          </w:cols>
          <w:pgMar w:left="240" w:top="242" w:right="239" w:bottom="1440" w:gutter="0" w:footer="0" w:header="0"/>
          <w:type w:val="continuous"/>
        </w:sectPr>
      </w:pPr>
    </w:p>
    <w:p>
      <w:pPr>
        <w:ind w:left="8580"/>
        <w:spacing w:after="0"/>
        <w:rPr>
          <w:sz w:val="20"/>
          <w:szCs w:val="20"/>
          <w:color w:val="auto"/>
        </w:rPr>
      </w:pPr>
      <w:r>
        <w:rPr>
          <w:rFonts w:ascii="Arial" w:cs="Arial" w:eastAsia="Arial" w:hAnsi="Arial"/>
          <w:sz w:val="17"/>
          <w:szCs w:val="17"/>
          <w:color w:val="auto"/>
        </w:rPr>
        <w:t>Emerging growth company o</w:t>
      </w:r>
    </w:p>
    <w:p>
      <w:pPr>
        <w:sectPr>
          <w:pgSz w:w="11900" w:h="16838" w:orient="portrait"/>
          <w:cols w:equalWidth="0" w:num="1">
            <w:col w:w="11420"/>
          </w:cols>
          <w:pgMar w:left="240" w:top="242" w:right="239" w:bottom="1440" w:gutter="0" w:footer="0" w:header="0"/>
          <w:type w:val="continuous"/>
        </w:sectPr>
      </w:pPr>
    </w:p>
    <w:p>
      <w:pPr>
        <w:spacing w:after="0" w:line="222" w:lineRule="exact"/>
        <w:rPr>
          <w:sz w:val="24"/>
          <w:szCs w:val="24"/>
          <w:color w:val="auto"/>
        </w:rPr>
      </w:pPr>
    </w:p>
    <w:p>
      <w:pPr>
        <w:spacing w:after="0" w:line="246"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pursuant to section 13(a) of the Exchange Act. o</w:t>
      </w:r>
    </w:p>
    <w:p>
      <w:pPr>
        <w:spacing w:after="0" w:line="15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o No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There were 742,610,527 shares of Common Stock outstanding at June 30,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42" w:right="2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22"/>
          <w:szCs w:val="22"/>
          <w:b w:val="1"/>
          <w:bCs w:val="1"/>
          <w:color w:val="auto"/>
        </w:rPr>
        <w:t>Honeywell International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80" w:type="dxa"/>
            <w:vAlign w:val="bottom"/>
            <w:gridSpan w:val="8"/>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w:t>
              </w:r>
            </w:hyperlink>
          </w:p>
        </w:tc>
        <w:tc>
          <w:tcPr>
            <w:tcW w:w="6920" w:type="dxa"/>
            <w:vAlign w:val="bottom"/>
            <w:gridSpan w:val="24"/>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Financial Information</w:t>
              </w:r>
            </w:hyperlink>
          </w:p>
        </w:tc>
        <w:tc>
          <w:tcPr>
            <w:tcW w:w="2360" w:type="dxa"/>
            <w:vAlign w:val="bottom"/>
            <w:gridSpan w:val="2"/>
          </w:tcPr>
          <w:p>
            <w:pPr>
              <w:ind w:left="1580"/>
              <w:spacing w:after="0"/>
              <w:rPr>
                <w:sz w:val="20"/>
                <w:szCs w:val="20"/>
                <w:color w:val="auto"/>
              </w:rPr>
            </w:pPr>
            <w:r>
              <w:rPr>
                <w:rFonts w:ascii="Arial" w:cs="Arial" w:eastAsia="Arial" w:hAnsi="Arial"/>
                <w:sz w:val="18"/>
                <w:szCs w:val="18"/>
                <w:b w:val="1"/>
                <w:bCs w:val="1"/>
                <w:color w:val="auto"/>
                <w:w w:val="98"/>
              </w:rPr>
              <w:t>Page No.</w:t>
            </w:r>
          </w:p>
        </w:tc>
      </w:tr>
      <w:tr>
        <w:trPr>
          <w:trHeight w:val="20"/>
        </w:trPr>
        <w:tc>
          <w:tcPr>
            <w:tcW w:w="5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r>
        <w:trPr>
          <w:trHeight w:val="385"/>
        </w:trPr>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gridSpan w:val="4"/>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Item 1.</w:t>
              </w:r>
            </w:hyperlink>
          </w:p>
        </w:tc>
        <w:tc>
          <w:tcPr>
            <w:tcW w:w="180" w:type="dxa"/>
            <w:vAlign w:val="bottom"/>
          </w:tcPr>
          <w:p>
            <w:pPr>
              <w:spacing w:after="0"/>
              <w:rPr>
                <w:sz w:val="24"/>
                <w:szCs w:val="24"/>
                <w:color w:val="auto"/>
              </w:rPr>
            </w:pPr>
          </w:p>
        </w:tc>
        <w:tc>
          <w:tcPr>
            <w:tcW w:w="6740" w:type="dxa"/>
            <w:vAlign w:val="bottom"/>
            <w:gridSpan w:val="23"/>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15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0"/>
        </w:trPr>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385"/>
        </w:trPr>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160" w:type="dxa"/>
            <w:vAlign w:val="bottom"/>
            <w:tcBorders>
              <w:bottom w:val="single" w:sz="8" w:color="0000EE"/>
            </w:tcBorders>
            <w:gridSpan w:val="17"/>
          </w:tcPr>
          <w:p>
            <w:pPr>
              <w:spacing w:after="0"/>
              <w:rPr>
                <w:rFonts w:ascii="Arial" w:cs="Arial" w:eastAsia="Arial" w:hAnsi="Arial"/>
                <w:sz w:val="18"/>
                <w:szCs w:val="18"/>
                <w:color w:val="0000EE"/>
                <w:w w:val="99"/>
              </w:rPr>
            </w:pPr>
            <w:hyperlink w:anchor="page3">
              <w:r>
                <w:rPr>
                  <w:rFonts w:ascii="Arial" w:cs="Arial" w:eastAsia="Arial" w:hAnsi="Arial"/>
                  <w:sz w:val="18"/>
                  <w:szCs w:val="18"/>
                  <w:color w:val="0000EE"/>
                  <w:w w:val="99"/>
                </w:rPr>
                <w:t>Consolidated Statement of Operations (unaudited) –</w:t>
              </w:r>
            </w:hyperlink>
          </w:p>
        </w:tc>
        <w:tc>
          <w:tcPr>
            <w:tcW w:w="2580" w:type="dxa"/>
            <w:vAlign w:val="bottom"/>
            <w:gridSpan w:val="6"/>
          </w:tcPr>
          <w:p>
            <w:pPr>
              <w:spacing w:after="0"/>
              <w:rPr>
                <w:sz w:val="24"/>
                <w:szCs w:val="24"/>
                <w:color w:val="auto"/>
              </w:rPr>
            </w:pPr>
          </w:p>
        </w:tc>
        <w:tc>
          <w:tcPr>
            <w:tcW w:w="15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83"/>
        </w:trPr>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320" w:type="dxa"/>
            <w:vAlign w:val="bottom"/>
            <w:tcBorders>
              <w:bottom w:val="single" w:sz="8" w:color="0000EE"/>
            </w:tcBorders>
            <w:gridSpan w:val="19"/>
          </w:tcPr>
          <w:p>
            <w:pPr>
              <w:spacing w:after="0" w:line="182" w:lineRule="exact"/>
              <w:rPr>
                <w:rFonts w:ascii="Arial" w:cs="Arial" w:eastAsia="Arial" w:hAnsi="Arial"/>
                <w:sz w:val="18"/>
                <w:szCs w:val="18"/>
                <w:color w:val="0000EE"/>
                <w:w w:val="99"/>
              </w:rPr>
            </w:pPr>
            <w:hyperlink w:anchor="page3">
              <w:r>
                <w:rPr>
                  <w:rFonts w:ascii="Arial" w:cs="Arial" w:eastAsia="Arial" w:hAnsi="Arial"/>
                  <w:sz w:val="18"/>
                  <w:szCs w:val="18"/>
                  <w:color w:val="0000EE"/>
                  <w:w w:val="99"/>
                </w:rPr>
                <w:t>Three and Six Months Ended June 30, 2018 and 2017</w:t>
              </w:r>
            </w:hyperlink>
          </w:p>
        </w:tc>
        <w:tc>
          <w:tcPr>
            <w:tcW w:w="2240" w:type="dxa"/>
            <w:vAlign w:val="bottom"/>
            <w:gridSpan w:val="3"/>
          </w:tcPr>
          <w:p>
            <w:pPr>
              <w:spacing w:after="0"/>
              <w:rPr>
                <w:sz w:val="15"/>
                <w:szCs w:val="15"/>
                <w:color w:val="auto"/>
              </w:rPr>
            </w:pPr>
          </w:p>
        </w:tc>
        <w:tc>
          <w:tcPr>
            <w:tcW w:w="2360" w:type="dxa"/>
            <w:vAlign w:val="bottom"/>
            <w:gridSpan w:val="2"/>
          </w:tcPr>
          <w:p>
            <w:pPr>
              <w:jc w:val="center"/>
              <w:ind w:left="1490"/>
              <w:spacing w:after="0" w:line="182" w:lineRule="exact"/>
              <w:rPr>
                <w:sz w:val="20"/>
                <w:szCs w:val="20"/>
                <w:color w:val="auto"/>
              </w:rPr>
            </w:pPr>
            <w:r>
              <w:rPr>
                <w:rFonts w:ascii="Arial" w:cs="Arial" w:eastAsia="Arial" w:hAnsi="Arial"/>
                <w:sz w:val="18"/>
                <w:szCs w:val="18"/>
                <w:color w:val="auto"/>
                <w:w w:val="99"/>
              </w:rPr>
              <w:t>3</w:t>
            </w:r>
          </w:p>
        </w:tc>
      </w:tr>
      <w:tr>
        <w:trPr>
          <w:trHeight w:val="385"/>
        </w:trPr>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180" w:type="dxa"/>
            <w:vAlign w:val="bottom"/>
            <w:tcBorders>
              <w:bottom w:val="single" w:sz="8" w:color="0000EE"/>
            </w:tcBorders>
            <w:gridSpan w:val="22"/>
          </w:tcPr>
          <w:p>
            <w:pPr>
              <w:spacing w:after="0"/>
              <w:rPr>
                <w:rFonts w:ascii="Arial" w:cs="Arial" w:eastAsia="Arial" w:hAnsi="Arial"/>
                <w:sz w:val="18"/>
                <w:szCs w:val="18"/>
                <w:color w:val="0000EE"/>
                <w:w w:val="99"/>
              </w:rPr>
            </w:pPr>
            <w:hyperlink w:anchor="page4">
              <w:r>
                <w:rPr>
                  <w:rFonts w:ascii="Arial" w:cs="Arial" w:eastAsia="Arial" w:hAnsi="Arial"/>
                  <w:sz w:val="18"/>
                  <w:szCs w:val="18"/>
                  <w:color w:val="0000EE"/>
                  <w:w w:val="99"/>
                </w:rPr>
                <w:t>Consolidated Statement of Comprehensive Income (unaudited) –</w:t>
              </w:r>
            </w:hyperlink>
          </w:p>
        </w:tc>
        <w:tc>
          <w:tcPr>
            <w:tcW w:w="1560" w:type="dxa"/>
            <w:vAlign w:val="bottom"/>
          </w:tcPr>
          <w:p>
            <w:pPr>
              <w:spacing w:after="0"/>
              <w:rPr>
                <w:sz w:val="24"/>
                <w:szCs w:val="24"/>
                <w:color w:val="auto"/>
              </w:rPr>
            </w:pPr>
          </w:p>
        </w:tc>
        <w:tc>
          <w:tcPr>
            <w:tcW w:w="2360" w:type="dxa"/>
            <w:vAlign w:val="bottom"/>
            <w:gridSpan w:val="2"/>
          </w:tcPr>
          <w:p>
            <w:pPr>
              <w:jc w:val="center"/>
              <w:ind w:left="1490"/>
              <w:spacing w:after="0"/>
              <w:rPr>
                <w:sz w:val="20"/>
                <w:szCs w:val="20"/>
                <w:color w:val="auto"/>
              </w:rPr>
            </w:pPr>
            <w:r>
              <w:rPr>
                <w:rFonts w:ascii="Arial" w:cs="Arial" w:eastAsia="Arial" w:hAnsi="Arial"/>
                <w:sz w:val="18"/>
                <w:szCs w:val="18"/>
                <w:color w:val="auto"/>
                <w:w w:val="99"/>
              </w:rPr>
              <w:t>4</w:t>
            </w:r>
          </w:p>
        </w:tc>
      </w:tr>
      <w:tr>
        <w:trPr>
          <w:trHeight w:val="183"/>
        </w:trPr>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320" w:type="dxa"/>
            <w:vAlign w:val="bottom"/>
            <w:tcBorders>
              <w:bottom w:val="single" w:sz="8" w:color="0000EE"/>
            </w:tcBorders>
            <w:gridSpan w:val="19"/>
          </w:tcPr>
          <w:p>
            <w:pPr>
              <w:spacing w:after="0" w:line="182" w:lineRule="exact"/>
              <w:rPr>
                <w:rFonts w:ascii="Arial" w:cs="Arial" w:eastAsia="Arial" w:hAnsi="Arial"/>
                <w:sz w:val="18"/>
                <w:szCs w:val="18"/>
                <w:color w:val="0000EE"/>
                <w:w w:val="99"/>
              </w:rPr>
            </w:pPr>
            <w:hyperlink w:anchor="page4">
              <w:r>
                <w:rPr>
                  <w:rFonts w:ascii="Arial" w:cs="Arial" w:eastAsia="Arial" w:hAnsi="Arial"/>
                  <w:sz w:val="18"/>
                  <w:szCs w:val="18"/>
                  <w:color w:val="0000EE"/>
                  <w:w w:val="99"/>
                </w:rPr>
                <w:t>Three and Six Months Ended June 30, 2018 and 2017</w:t>
              </w:r>
            </w:hyperlink>
          </w:p>
        </w:tc>
        <w:tc>
          <w:tcPr>
            <w:tcW w:w="2240" w:type="dxa"/>
            <w:vAlign w:val="bottom"/>
            <w:gridSpan w:val="3"/>
          </w:tcPr>
          <w:p>
            <w:pPr>
              <w:spacing w:after="0"/>
              <w:rPr>
                <w:sz w:val="15"/>
                <w:szCs w:val="15"/>
                <w:color w:val="auto"/>
              </w:rPr>
            </w:pPr>
          </w:p>
        </w:tc>
        <w:tc>
          <w:tcPr>
            <w:tcW w:w="158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385"/>
        </w:trPr>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380" w:type="dxa"/>
            <w:vAlign w:val="bottom"/>
            <w:tcBorders>
              <w:bottom w:val="single" w:sz="8" w:color="0000EE"/>
            </w:tcBorders>
            <w:gridSpan w:val="13"/>
          </w:tcPr>
          <w:p>
            <w:pPr>
              <w:spacing w:after="0"/>
              <w:rPr>
                <w:rFonts w:ascii="Arial" w:cs="Arial" w:eastAsia="Arial" w:hAnsi="Arial"/>
                <w:sz w:val="18"/>
                <w:szCs w:val="18"/>
                <w:color w:val="0000EE"/>
                <w:w w:val="99"/>
              </w:rPr>
            </w:pPr>
            <w:hyperlink w:anchor="page5">
              <w:r>
                <w:rPr>
                  <w:rFonts w:ascii="Arial" w:cs="Arial" w:eastAsia="Arial" w:hAnsi="Arial"/>
                  <w:sz w:val="18"/>
                  <w:szCs w:val="18"/>
                  <w:color w:val="0000EE"/>
                  <w:w w:val="99"/>
                </w:rPr>
                <w:t>Consolidated Balance Sheet (unaudited) –</w:t>
              </w:r>
            </w:hyperlink>
          </w:p>
        </w:tc>
        <w:tc>
          <w:tcPr>
            <w:tcW w:w="3360" w:type="dxa"/>
            <w:vAlign w:val="bottom"/>
            <w:gridSpan w:val="10"/>
          </w:tcPr>
          <w:p>
            <w:pPr>
              <w:spacing w:after="0"/>
              <w:rPr>
                <w:sz w:val="24"/>
                <w:szCs w:val="24"/>
                <w:color w:val="auto"/>
              </w:rPr>
            </w:pPr>
          </w:p>
        </w:tc>
        <w:tc>
          <w:tcPr>
            <w:tcW w:w="2360" w:type="dxa"/>
            <w:vAlign w:val="bottom"/>
            <w:gridSpan w:val="2"/>
          </w:tcPr>
          <w:p>
            <w:pPr>
              <w:jc w:val="center"/>
              <w:ind w:left="1490"/>
              <w:spacing w:after="0"/>
              <w:rPr>
                <w:sz w:val="20"/>
                <w:szCs w:val="20"/>
                <w:color w:val="auto"/>
              </w:rPr>
            </w:pPr>
            <w:r>
              <w:rPr>
                <w:rFonts w:ascii="Arial" w:cs="Arial" w:eastAsia="Arial" w:hAnsi="Arial"/>
                <w:sz w:val="18"/>
                <w:szCs w:val="18"/>
                <w:color w:val="auto"/>
                <w:w w:val="99"/>
              </w:rPr>
              <w:t>5</w:t>
            </w:r>
          </w:p>
        </w:tc>
      </w:tr>
      <w:tr>
        <w:trPr>
          <w:trHeight w:val="183"/>
        </w:trPr>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120" w:type="dxa"/>
            <w:vAlign w:val="bottom"/>
            <w:tcBorders>
              <w:bottom w:val="single" w:sz="8" w:color="0000EE"/>
            </w:tcBorders>
            <w:gridSpan w:val="11"/>
          </w:tcPr>
          <w:p>
            <w:pPr>
              <w:spacing w:after="0" w:line="182" w:lineRule="exact"/>
              <w:rPr>
                <w:rFonts w:ascii="Arial" w:cs="Arial" w:eastAsia="Arial" w:hAnsi="Arial"/>
                <w:sz w:val="18"/>
                <w:szCs w:val="18"/>
                <w:color w:val="0000EE"/>
                <w:w w:val="99"/>
              </w:rPr>
            </w:pPr>
            <w:hyperlink w:anchor="page5">
              <w:r>
                <w:rPr>
                  <w:rFonts w:ascii="Arial" w:cs="Arial" w:eastAsia="Arial" w:hAnsi="Arial"/>
                  <w:sz w:val="18"/>
                  <w:szCs w:val="18"/>
                  <w:color w:val="0000EE"/>
                  <w:w w:val="99"/>
                </w:rPr>
                <w:t>June 30, 2018 and December 31, 2017</w:t>
              </w:r>
            </w:hyperlink>
          </w:p>
        </w:tc>
        <w:tc>
          <w:tcPr>
            <w:tcW w:w="3440" w:type="dxa"/>
            <w:vAlign w:val="bottom"/>
            <w:gridSpan w:val="11"/>
          </w:tcPr>
          <w:p>
            <w:pPr>
              <w:spacing w:after="0"/>
              <w:rPr>
                <w:sz w:val="15"/>
                <w:szCs w:val="15"/>
                <w:color w:val="auto"/>
              </w:rPr>
            </w:pPr>
          </w:p>
        </w:tc>
        <w:tc>
          <w:tcPr>
            <w:tcW w:w="158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385"/>
        </w:trPr>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20" w:type="dxa"/>
            <w:vAlign w:val="bottom"/>
            <w:tcBorders>
              <w:bottom w:val="single" w:sz="8" w:color="0000EE"/>
            </w:tcBorders>
            <w:gridSpan w:val="18"/>
          </w:tcPr>
          <w:p>
            <w:pPr>
              <w:spacing w:after="0"/>
              <w:rPr>
                <w:rFonts w:ascii="Arial" w:cs="Arial" w:eastAsia="Arial" w:hAnsi="Arial"/>
                <w:sz w:val="18"/>
                <w:szCs w:val="18"/>
                <w:color w:val="0000EE"/>
                <w:w w:val="99"/>
              </w:rPr>
            </w:pPr>
            <w:hyperlink w:anchor="page6">
              <w:r>
                <w:rPr>
                  <w:rFonts w:ascii="Arial" w:cs="Arial" w:eastAsia="Arial" w:hAnsi="Arial"/>
                  <w:sz w:val="18"/>
                  <w:szCs w:val="18"/>
                  <w:color w:val="0000EE"/>
                  <w:w w:val="99"/>
                </w:rPr>
                <w:t>Consolidated Statement of Cash Flows (unaudited) –</w:t>
              </w:r>
            </w:hyperlink>
          </w:p>
        </w:tc>
        <w:tc>
          <w:tcPr>
            <w:tcW w:w="2520" w:type="dxa"/>
            <w:vAlign w:val="bottom"/>
            <w:gridSpan w:val="5"/>
          </w:tcPr>
          <w:p>
            <w:pPr>
              <w:spacing w:after="0"/>
              <w:rPr>
                <w:sz w:val="24"/>
                <w:szCs w:val="24"/>
                <w:color w:val="auto"/>
              </w:rPr>
            </w:pPr>
          </w:p>
        </w:tc>
        <w:tc>
          <w:tcPr>
            <w:tcW w:w="2360" w:type="dxa"/>
            <w:vAlign w:val="bottom"/>
            <w:gridSpan w:val="2"/>
          </w:tcPr>
          <w:p>
            <w:pPr>
              <w:jc w:val="center"/>
              <w:ind w:left="1490"/>
              <w:spacing w:after="0"/>
              <w:rPr>
                <w:sz w:val="20"/>
                <w:szCs w:val="20"/>
                <w:color w:val="auto"/>
              </w:rPr>
            </w:pPr>
            <w:r>
              <w:rPr>
                <w:rFonts w:ascii="Arial" w:cs="Arial" w:eastAsia="Arial" w:hAnsi="Arial"/>
                <w:sz w:val="18"/>
                <w:szCs w:val="18"/>
                <w:color w:val="auto"/>
                <w:w w:val="99"/>
              </w:rPr>
              <w:t>6</w:t>
            </w:r>
          </w:p>
        </w:tc>
      </w:tr>
      <w:tr>
        <w:trPr>
          <w:trHeight w:val="183"/>
        </w:trPr>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560" w:type="dxa"/>
            <w:vAlign w:val="bottom"/>
            <w:gridSpan w:val="22"/>
          </w:tcPr>
          <w:p>
            <w:pPr>
              <w:spacing w:after="0" w:line="182" w:lineRule="exact"/>
              <w:rPr>
                <w:rFonts w:ascii="Arial" w:cs="Arial" w:eastAsia="Arial" w:hAnsi="Arial"/>
                <w:sz w:val="18"/>
                <w:szCs w:val="18"/>
                <w:color w:val="0000EE"/>
              </w:rPr>
            </w:pPr>
            <w:hyperlink w:anchor="page6">
              <w:r>
                <w:rPr>
                  <w:rFonts w:ascii="Arial" w:cs="Arial" w:eastAsia="Arial" w:hAnsi="Arial"/>
                  <w:sz w:val="18"/>
                  <w:szCs w:val="18"/>
                  <w:color w:val="0000EE"/>
                </w:rPr>
                <w:t>Six Months Ended June 30, 2018 and 2017</w:t>
              </w:r>
            </w:hyperlink>
          </w:p>
        </w:tc>
        <w:tc>
          <w:tcPr>
            <w:tcW w:w="158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20"/>
        </w:trPr>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2360" w:type="dxa"/>
            <w:vAlign w:val="bottom"/>
            <w:gridSpan w:val="2"/>
          </w:tcPr>
          <w:p>
            <w:pPr>
              <w:spacing w:after="0" w:line="20" w:lineRule="exact"/>
              <w:rPr>
                <w:sz w:val="1"/>
                <w:szCs w:val="1"/>
                <w:color w:val="auto"/>
              </w:rPr>
            </w:pPr>
          </w:p>
        </w:tc>
      </w:tr>
      <w:tr>
        <w:trPr>
          <w:trHeight w:val="385"/>
        </w:trPr>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60" w:type="dxa"/>
            <w:vAlign w:val="bottom"/>
            <w:tcBorders>
              <w:bottom w:val="single" w:sz="8" w:color="0000EE"/>
            </w:tcBorders>
            <w:gridSpan w:val="19"/>
          </w:tcPr>
          <w:p>
            <w:pPr>
              <w:spacing w:after="0"/>
              <w:rPr>
                <w:rFonts w:ascii="Arial" w:cs="Arial" w:eastAsia="Arial" w:hAnsi="Arial"/>
                <w:sz w:val="18"/>
                <w:szCs w:val="18"/>
                <w:color w:val="0000EE"/>
                <w:w w:val="99"/>
              </w:rPr>
            </w:pPr>
            <w:hyperlink w:anchor="page7">
              <w:r>
                <w:rPr>
                  <w:rFonts w:ascii="Arial" w:cs="Arial" w:eastAsia="Arial" w:hAnsi="Arial"/>
                  <w:sz w:val="18"/>
                  <w:szCs w:val="18"/>
                  <w:color w:val="0000EE"/>
                  <w:w w:val="99"/>
                </w:rPr>
                <w:t>Notes to Consolidated Financial Statements (unaudited)</w:t>
              </w:r>
            </w:hyperlink>
          </w:p>
        </w:tc>
        <w:tc>
          <w:tcPr>
            <w:tcW w:w="2280" w:type="dxa"/>
            <w:vAlign w:val="bottom"/>
            <w:gridSpan w:val="4"/>
          </w:tcPr>
          <w:p>
            <w:pPr>
              <w:spacing w:after="0"/>
              <w:rPr>
                <w:sz w:val="24"/>
                <w:szCs w:val="24"/>
                <w:color w:val="auto"/>
              </w:rPr>
            </w:pPr>
          </w:p>
        </w:tc>
        <w:tc>
          <w:tcPr>
            <w:tcW w:w="2360" w:type="dxa"/>
            <w:vAlign w:val="bottom"/>
            <w:gridSpan w:val="2"/>
          </w:tcPr>
          <w:p>
            <w:pPr>
              <w:jc w:val="center"/>
              <w:ind w:left="1490"/>
              <w:spacing w:after="0"/>
              <w:rPr>
                <w:sz w:val="20"/>
                <w:szCs w:val="20"/>
                <w:color w:val="auto"/>
              </w:rPr>
            </w:pPr>
            <w:r>
              <w:rPr>
                <w:rFonts w:ascii="Arial" w:cs="Arial" w:eastAsia="Arial" w:hAnsi="Arial"/>
                <w:sz w:val="18"/>
                <w:szCs w:val="18"/>
                <w:color w:val="auto"/>
                <w:w w:val="99"/>
              </w:rPr>
              <w:t>7</w:t>
            </w:r>
          </w:p>
        </w:tc>
      </w:tr>
      <w:tr>
        <w:trPr>
          <w:trHeight w:val="385"/>
        </w:trPr>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gridSpan w:val="4"/>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Item 2.</w:t>
              </w:r>
            </w:hyperlink>
          </w:p>
        </w:tc>
        <w:tc>
          <w:tcPr>
            <w:tcW w:w="180" w:type="dxa"/>
            <w:vAlign w:val="bottom"/>
          </w:tcPr>
          <w:p>
            <w:pPr>
              <w:spacing w:after="0"/>
              <w:rPr>
                <w:sz w:val="24"/>
                <w:szCs w:val="24"/>
                <w:color w:val="auto"/>
              </w:rPr>
            </w:pPr>
          </w:p>
        </w:tc>
        <w:tc>
          <w:tcPr>
            <w:tcW w:w="6740" w:type="dxa"/>
            <w:vAlign w:val="bottom"/>
            <w:gridSpan w:val="23"/>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Management’s Discussion and Analysis of Financial</w:t>
              </w:r>
            </w:hyperlink>
          </w:p>
        </w:tc>
        <w:tc>
          <w:tcPr>
            <w:tcW w:w="2360" w:type="dxa"/>
            <w:vAlign w:val="bottom"/>
            <w:gridSpan w:val="2"/>
          </w:tcPr>
          <w:p>
            <w:pPr>
              <w:jc w:val="center"/>
              <w:ind w:left="1470"/>
              <w:spacing w:after="0"/>
              <w:rPr>
                <w:sz w:val="20"/>
                <w:szCs w:val="20"/>
                <w:color w:val="auto"/>
              </w:rPr>
            </w:pPr>
            <w:r>
              <w:rPr>
                <w:rFonts w:ascii="Arial" w:cs="Arial" w:eastAsia="Arial" w:hAnsi="Arial"/>
                <w:sz w:val="18"/>
                <w:szCs w:val="18"/>
                <w:color w:val="auto"/>
                <w:w w:val="99"/>
              </w:rPr>
              <w:t>28</w:t>
            </w:r>
          </w:p>
        </w:tc>
      </w:tr>
      <w:tr>
        <w:trPr>
          <w:trHeight w:val="183"/>
        </w:trPr>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40" w:type="dxa"/>
            <w:vAlign w:val="bottom"/>
            <w:tcBorders>
              <w:top w:val="single" w:sz="8" w:color="0000EE"/>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3960" w:type="dxa"/>
            <w:vAlign w:val="bottom"/>
            <w:tcBorders>
              <w:top w:val="single" w:sz="8" w:color="0000EE"/>
            </w:tcBorders>
            <w:gridSpan w:val="15"/>
          </w:tcPr>
          <w:p>
            <w:pPr>
              <w:spacing w:after="0" w:line="182" w:lineRule="exact"/>
              <w:rPr>
                <w:rFonts w:ascii="Arial" w:cs="Arial" w:eastAsia="Arial" w:hAnsi="Arial"/>
                <w:sz w:val="18"/>
                <w:szCs w:val="18"/>
                <w:color w:val="0000EE"/>
              </w:rPr>
            </w:pPr>
            <w:hyperlink w:anchor="page28">
              <w:r>
                <w:rPr>
                  <w:rFonts w:ascii="Arial" w:cs="Arial" w:eastAsia="Arial" w:hAnsi="Arial"/>
                  <w:sz w:val="18"/>
                  <w:szCs w:val="18"/>
                  <w:color w:val="0000EE"/>
                </w:rPr>
                <w:t>Condition and Results of Operations</w:t>
              </w:r>
            </w:hyperlink>
          </w:p>
        </w:tc>
        <w:tc>
          <w:tcPr>
            <w:tcW w:w="2600" w:type="dxa"/>
            <w:vAlign w:val="bottom"/>
            <w:gridSpan w:val="7"/>
          </w:tcPr>
          <w:p>
            <w:pPr>
              <w:spacing w:after="0"/>
              <w:rPr>
                <w:sz w:val="15"/>
                <w:szCs w:val="15"/>
                <w:color w:val="auto"/>
              </w:rPr>
            </w:pPr>
          </w:p>
        </w:tc>
        <w:tc>
          <w:tcPr>
            <w:tcW w:w="158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20"/>
        </w:trPr>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1140" w:type="dxa"/>
            <w:vAlign w:val="bottom"/>
            <w:gridSpan w:val="6"/>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2360" w:type="dxa"/>
            <w:vAlign w:val="bottom"/>
            <w:gridSpan w:val="2"/>
          </w:tcPr>
          <w:p>
            <w:pPr>
              <w:spacing w:after="0" w:line="20" w:lineRule="exact"/>
              <w:rPr>
                <w:sz w:val="1"/>
                <w:szCs w:val="1"/>
                <w:color w:val="auto"/>
              </w:rPr>
            </w:pPr>
          </w:p>
        </w:tc>
      </w:tr>
      <w:tr>
        <w:trPr>
          <w:trHeight w:val="385"/>
        </w:trPr>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gridSpan w:val="4"/>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Item 3.</w:t>
              </w:r>
            </w:hyperlink>
          </w:p>
        </w:tc>
        <w:tc>
          <w:tcPr>
            <w:tcW w:w="180" w:type="dxa"/>
            <w:vAlign w:val="bottom"/>
          </w:tcPr>
          <w:p>
            <w:pPr>
              <w:spacing w:after="0"/>
              <w:rPr>
                <w:sz w:val="24"/>
                <w:szCs w:val="24"/>
                <w:color w:val="auto"/>
              </w:rPr>
            </w:pPr>
          </w:p>
        </w:tc>
        <w:tc>
          <w:tcPr>
            <w:tcW w:w="6740" w:type="dxa"/>
            <w:vAlign w:val="bottom"/>
            <w:gridSpan w:val="23"/>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Quantitative and Qualitative Disclosures About</w:t>
              </w:r>
            </w:hyperlink>
          </w:p>
        </w:tc>
        <w:tc>
          <w:tcPr>
            <w:tcW w:w="2360" w:type="dxa"/>
            <w:vAlign w:val="bottom"/>
            <w:gridSpan w:val="2"/>
          </w:tcPr>
          <w:p>
            <w:pPr>
              <w:jc w:val="center"/>
              <w:ind w:left="1470"/>
              <w:spacing w:after="0"/>
              <w:rPr>
                <w:sz w:val="20"/>
                <w:szCs w:val="20"/>
                <w:color w:val="auto"/>
              </w:rPr>
            </w:pPr>
            <w:r>
              <w:rPr>
                <w:rFonts w:ascii="Arial" w:cs="Arial" w:eastAsia="Arial" w:hAnsi="Arial"/>
                <w:sz w:val="18"/>
                <w:szCs w:val="18"/>
                <w:color w:val="auto"/>
                <w:w w:val="99"/>
              </w:rPr>
              <w:t>37</w:t>
            </w:r>
          </w:p>
        </w:tc>
      </w:tr>
      <w:tr>
        <w:trPr>
          <w:trHeight w:val="183"/>
        </w:trPr>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40" w:type="dxa"/>
            <w:vAlign w:val="bottom"/>
            <w:tcBorders>
              <w:top w:val="single" w:sz="8" w:color="0000EE"/>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1040" w:type="dxa"/>
            <w:vAlign w:val="bottom"/>
            <w:tcBorders>
              <w:top w:val="single" w:sz="8" w:color="0000EE"/>
              <w:bottom w:val="single" w:sz="8" w:color="0000EE"/>
            </w:tcBorders>
            <w:gridSpan w:val="3"/>
          </w:tcPr>
          <w:p>
            <w:pPr>
              <w:spacing w:after="0" w:line="182" w:lineRule="exact"/>
              <w:rPr>
                <w:rFonts w:ascii="Arial" w:cs="Arial" w:eastAsia="Arial" w:hAnsi="Arial"/>
                <w:sz w:val="18"/>
                <w:szCs w:val="18"/>
                <w:color w:val="0000EE"/>
                <w:w w:val="98"/>
              </w:rPr>
            </w:pPr>
            <w:hyperlink w:anchor="page37">
              <w:r>
                <w:rPr>
                  <w:rFonts w:ascii="Arial" w:cs="Arial" w:eastAsia="Arial" w:hAnsi="Arial"/>
                  <w:sz w:val="18"/>
                  <w:szCs w:val="18"/>
                  <w:color w:val="0000EE"/>
                  <w:w w:val="98"/>
                </w:rPr>
                <w:t>Market Risks</w:t>
              </w:r>
            </w:hyperlink>
          </w:p>
        </w:tc>
        <w:tc>
          <w:tcPr>
            <w:tcW w:w="2480" w:type="dxa"/>
            <w:vAlign w:val="bottom"/>
            <w:tcBorders>
              <w:top w:val="single" w:sz="8" w:color="0000EE"/>
            </w:tcBorders>
            <w:gridSpan w:val="11"/>
          </w:tcPr>
          <w:p>
            <w:pPr>
              <w:spacing w:after="0"/>
              <w:rPr>
                <w:sz w:val="15"/>
                <w:szCs w:val="15"/>
                <w:color w:val="auto"/>
              </w:rPr>
            </w:pPr>
          </w:p>
        </w:tc>
        <w:tc>
          <w:tcPr>
            <w:tcW w:w="3040" w:type="dxa"/>
            <w:vAlign w:val="bottom"/>
            <w:gridSpan w:val="8"/>
          </w:tcPr>
          <w:p>
            <w:pPr>
              <w:spacing w:after="0"/>
              <w:rPr>
                <w:sz w:val="15"/>
                <w:szCs w:val="15"/>
                <w:color w:val="auto"/>
              </w:rPr>
            </w:pPr>
          </w:p>
        </w:tc>
        <w:tc>
          <w:tcPr>
            <w:tcW w:w="158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385"/>
        </w:trPr>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gridSpan w:val="4"/>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Item 4.</w:t>
              </w:r>
            </w:hyperlink>
          </w:p>
        </w:tc>
        <w:tc>
          <w:tcPr>
            <w:tcW w:w="180" w:type="dxa"/>
            <w:vAlign w:val="bottom"/>
          </w:tcPr>
          <w:p>
            <w:pPr>
              <w:spacing w:after="0"/>
              <w:rPr>
                <w:sz w:val="24"/>
                <w:szCs w:val="24"/>
                <w:color w:val="auto"/>
              </w:rPr>
            </w:pPr>
          </w:p>
        </w:tc>
        <w:tc>
          <w:tcPr>
            <w:tcW w:w="6740" w:type="dxa"/>
            <w:vAlign w:val="bottom"/>
            <w:gridSpan w:val="23"/>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Controls and Procedures</w:t>
              </w:r>
            </w:hyperlink>
          </w:p>
        </w:tc>
        <w:tc>
          <w:tcPr>
            <w:tcW w:w="2360" w:type="dxa"/>
            <w:vAlign w:val="bottom"/>
            <w:gridSpan w:val="2"/>
          </w:tcPr>
          <w:p>
            <w:pPr>
              <w:jc w:val="center"/>
              <w:ind w:left="1470"/>
              <w:spacing w:after="0"/>
              <w:rPr>
                <w:sz w:val="20"/>
                <w:szCs w:val="20"/>
                <w:color w:val="auto"/>
              </w:rPr>
            </w:pPr>
            <w:r>
              <w:rPr>
                <w:rFonts w:ascii="Arial" w:cs="Arial" w:eastAsia="Arial" w:hAnsi="Arial"/>
                <w:sz w:val="18"/>
                <w:szCs w:val="18"/>
                <w:color w:val="auto"/>
                <w:w w:val="99"/>
              </w:rPr>
              <w:t>37</w:t>
            </w:r>
          </w:p>
        </w:tc>
      </w:tr>
      <w:tr>
        <w:trPr>
          <w:trHeight w:val="20"/>
        </w:trPr>
        <w:tc>
          <w:tcPr>
            <w:tcW w:w="5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2860" w:type="dxa"/>
            <w:vAlign w:val="bottom"/>
            <w:gridSpan w:val="11"/>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385"/>
        </w:trPr>
        <w:tc>
          <w:tcPr>
            <w:tcW w:w="560" w:type="dxa"/>
            <w:vAlign w:val="bottom"/>
            <w:tcBorders>
              <w:bottom w:val="single" w:sz="8" w:color="0000EE"/>
            </w:tcBorders>
            <w:gridSpan w:val="2"/>
          </w:tcPr>
          <w:p>
            <w:pPr>
              <w:spacing w:after="0"/>
              <w:rPr>
                <w:rFonts w:ascii="Arial" w:cs="Arial" w:eastAsia="Arial" w:hAnsi="Arial"/>
                <w:sz w:val="18"/>
                <w:szCs w:val="18"/>
                <w:b w:val="1"/>
                <w:bCs w:val="1"/>
                <w:color w:val="0000EE"/>
                <w:w w:val="98"/>
              </w:rPr>
            </w:pPr>
            <w:hyperlink w:anchor="page37">
              <w:r>
                <w:rPr>
                  <w:rFonts w:ascii="Arial" w:cs="Arial" w:eastAsia="Arial" w:hAnsi="Arial"/>
                  <w:sz w:val="18"/>
                  <w:szCs w:val="18"/>
                  <w:b w:val="1"/>
                  <w:bCs w:val="1"/>
                  <w:color w:val="0000EE"/>
                  <w:w w:val="98"/>
                </w:rPr>
                <w:t>Part II.</w:t>
              </w:r>
            </w:hyperlink>
          </w:p>
        </w:tc>
        <w:tc>
          <w:tcPr>
            <w:tcW w:w="600" w:type="dxa"/>
            <w:vAlign w:val="bottom"/>
            <w:gridSpan w:val="2"/>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gridSpan w:val="3"/>
          </w:tcPr>
          <w:p>
            <w:pPr>
              <w:spacing w:after="0"/>
              <w:rPr>
                <w:sz w:val="24"/>
                <w:szCs w:val="24"/>
                <w:color w:val="auto"/>
              </w:rPr>
            </w:pPr>
          </w:p>
        </w:tc>
        <w:tc>
          <w:tcPr>
            <w:tcW w:w="1520" w:type="dxa"/>
            <w:vAlign w:val="bottom"/>
            <w:tcBorders>
              <w:bottom w:val="single" w:sz="8" w:color="0000EE"/>
            </w:tcBorders>
            <w:gridSpan w:val="6"/>
          </w:tcPr>
          <w:p>
            <w:pPr>
              <w:spacing w:after="0"/>
              <w:rPr>
                <w:rFonts w:ascii="Arial" w:cs="Arial" w:eastAsia="Arial" w:hAnsi="Arial"/>
                <w:sz w:val="18"/>
                <w:szCs w:val="18"/>
                <w:b w:val="1"/>
                <w:bCs w:val="1"/>
                <w:color w:val="0000EE"/>
                <w:w w:val="98"/>
              </w:rPr>
            </w:pPr>
            <w:hyperlink w:anchor="page37">
              <w:r>
                <w:rPr>
                  <w:rFonts w:ascii="Arial" w:cs="Arial" w:eastAsia="Arial" w:hAnsi="Arial"/>
                  <w:sz w:val="18"/>
                  <w:szCs w:val="18"/>
                  <w:b w:val="1"/>
                  <w:bCs w:val="1"/>
                  <w:color w:val="0000EE"/>
                  <w:w w:val="98"/>
                </w:rPr>
                <w:t>Other Information</w:t>
              </w:r>
            </w:hyperlink>
          </w:p>
        </w:tc>
        <w:tc>
          <w:tcPr>
            <w:tcW w:w="5400" w:type="dxa"/>
            <w:vAlign w:val="bottom"/>
            <w:gridSpan w:val="18"/>
          </w:tcPr>
          <w:p>
            <w:pPr>
              <w:spacing w:after="0"/>
              <w:rPr>
                <w:sz w:val="24"/>
                <w:szCs w:val="24"/>
                <w:color w:val="auto"/>
              </w:rPr>
            </w:pPr>
          </w:p>
        </w:tc>
        <w:tc>
          <w:tcPr>
            <w:tcW w:w="15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385"/>
        </w:trPr>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gridSpan w:val="2"/>
          </w:tcPr>
          <w:p>
            <w:pPr>
              <w:spacing w:after="0"/>
              <w:rPr>
                <w:rFonts w:ascii="Arial" w:cs="Arial" w:eastAsia="Arial" w:hAnsi="Arial"/>
                <w:sz w:val="18"/>
                <w:szCs w:val="18"/>
                <w:color w:val="0000EE"/>
                <w:w w:val="98"/>
              </w:rPr>
            </w:pPr>
            <w:hyperlink w:anchor="page37">
              <w:r>
                <w:rPr>
                  <w:rFonts w:ascii="Arial" w:cs="Arial" w:eastAsia="Arial" w:hAnsi="Arial"/>
                  <w:sz w:val="18"/>
                  <w:szCs w:val="18"/>
                  <w:color w:val="0000EE"/>
                  <w:w w:val="98"/>
                </w:rPr>
                <w:t>Item 1.</w:t>
              </w:r>
            </w:hyperlink>
          </w:p>
        </w:tc>
        <w:tc>
          <w:tcPr>
            <w:tcW w:w="360" w:type="dxa"/>
            <w:vAlign w:val="bottom"/>
            <w:gridSpan w:val="2"/>
          </w:tcPr>
          <w:p>
            <w:pPr>
              <w:spacing w:after="0"/>
              <w:rPr>
                <w:sz w:val="24"/>
                <w:szCs w:val="24"/>
                <w:color w:val="auto"/>
              </w:rPr>
            </w:pPr>
          </w:p>
        </w:tc>
        <w:tc>
          <w:tcPr>
            <w:tcW w:w="180" w:type="dxa"/>
            <w:vAlign w:val="bottom"/>
          </w:tcPr>
          <w:p>
            <w:pPr>
              <w:spacing w:after="0"/>
              <w:rPr>
                <w:sz w:val="24"/>
                <w:szCs w:val="24"/>
                <w:color w:val="auto"/>
              </w:rPr>
            </w:pPr>
          </w:p>
        </w:tc>
        <w:tc>
          <w:tcPr>
            <w:tcW w:w="6740" w:type="dxa"/>
            <w:vAlign w:val="bottom"/>
            <w:gridSpan w:val="23"/>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Legal Proceedings</w:t>
              </w:r>
            </w:hyperlink>
          </w:p>
        </w:tc>
        <w:tc>
          <w:tcPr>
            <w:tcW w:w="2360" w:type="dxa"/>
            <w:vAlign w:val="bottom"/>
            <w:gridSpan w:val="2"/>
          </w:tcPr>
          <w:p>
            <w:pPr>
              <w:jc w:val="center"/>
              <w:ind w:left="1470"/>
              <w:spacing w:after="0"/>
              <w:rPr>
                <w:sz w:val="20"/>
                <w:szCs w:val="20"/>
                <w:color w:val="auto"/>
              </w:rPr>
            </w:pPr>
            <w:r>
              <w:rPr>
                <w:rFonts w:ascii="Arial" w:cs="Arial" w:eastAsia="Arial" w:hAnsi="Arial"/>
                <w:sz w:val="18"/>
                <w:szCs w:val="18"/>
                <w:color w:val="auto"/>
                <w:w w:val="99"/>
              </w:rPr>
              <w:t>37</w:t>
            </w:r>
          </w:p>
        </w:tc>
      </w:tr>
      <w:tr>
        <w:trPr>
          <w:trHeight w:val="20"/>
        </w:trPr>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360" w:type="dxa"/>
            <w:vAlign w:val="bottom"/>
            <w:gridSpan w:val="14"/>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2360" w:type="dxa"/>
            <w:vAlign w:val="bottom"/>
            <w:gridSpan w:val="2"/>
          </w:tcPr>
          <w:p>
            <w:pPr>
              <w:spacing w:after="0" w:line="20" w:lineRule="exact"/>
              <w:rPr>
                <w:sz w:val="1"/>
                <w:szCs w:val="1"/>
                <w:color w:val="auto"/>
              </w:rPr>
            </w:pPr>
          </w:p>
        </w:tc>
      </w:tr>
      <w:tr>
        <w:trPr>
          <w:trHeight w:val="385"/>
        </w:trPr>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gridSpan w:val="4"/>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Item 1A.</w:t>
              </w:r>
            </w:hyperlink>
          </w:p>
        </w:tc>
        <w:tc>
          <w:tcPr>
            <w:tcW w:w="180" w:type="dxa"/>
            <w:vAlign w:val="bottom"/>
          </w:tcPr>
          <w:p>
            <w:pPr>
              <w:spacing w:after="0"/>
              <w:rPr>
                <w:sz w:val="24"/>
                <w:szCs w:val="24"/>
                <w:color w:val="auto"/>
              </w:rPr>
            </w:pPr>
          </w:p>
        </w:tc>
        <w:tc>
          <w:tcPr>
            <w:tcW w:w="6740" w:type="dxa"/>
            <w:vAlign w:val="bottom"/>
            <w:gridSpan w:val="23"/>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Risk Factors</w:t>
              </w:r>
            </w:hyperlink>
          </w:p>
        </w:tc>
        <w:tc>
          <w:tcPr>
            <w:tcW w:w="2360" w:type="dxa"/>
            <w:vAlign w:val="bottom"/>
            <w:gridSpan w:val="2"/>
          </w:tcPr>
          <w:p>
            <w:pPr>
              <w:jc w:val="center"/>
              <w:ind w:left="1470"/>
              <w:spacing w:after="0"/>
              <w:rPr>
                <w:sz w:val="20"/>
                <w:szCs w:val="20"/>
                <w:color w:val="auto"/>
              </w:rPr>
            </w:pPr>
            <w:r>
              <w:rPr>
                <w:rFonts w:ascii="Arial" w:cs="Arial" w:eastAsia="Arial" w:hAnsi="Arial"/>
                <w:sz w:val="18"/>
                <w:szCs w:val="18"/>
                <w:color w:val="auto"/>
                <w:w w:val="99"/>
              </w:rPr>
              <w:t>37</w:t>
            </w:r>
          </w:p>
        </w:tc>
      </w:tr>
      <w:tr>
        <w:trPr>
          <w:trHeight w:val="20"/>
        </w:trPr>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3440" w:type="dxa"/>
            <w:vAlign w:val="bottom"/>
            <w:gridSpan w:val="15"/>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2360" w:type="dxa"/>
            <w:vAlign w:val="bottom"/>
            <w:gridSpan w:val="2"/>
          </w:tcPr>
          <w:p>
            <w:pPr>
              <w:spacing w:after="0" w:line="20" w:lineRule="exact"/>
              <w:rPr>
                <w:sz w:val="1"/>
                <w:szCs w:val="1"/>
                <w:color w:val="auto"/>
              </w:rPr>
            </w:pPr>
          </w:p>
        </w:tc>
      </w:tr>
      <w:tr>
        <w:trPr>
          <w:trHeight w:val="385"/>
        </w:trPr>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gridSpan w:val="2"/>
          </w:tcPr>
          <w:p>
            <w:pPr>
              <w:spacing w:after="0"/>
              <w:rPr>
                <w:rFonts w:ascii="Arial" w:cs="Arial" w:eastAsia="Arial" w:hAnsi="Arial"/>
                <w:sz w:val="18"/>
                <w:szCs w:val="18"/>
                <w:color w:val="0000EE"/>
                <w:w w:val="98"/>
              </w:rPr>
            </w:pPr>
            <w:hyperlink w:anchor="page38">
              <w:r>
                <w:rPr>
                  <w:rFonts w:ascii="Arial" w:cs="Arial" w:eastAsia="Arial" w:hAnsi="Arial"/>
                  <w:sz w:val="18"/>
                  <w:szCs w:val="18"/>
                  <w:color w:val="0000EE"/>
                  <w:w w:val="98"/>
                </w:rPr>
                <w:t>Item 2.</w:t>
              </w:r>
            </w:hyperlink>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740" w:type="dxa"/>
            <w:vAlign w:val="bottom"/>
            <w:gridSpan w:val="23"/>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Unregistered Sales of Equity Securities and Use of Proceeds</w:t>
              </w:r>
            </w:hyperlink>
          </w:p>
        </w:tc>
        <w:tc>
          <w:tcPr>
            <w:tcW w:w="2360" w:type="dxa"/>
            <w:vAlign w:val="bottom"/>
            <w:gridSpan w:val="2"/>
          </w:tcPr>
          <w:p>
            <w:pPr>
              <w:jc w:val="center"/>
              <w:ind w:left="1470"/>
              <w:spacing w:after="0"/>
              <w:rPr>
                <w:sz w:val="20"/>
                <w:szCs w:val="20"/>
                <w:color w:val="auto"/>
              </w:rPr>
            </w:pPr>
            <w:r>
              <w:rPr>
                <w:rFonts w:ascii="Arial" w:cs="Arial" w:eastAsia="Arial" w:hAnsi="Arial"/>
                <w:sz w:val="18"/>
                <w:szCs w:val="18"/>
                <w:color w:val="auto"/>
                <w:w w:val="99"/>
              </w:rPr>
              <w:t>38</w:t>
            </w:r>
          </w:p>
        </w:tc>
      </w:tr>
      <w:tr>
        <w:trPr>
          <w:trHeight w:val="385"/>
        </w:trPr>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98"/>
              </w:rPr>
            </w:pPr>
            <w:hyperlink w:anchor="page38">
              <w:r>
                <w:rPr>
                  <w:rFonts w:ascii="Arial" w:cs="Arial" w:eastAsia="Arial" w:hAnsi="Arial"/>
                  <w:sz w:val="18"/>
                  <w:szCs w:val="18"/>
                  <w:color w:val="0000EE"/>
                  <w:w w:val="98"/>
                </w:rPr>
                <w:t>Item 5.</w:t>
              </w:r>
            </w:hyperlink>
          </w:p>
        </w:tc>
        <w:tc>
          <w:tcPr>
            <w:tcW w:w="360" w:type="dxa"/>
            <w:vAlign w:val="bottom"/>
            <w:gridSpan w:val="2"/>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98"/>
              </w:rPr>
            </w:pPr>
            <w:hyperlink w:anchor="page38">
              <w:r>
                <w:rPr>
                  <w:rFonts w:ascii="Arial" w:cs="Arial" w:eastAsia="Arial" w:hAnsi="Arial"/>
                  <w:sz w:val="18"/>
                  <w:szCs w:val="18"/>
                  <w:color w:val="0000EE"/>
                  <w:w w:val="98"/>
                </w:rPr>
                <w:t>Other Information</w:t>
              </w:r>
            </w:hyperlink>
          </w:p>
        </w:tc>
        <w:tc>
          <w:tcPr>
            <w:tcW w:w="3440" w:type="dxa"/>
            <w:vAlign w:val="bottom"/>
            <w:tcBorders>
              <w:top w:val="single" w:sz="8" w:color="0000EE"/>
            </w:tcBorders>
            <w:gridSpan w:val="15"/>
          </w:tcPr>
          <w:p>
            <w:pPr>
              <w:spacing w:after="0"/>
              <w:rPr>
                <w:sz w:val="24"/>
                <w:szCs w:val="24"/>
                <w:color w:val="auto"/>
              </w:rPr>
            </w:pPr>
          </w:p>
        </w:tc>
        <w:tc>
          <w:tcPr>
            <w:tcW w:w="1900" w:type="dxa"/>
            <w:vAlign w:val="bottom"/>
            <w:gridSpan w:val="2"/>
          </w:tcPr>
          <w:p>
            <w:pPr>
              <w:spacing w:after="0"/>
              <w:rPr>
                <w:sz w:val="24"/>
                <w:szCs w:val="24"/>
                <w:color w:val="auto"/>
              </w:rPr>
            </w:pPr>
          </w:p>
        </w:tc>
        <w:tc>
          <w:tcPr>
            <w:tcW w:w="2360" w:type="dxa"/>
            <w:vAlign w:val="bottom"/>
            <w:gridSpan w:val="2"/>
          </w:tcPr>
          <w:p>
            <w:pPr>
              <w:jc w:val="center"/>
              <w:ind w:left="1470"/>
              <w:spacing w:after="0"/>
              <w:rPr>
                <w:sz w:val="20"/>
                <w:szCs w:val="20"/>
                <w:color w:val="auto"/>
              </w:rPr>
            </w:pPr>
            <w:r>
              <w:rPr>
                <w:rFonts w:ascii="Arial" w:cs="Arial" w:eastAsia="Arial" w:hAnsi="Arial"/>
                <w:sz w:val="18"/>
                <w:szCs w:val="18"/>
                <w:color w:val="auto"/>
                <w:w w:val="99"/>
              </w:rPr>
              <w:t>38</w:t>
            </w:r>
          </w:p>
        </w:tc>
      </w:tr>
      <w:tr>
        <w:trPr>
          <w:trHeight w:val="385"/>
        </w:trPr>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gridSpan w:val="4"/>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Item 6.</w:t>
              </w:r>
            </w:hyperlink>
          </w:p>
        </w:tc>
        <w:tc>
          <w:tcPr>
            <w:tcW w:w="180" w:type="dxa"/>
            <w:vAlign w:val="bottom"/>
          </w:tcPr>
          <w:p>
            <w:pPr>
              <w:spacing w:after="0"/>
              <w:rPr>
                <w:sz w:val="24"/>
                <w:szCs w:val="24"/>
                <w:color w:val="auto"/>
              </w:rPr>
            </w:pPr>
          </w:p>
        </w:tc>
        <w:tc>
          <w:tcPr>
            <w:tcW w:w="6740" w:type="dxa"/>
            <w:vAlign w:val="bottom"/>
            <w:gridSpan w:val="23"/>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Exhibits</w:t>
              </w:r>
            </w:hyperlink>
          </w:p>
        </w:tc>
        <w:tc>
          <w:tcPr>
            <w:tcW w:w="2360" w:type="dxa"/>
            <w:vAlign w:val="bottom"/>
            <w:gridSpan w:val="2"/>
          </w:tcPr>
          <w:p>
            <w:pPr>
              <w:jc w:val="center"/>
              <w:ind w:left="1470"/>
              <w:spacing w:after="0"/>
              <w:rPr>
                <w:sz w:val="20"/>
                <w:szCs w:val="20"/>
                <w:color w:val="auto"/>
              </w:rPr>
            </w:pPr>
            <w:r>
              <w:rPr>
                <w:rFonts w:ascii="Arial" w:cs="Arial" w:eastAsia="Arial" w:hAnsi="Arial"/>
                <w:sz w:val="18"/>
                <w:szCs w:val="18"/>
                <w:color w:val="auto"/>
                <w:w w:val="99"/>
              </w:rPr>
              <w:t>39</w:t>
            </w:r>
          </w:p>
        </w:tc>
      </w:tr>
      <w:tr>
        <w:trPr>
          <w:trHeight w:val="385"/>
        </w:trPr>
        <w:tc>
          <w:tcPr>
            <w:tcW w:w="1160" w:type="dxa"/>
            <w:vAlign w:val="bottom"/>
            <w:gridSpan w:val="4"/>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Signatures</w:t>
              </w:r>
            </w:hyperlink>
          </w:p>
        </w:tc>
        <w:tc>
          <w:tcPr>
            <w:tcW w:w="540" w:type="dxa"/>
            <w:vAlign w:val="bottom"/>
            <w:tcBorders>
              <w:top w:val="single" w:sz="8" w:color="0000EE"/>
            </w:tcBorders>
          </w:tcPr>
          <w:p>
            <w:pPr>
              <w:spacing w:after="0"/>
              <w:rPr>
                <w:sz w:val="24"/>
                <w:szCs w:val="24"/>
                <w:color w:val="auto"/>
              </w:rPr>
            </w:pPr>
          </w:p>
        </w:tc>
        <w:tc>
          <w:tcPr>
            <w:tcW w:w="380" w:type="dxa"/>
            <w:vAlign w:val="bottom"/>
            <w:gridSpan w:val="3"/>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360" w:type="dxa"/>
            <w:vAlign w:val="bottom"/>
            <w:gridSpan w:val="2"/>
          </w:tcPr>
          <w:p>
            <w:pPr>
              <w:jc w:val="center"/>
              <w:ind w:left="1470"/>
              <w:spacing w:after="0"/>
              <w:rPr>
                <w:sz w:val="20"/>
                <w:szCs w:val="20"/>
                <w:color w:val="auto"/>
              </w:rPr>
            </w:pPr>
            <w:r>
              <w:rPr>
                <w:rFonts w:ascii="Arial" w:cs="Arial" w:eastAsia="Arial" w:hAnsi="Arial"/>
                <w:sz w:val="18"/>
                <w:szCs w:val="18"/>
                <w:color w:val="auto"/>
                <w:w w:val="99"/>
              </w:rPr>
              <w:t>40</w:t>
            </w:r>
          </w:p>
        </w:tc>
      </w:tr>
      <w:tr>
        <w:trPr>
          <w:trHeight w:val="20"/>
        </w:trPr>
        <w:tc>
          <w:tcPr>
            <w:tcW w:w="5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bl>
    <w:p>
      <w:pPr>
        <w:spacing w:after="0" w:line="215"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Cautionary Statement about Forward-Looking Statements</w:t>
      </w:r>
    </w:p>
    <w:p>
      <w:pPr>
        <w:spacing w:after="0" w:line="198" w:lineRule="exact"/>
        <w:rPr>
          <w:sz w:val="20"/>
          <w:szCs w:val="20"/>
          <w:color w:val="auto"/>
        </w:rPr>
      </w:pPr>
    </w:p>
    <w:p>
      <w:pPr>
        <w:jc w:val="both"/>
        <w:ind w:left="340"/>
        <w:spacing w:after="0" w:line="236" w:lineRule="auto"/>
        <w:rPr>
          <w:sz w:val="20"/>
          <w:szCs w:val="20"/>
          <w:color w:val="auto"/>
        </w:rPr>
      </w:pPr>
      <w:r>
        <w:rPr>
          <w:rFonts w:ascii="Arial" w:cs="Arial" w:eastAsia="Arial" w:hAnsi="Arial"/>
          <w:sz w:val="18"/>
          <w:szCs w:val="18"/>
          <w:color w:val="auto"/>
        </w:rPr>
        <w:t>This report contains “forward-looking statements” within the meaning of Section 21E of the Securities Exchange Act of 1934. Forward-looking statements are those that address activities, events or developments that we or our management intends, expects, projects, believes or anticipates will or may occur in the future. They are based on management’s assumptions and assessments in the light of past experience and trends, current economic and industry conditions, expected future developments and other relevant factors. They are not guarantees of future performance, and actual results, developments and business decisions may differ from those envisaged by our forward-looking statements, including with respect to any changes in or abandonment of the proposed spin-offs. Our forward-looking statements are also subject to risks and uncertainties, which can affect our performance in both the near- and long-term. These forward-looking statements should be considered in the light of the information included in this report and our other filings with the Securities and Exchange Commission, including, without limitation, the Risk Factors, as well as the description of trends and other factors in Management’s Discussion and Analysis of Financial Condition and Results of Operations, set forth in our 2017 Annual Report on Form 10-K.</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color w:val="auto"/>
        </w:rPr>
        <w:t>PART I. FINANCIAL INFORMATION</w:t>
      </w:r>
    </w:p>
    <w:p>
      <w:pPr>
        <w:spacing w:after="0" w:line="198" w:lineRule="exact"/>
        <w:rPr>
          <w:sz w:val="20"/>
          <w:szCs w:val="20"/>
          <w:color w:val="auto"/>
        </w:rPr>
      </w:pPr>
    </w:p>
    <w:p>
      <w:pPr>
        <w:ind w:right="180" w:firstLine="648"/>
        <w:spacing w:after="0" w:line="246" w:lineRule="auto"/>
        <w:rPr>
          <w:sz w:val="20"/>
          <w:szCs w:val="20"/>
          <w:color w:val="auto"/>
        </w:rPr>
      </w:pPr>
      <w:r>
        <w:rPr>
          <w:rFonts w:ascii="Arial" w:cs="Arial" w:eastAsia="Arial" w:hAnsi="Arial"/>
          <w:sz w:val="18"/>
          <w:szCs w:val="18"/>
          <w:color w:val="auto"/>
        </w:rPr>
        <w:t>The financial statements and related footnotes as of June 30, 2018 should be read in conjunction with the financial statements for the year ended December 31, 2017 contained in our 2017 Annual Report on Form 10-K.</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ITEM 1. </w:t>
      </w:r>
      <w:r>
        <w:rPr>
          <w:rFonts w:ascii="Arial" w:cs="Arial" w:eastAsia="Arial" w:hAnsi="Arial"/>
          <w:sz w:val="18"/>
          <w:szCs w:val="18"/>
          <w:u w:val="single" w:color="auto"/>
          <w:color w:val="auto"/>
        </w:rPr>
        <w:t>FINANCIAL STATEMENTS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Honeywell International Inc.</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Operations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94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80" w:type="dxa"/>
            <w:vAlign w:val="bottom"/>
            <w:gridSpan w:val="4"/>
          </w:tcPr>
          <w:p>
            <w:pPr>
              <w:jc w:val="right"/>
              <w:spacing w:after="0"/>
              <w:rPr>
                <w:sz w:val="20"/>
                <w:szCs w:val="20"/>
                <w:color w:val="auto"/>
              </w:rPr>
            </w:pPr>
            <w:r>
              <w:rPr>
                <w:rFonts w:ascii="Arial" w:cs="Arial" w:eastAsia="Arial" w:hAnsi="Arial"/>
                <w:sz w:val="14"/>
                <w:szCs w:val="14"/>
                <w:b w:val="1"/>
                <w:bCs w:val="1"/>
                <w:color w:val="auto"/>
              </w:rPr>
              <w:t>Six Months Ended</w:t>
            </w: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gridSpan w:val="4"/>
          </w:tcPr>
          <w:p>
            <w:pPr>
              <w:jc w:val="right"/>
              <w:ind w:right="330"/>
              <w:spacing w:after="0"/>
              <w:rPr>
                <w:sz w:val="20"/>
                <w:szCs w:val="20"/>
                <w:color w:val="auto"/>
              </w:rPr>
            </w:pPr>
            <w:r>
              <w:rPr>
                <w:rFonts w:ascii="Arial" w:cs="Arial" w:eastAsia="Arial" w:hAnsi="Arial"/>
                <w:sz w:val="14"/>
                <w:szCs w:val="14"/>
                <w:b w:val="1"/>
                <w:bCs w:val="1"/>
                <w:color w:val="auto"/>
              </w:rPr>
              <w:t>June 30,</w:t>
            </w:r>
          </w:p>
        </w:tc>
        <w:tc>
          <w:tcPr>
            <w:tcW w:w="7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gridSpan w:val="4"/>
          </w:tcPr>
          <w:p>
            <w:pPr>
              <w:jc w:val="right"/>
              <w:ind w:right="290"/>
              <w:spacing w:after="0"/>
              <w:rPr>
                <w:sz w:val="20"/>
                <w:szCs w:val="20"/>
                <w:color w:val="auto"/>
              </w:rPr>
            </w:pPr>
            <w:r>
              <w:rPr>
                <w:rFonts w:ascii="Arial" w:cs="Arial" w:eastAsia="Arial" w:hAnsi="Arial"/>
                <w:sz w:val="14"/>
                <w:szCs w:val="14"/>
                <w:b w:val="1"/>
                <w:bCs w:val="1"/>
                <w:color w:val="auto"/>
              </w:rPr>
              <w:t>June 30,</w:t>
            </w:r>
          </w:p>
        </w:tc>
        <w:tc>
          <w:tcPr>
            <w:tcW w:w="7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w w:val="96"/>
              </w:rPr>
              <w:t>2017</w:t>
            </w:r>
          </w:p>
        </w:tc>
        <w:tc>
          <w:tcPr>
            <w:tcW w:w="1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20" w:type="dxa"/>
            <w:vAlign w:val="bottom"/>
            <w:gridSpan w:val="8"/>
          </w:tcPr>
          <w:p>
            <w:pPr>
              <w:jc w:val="right"/>
              <w:ind w:right="20"/>
              <w:spacing w:after="0" w:line="155" w:lineRule="exact"/>
              <w:rPr>
                <w:sz w:val="20"/>
                <w:szCs w:val="20"/>
                <w:color w:val="auto"/>
              </w:rPr>
            </w:pPr>
            <w:r>
              <w:rPr>
                <w:rFonts w:ascii="Arial" w:cs="Arial" w:eastAsia="Arial" w:hAnsi="Arial"/>
                <w:sz w:val="14"/>
                <w:szCs w:val="14"/>
                <w:b w:val="1"/>
                <w:bCs w:val="1"/>
                <w:color w:val="auto"/>
              </w:rPr>
              <w:t>(Dollars in millions, except per share amounts)</w:t>
            </w:r>
          </w:p>
        </w:tc>
        <w:tc>
          <w:tcPr>
            <w:tcW w:w="3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472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Product sales</w:t>
            </w:r>
          </w:p>
        </w:tc>
        <w:tc>
          <w:tcPr>
            <w:tcW w:w="540" w:type="dxa"/>
            <w:vAlign w:val="bottom"/>
            <w:gridSpan w:val="2"/>
            <w:shd w:val="clear" w:color="auto" w:fill="E5FFFF"/>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E5FFFF"/>
          </w:tcPr>
          <w:p>
            <w:pPr>
              <w:jc w:val="right"/>
              <w:ind w:right="120"/>
              <w:spacing w:after="0" w:line="202" w:lineRule="exact"/>
              <w:rPr>
                <w:sz w:val="20"/>
                <w:szCs w:val="20"/>
                <w:color w:val="auto"/>
              </w:rPr>
            </w:pPr>
            <w:r>
              <w:rPr>
                <w:rFonts w:ascii="Arial" w:cs="Arial" w:eastAsia="Arial" w:hAnsi="Arial"/>
                <w:sz w:val="18"/>
                <w:szCs w:val="18"/>
                <w:color w:val="auto"/>
              </w:rPr>
              <w:t>8,703</w:t>
            </w:r>
          </w:p>
        </w:tc>
        <w:tc>
          <w:tcPr>
            <w:tcW w:w="880" w:type="dxa"/>
            <w:vAlign w:val="bottom"/>
            <w:gridSpan w:val="2"/>
            <w:shd w:val="clear" w:color="auto" w:fill="E5FFFF"/>
          </w:tcPr>
          <w:p>
            <w:pPr>
              <w:jc w:val="right"/>
              <w:ind w:right="330"/>
              <w:spacing w:after="0" w:line="202" w:lineRule="exact"/>
              <w:rPr>
                <w:sz w:val="20"/>
                <w:szCs w:val="20"/>
                <w:color w:val="auto"/>
              </w:rPr>
            </w:pPr>
            <w:r>
              <w:rPr>
                <w:rFonts w:ascii="Arial" w:cs="Arial" w:eastAsia="Arial" w:hAnsi="Arial"/>
                <w:sz w:val="18"/>
                <w:szCs w:val="18"/>
                <w:color w:val="auto"/>
              </w:rPr>
              <w:t>$</w:t>
            </w:r>
          </w:p>
        </w:tc>
        <w:tc>
          <w:tcPr>
            <w:tcW w:w="840" w:type="dxa"/>
            <w:vAlign w:val="bottom"/>
            <w:gridSpan w:val="2"/>
            <w:shd w:val="clear" w:color="auto" w:fill="E5FFFF"/>
          </w:tcPr>
          <w:p>
            <w:pPr>
              <w:jc w:val="right"/>
              <w:ind w:right="100"/>
              <w:spacing w:after="0" w:line="202" w:lineRule="exact"/>
              <w:rPr>
                <w:sz w:val="20"/>
                <w:szCs w:val="20"/>
                <w:color w:val="auto"/>
              </w:rPr>
            </w:pPr>
            <w:r>
              <w:rPr>
                <w:rFonts w:ascii="Arial" w:cs="Arial" w:eastAsia="Arial" w:hAnsi="Arial"/>
                <w:sz w:val="18"/>
                <w:szCs w:val="18"/>
                <w:color w:val="auto"/>
              </w:rPr>
              <w:t>8,079</w:t>
            </w:r>
          </w:p>
        </w:tc>
        <w:tc>
          <w:tcPr>
            <w:tcW w:w="640" w:type="dxa"/>
            <w:vAlign w:val="bottom"/>
            <w:gridSpan w:val="2"/>
            <w:shd w:val="clear" w:color="auto" w:fill="E5FFFF"/>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E5FFFF"/>
          </w:tcPr>
          <w:p>
            <w:pPr>
              <w:jc w:val="right"/>
              <w:ind w:right="120"/>
              <w:spacing w:after="0" w:line="202" w:lineRule="exact"/>
              <w:rPr>
                <w:sz w:val="20"/>
                <w:szCs w:val="20"/>
                <w:color w:val="auto"/>
              </w:rPr>
            </w:pPr>
            <w:r>
              <w:rPr>
                <w:rFonts w:ascii="Arial" w:cs="Arial" w:eastAsia="Arial" w:hAnsi="Arial"/>
                <w:sz w:val="18"/>
                <w:szCs w:val="18"/>
                <w:color w:val="auto"/>
              </w:rPr>
              <w:t>16,937</w:t>
            </w:r>
          </w:p>
        </w:tc>
        <w:tc>
          <w:tcPr>
            <w:tcW w:w="820" w:type="dxa"/>
            <w:vAlign w:val="bottom"/>
            <w:gridSpan w:val="2"/>
            <w:shd w:val="clear" w:color="auto" w:fill="E5FFFF"/>
          </w:tcPr>
          <w:p>
            <w:pPr>
              <w:jc w:val="right"/>
              <w:ind w:right="310"/>
              <w:spacing w:after="0" w:line="202" w:lineRule="exact"/>
              <w:rPr>
                <w:sz w:val="20"/>
                <w:szCs w:val="20"/>
                <w:color w:val="auto"/>
              </w:rPr>
            </w:pPr>
            <w:r>
              <w:rPr>
                <w:rFonts w:ascii="Arial" w:cs="Arial" w:eastAsia="Arial" w:hAnsi="Arial"/>
                <w:sz w:val="18"/>
                <w:szCs w:val="18"/>
                <w:color w:val="auto"/>
              </w:rPr>
              <w:t>$</w:t>
            </w:r>
          </w:p>
        </w:tc>
        <w:tc>
          <w:tcPr>
            <w:tcW w:w="860" w:type="dxa"/>
            <w:vAlign w:val="bottom"/>
            <w:gridSpan w:val="2"/>
            <w:shd w:val="clear" w:color="auto" w:fill="E5FFFF"/>
          </w:tcPr>
          <w:p>
            <w:pPr>
              <w:jc w:val="right"/>
              <w:ind w:right="100"/>
              <w:spacing w:after="0" w:line="202" w:lineRule="exact"/>
              <w:rPr>
                <w:sz w:val="20"/>
                <w:szCs w:val="20"/>
                <w:color w:val="auto"/>
              </w:rPr>
            </w:pPr>
            <w:r>
              <w:rPr>
                <w:rFonts w:ascii="Arial" w:cs="Arial" w:eastAsia="Arial" w:hAnsi="Arial"/>
                <w:sz w:val="18"/>
                <w:szCs w:val="18"/>
                <w:color w:val="auto"/>
              </w:rPr>
              <w:t>15,619</w:t>
            </w:r>
          </w:p>
        </w:tc>
        <w:tc>
          <w:tcPr>
            <w:tcW w:w="0" w:type="dxa"/>
            <w:vAlign w:val="bottom"/>
          </w:tcPr>
          <w:p>
            <w:pPr>
              <w:spacing w:after="0"/>
              <w:rPr>
                <w:sz w:val="1"/>
                <w:szCs w:val="1"/>
                <w:color w:val="auto"/>
              </w:rPr>
            </w:pPr>
          </w:p>
        </w:tc>
      </w:tr>
      <w:tr>
        <w:trPr>
          <w:trHeight w:val="216"/>
        </w:trPr>
        <w:tc>
          <w:tcPr>
            <w:tcW w:w="4720" w:type="dxa"/>
            <w:vAlign w:val="bottom"/>
            <w:tcBorders>
              <w:bottom w:val="single" w:sz="8" w:color="E5FFFF"/>
            </w:tcBorders>
          </w:tcPr>
          <w:p>
            <w:pPr>
              <w:spacing w:after="0"/>
              <w:rPr>
                <w:sz w:val="20"/>
                <w:szCs w:val="20"/>
                <w:color w:val="auto"/>
              </w:rPr>
            </w:pPr>
            <w:r>
              <w:rPr>
                <w:rFonts w:ascii="Arial" w:cs="Arial" w:eastAsia="Arial" w:hAnsi="Arial"/>
                <w:sz w:val="18"/>
                <w:szCs w:val="18"/>
                <w:color w:val="auto"/>
              </w:rPr>
              <w:t>Service sales</w:t>
            </w:r>
          </w:p>
        </w:tc>
        <w:tc>
          <w:tcPr>
            <w:tcW w:w="220" w:type="dxa"/>
            <w:vAlign w:val="bottom"/>
            <w:tcBorders>
              <w:bottom w:val="single" w:sz="8" w:color="E5FF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2,216</w:t>
            </w:r>
          </w:p>
        </w:tc>
        <w:tc>
          <w:tcPr>
            <w:tcW w:w="360" w:type="dxa"/>
            <w:vAlign w:val="bottom"/>
            <w:tcBorders>
              <w:bottom w:val="single" w:sz="8" w:color="E5FF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1,999</w:t>
            </w:r>
          </w:p>
        </w:tc>
        <w:tc>
          <w:tcPr>
            <w:tcW w:w="340" w:type="dxa"/>
            <w:vAlign w:val="bottom"/>
            <w:tcBorders>
              <w:bottom w:val="single" w:sz="8" w:color="E5FF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4,374</w:t>
            </w:r>
          </w:p>
        </w:tc>
        <w:tc>
          <w:tcPr>
            <w:tcW w:w="320" w:type="dxa"/>
            <w:vAlign w:val="bottom"/>
            <w:tcBorders>
              <w:bottom w:val="single" w:sz="8" w:color="E5FF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3,951</w:t>
            </w:r>
          </w:p>
        </w:tc>
        <w:tc>
          <w:tcPr>
            <w:tcW w:w="0" w:type="dxa"/>
            <w:vAlign w:val="bottom"/>
          </w:tcPr>
          <w:p>
            <w:pPr>
              <w:spacing w:after="0"/>
              <w:rPr>
                <w:sz w:val="1"/>
                <w:szCs w:val="1"/>
                <w:color w:val="auto"/>
              </w:rPr>
            </w:pPr>
          </w:p>
        </w:tc>
      </w:tr>
      <w:tr>
        <w:trPr>
          <w:trHeight w:val="196"/>
        </w:trPr>
        <w:tc>
          <w:tcPr>
            <w:tcW w:w="4720" w:type="dxa"/>
            <w:vAlign w:val="bottom"/>
            <w:shd w:val="clear" w:color="auto" w:fill="E5FFFF"/>
          </w:tcPr>
          <w:p>
            <w:pPr>
              <w:spacing w:after="0" w:line="196" w:lineRule="exact"/>
              <w:rPr>
                <w:sz w:val="20"/>
                <w:szCs w:val="20"/>
                <w:color w:val="auto"/>
              </w:rPr>
            </w:pPr>
            <w:r>
              <w:rPr>
                <w:rFonts w:ascii="Arial" w:cs="Arial" w:eastAsia="Arial" w:hAnsi="Arial"/>
                <w:sz w:val="18"/>
                <w:szCs w:val="18"/>
                <w:color w:val="auto"/>
              </w:rPr>
              <w:t>Net sales</w:t>
            </w:r>
          </w:p>
        </w:tc>
        <w:tc>
          <w:tcPr>
            <w:tcW w:w="220" w:type="dxa"/>
            <w:vAlign w:val="bottom"/>
            <w:shd w:val="clear" w:color="auto" w:fill="E5FFFF"/>
          </w:tcPr>
          <w:p>
            <w:pPr>
              <w:spacing w:after="0"/>
              <w:rPr>
                <w:sz w:val="17"/>
                <w:szCs w:val="17"/>
                <w:color w:val="auto"/>
              </w:rPr>
            </w:pPr>
          </w:p>
        </w:tc>
        <w:tc>
          <w:tcPr>
            <w:tcW w:w="320" w:type="dxa"/>
            <w:vAlign w:val="bottom"/>
            <w:tcBorders>
              <w:bottom w:val="single" w:sz="8" w:color="auto"/>
            </w:tcBorders>
            <w:shd w:val="clear" w:color="auto" w:fill="E5FFFF"/>
          </w:tcPr>
          <w:p>
            <w:pPr>
              <w:spacing w:after="0"/>
              <w:rPr>
                <w:sz w:val="17"/>
                <w:szCs w:val="17"/>
                <w:color w:val="auto"/>
              </w:rPr>
            </w:pPr>
          </w:p>
        </w:tc>
        <w:tc>
          <w:tcPr>
            <w:tcW w:w="1060" w:type="dxa"/>
            <w:vAlign w:val="bottom"/>
            <w:tcBorders>
              <w:bottom w:val="single" w:sz="8" w:color="auto"/>
            </w:tcBorders>
            <w:gridSpan w:val="2"/>
            <w:shd w:val="clear" w:color="auto" w:fill="E5FFFF"/>
          </w:tcPr>
          <w:p>
            <w:pPr>
              <w:jc w:val="right"/>
              <w:ind w:right="120"/>
              <w:spacing w:after="0" w:line="196" w:lineRule="exact"/>
              <w:rPr>
                <w:sz w:val="20"/>
                <w:szCs w:val="20"/>
                <w:color w:val="auto"/>
              </w:rPr>
            </w:pPr>
            <w:r>
              <w:rPr>
                <w:rFonts w:ascii="Arial" w:cs="Arial" w:eastAsia="Arial" w:hAnsi="Arial"/>
                <w:sz w:val="18"/>
                <w:szCs w:val="18"/>
                <w:color w:val="auto"/>
              </w:rPr>
              <w:t>10,919</w:t>
            </w:r>
          </w:p>
        </w:tc>
        <w:tc>
          <w:tcPr>
            <w:tcW w:w="360" w:type="dxa"/>
            <w:vAlign w:val="bottom"/>
            <w:shd w:val="clear" w:color="auto" w:fill="E5FFFF"/>
          </w:tcPr>
          <w:p>
            <w:pPr>
              <w:spacing w:after="0"/>
              <w:rPr>
                <w:sz w:val="17"/>
                <w:szCs w:val="17"/>
                <w:color w:val="auto"/>
              </w:rPr>
            </w:pPr>
          </w:p>
        </w:tc>
        <w:tc>
          <w:tcPr>
            <w:tcW w:w="520" w:type="dxa"/>
            <w:vAlign w:val="bottom"/>
            <w:tcBorders>
              <w:bottom w:val="single" w:sz="8" w:color="auto"/>
            </w:tcBorders>
            <w:shd w:val="clear" w:color="auto" w:fill="E5FFFF"/>
          </w:tcPr>
          <w:p>
            <w:pPr>
              <w:spacing w:after="0"/>
              <w:rPr>
                <w:sz w:val="17"/>
                <w:szCs w:val="17"/>
                <w:color w:val="auto"/>
              </w:rPr>
            </w:pPr>
          </w:p>
        </w:tc>
        <w:tc>
          <w:tcPr>
            <w:tcW w:w="840" w:type="dxa"/>
            <w:vAlign w:val="bottom"/>
            <w:tcBorders>
              <w:bottom w:val="single" w:sz="8" w:color="auto"/>
            </w:tcBorders>
            <w:gridSpan w:val="2"/>
            <w:shd w:val="clear" w:color="auto" w:fill="E5FFFF"/>
          </w:tcPr>
          <w:p>
            <w:pPr>
              <w:jc w:val="right"/>
              <w:ind w:right="100"/>
              <w:spacing w:after="0" w:line="196" w:lineRule="exact"/>
              <w:rPr>
                <w:sz w:val="20"/>
                <w:szCs w:val="20"/>
                <w:color w:val="auto"/>
              </w:rPr>
            </w:pPr>
            <w:r>
              <w:rPr>
                <w:rFonts w:ascii="Arial" w:cs="Arial" w:eastAsia="Arial" w:hAnsi="Arial"/>
                <w:sz w:val="18"/>
                <w:szCs w:val="18"/>
                <w:color w:val="auto"/>
              </w:rPr>
              <w:t>10,078</w:t>
            </w:r>
          </w:p>
        </w:tc>
        <w:tc>
          <w:tcPr>
            <w:tcW w:w="340" w:type="dxa"/>
            <w:vAlign w:val="bottom"/>
            <w:shd w:val="clear" w:color="auto" w:fill="E5FFFF"/>
          </w:tcPr>
          <w:p>
            <w:pPr>
              <w:spacing w:after="0"/>
              <w:rPr>
                <w:sz w:val="17"/>
                <w:szCs w:val="17"/>
                <w:color w:val="auto"/>
              </w:rPr>
            </w:pPr>
          </w:p>
        </w:tc>
        <w:tc>
          <w:tcPr>
            <w:tcW w:w="300" w:type="dxa"/>
            <w:vAlign w:val="bottom"/>
            <w:tcBorders>
              <w:bottom w:val="single" w:sz="8" w:color="auto"/>
            </w:tcBorders>
            <w:shd w:val="clear" w:color="auto" w:fill="E5FFFF"/>
          </w:tcPr>
          <w:p>
            <w:pPr>
              <w:spacing w:after="0"/>
              <w:rPr>
                <w:sz w:val="17"/>
                <w:szCs w:val="17"/>
                <w:color w:val="auto"/>
              </w:rPr>
            </w:pPr>
          </w:p>
        </w:tc>
        <w:tc>
          <w:tcPr>
            <w:tcW w:w="1060" w:type="dxa"/>
            <w:vAlign w:val="bottom"/>
            <w:tcBorders>
              <w:bottom w:val="single" w:sz="8" w:color="auto"/>
            </w:tcBorders>
            <w:gridSpan w:val="2"/>
            <w:shd w:val="clear" w:color="auto" w:fill="E5FFFF"/>
          </w:tcPr>
          <w:p>
            <w:pPr>
              <w:jc w:val="right"/>
              <w:ind w:right="120"/>
              <w:spacing w:after="0" w:line="196" w:lineRule="exact"/>
              <w:rPr>
                <w:sz w:val="20"/>
                <w:szCs w:val="20"/>
                <w:color w:val="auto"/>
              </w:rPr>
            </w:pPr>
            <w:r>
              <w:rPr>
                <w:rFonts w:ascii="Arial" w:cs="Arial" w:eastAsia="Arial" w:hAnsi="Arial"/>
                <w:sz w:val="18"/>
                <w:szCs w:val="18"/>
                <w:color w:val="auto"/>
              </w:rPr>
              <w:t>21,311</w:t>
            </w:r>
          </w:p>
        </w:tc>
        <w:tc>
          <w:tcPr>
            <w:tcW w:w="320" w:type="dxa"/>
            <w:vAlign w:val="bottom"/>
            <w:shd w:val="clear" w:color="auto" w:fill="E5FFFF"/>
          </w:tcPr>
          <w:p>
            <w:pPr>
              <w:spacing w:after="0"/>
              <w:rPr>
                <w:sz w:val="17"/>
                <w:szCs w:val="17"/>
                <w:color w:val="auto"/>
              </w:rPr>
            </w:pPr>
          </w:p>
        </w:tc>
        <w:tc>
          <w:tcPr>
            <w:tcW w:w="500" w:type="dxa"/>
            <w:vAlign w:val="bottom"/>
            <w:tcBorders>
              <w:bottom w:val="single" w:sz="8" w:color="auto"/>
            </w:tcBorders>
            <w:shd w:val="clear" w:color="auto" w:fill="E5FFFF"/>
          </w:tcPr>
          <w:p>
            <w:pPr>
              <w:spacing w:after="0"/>
              <w:rPr>
                <w:sz w:val="17"/>
                <w:szCs w:val="17"/>
                <w:color w:val="auto"/>
              </w:rPr>
            </w:pPr>
          </w:p>
        </w:tc>
        <w:tc>
          <w:tcPr>
            <w:tcW w:w="860" w:type="dxa"/>
            <w:vAlign w:val="bottom"/>
            <w:tcBorders>
              <w:bottom w:val="single" w:sz="8" w:color="auto"/>
            </w:tcBorders>
            <w:gridSpan w:val="2"/>
            <w:shd w:val="clear" w:color="auto" w:fill="E5FFFF"/>
          </w:tcPr>
          <w:p>
            <w:pPr>
              <w:jc w:val="right"/>
              <w:ind w:right="100"/>
              <w:spacing w:after="0" w:line="196" w:lineRule="exact"/>
              <w:rPr>
                <w:sz w:val="20"/>
                <w:szCs w:val="20"/>
                <w:color w:val="auto"/>
              </w:rPr>
            </w:pPr>
            <w:r>
              <w:rPr>
                <w:rFonts w:ascii="Arial" w:cs="Arial" w:eastAsia="Arial" w:hAnsi="Arial"/>
                <w:sz w:val="18"/>
                <w:szCs w:val="18"/>
                <w:color w:val="auto"/>
              </w:rPr>
              <w:t>19,570</w:t>
            </w:r>
          </w:p>
        </w:tc>
        <w:tc>
          <w:tcPr>
            <w:tcW w:w="0" w:type="dxa"/>
            <w:vAlign w:val="bottom"/>
          </w:tcPr>
          <w:p>
            <w:pPr>
              <w:spacing w:after="0"/>
              <w:rPr>
                <w:sz w:val="1"/>
                <w:szCs w:val="1"/>
                <w:color w:val="auto"/>
              </w:rPr>
            </w:pPr>
          </w:p>
        </w:tc>
      </w:tr>
      <w:tr>
        <w:trPr>
          <w:trHeight w:val="196"/>
        </w:trPr>
        <w:tc>
          <w:tcPr>
            <w:tcW w:w="4720" w:type="dxa"/>
            <w:vAlign w:val="bottom"/>
          </w:tcPr>
          <w:p>
            <w:pPr>
              <w:spacing w:after="0" w:line="196" w:lineRule="exact"/>
              <w:rPr>
                <w:sz w:val="20"/>
                <w:szCs w:val="20"/>
                <w:color w:val="auto"/>
              </w:rPr>
            </w:pPr>
            <w:r>
              <w:rPr>
                <w:rFonts w:ascii="Arial" w:cs="Arial" w:eastAsia="Arial" w:hAnsi="Arial"/>
                <w:sz w:val="18"/>
                <w:szCs w:val="18"/>
                <w:color w:val="auto"/>
              </w:rPr>
              <w:t>Costs, expenses and other</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20" w:type="dxa"/>
            <w:vAlign w:val="bottom"/>
            <w:shd w:val="clear" w:color="auto" w:fill="E5FFFF"/>
          </w:tcPr>
          <w:p>
            <w:pPr>
              <w:ind w:left="180"/>
              <w:spacing w:after="0" w:line="202" w:lineRule="exact"/>
              <w:rPr>
                <w:sz w:val="20"/>
                <w:szCs w:val="20"/>
                <w:color w:val="auto"/>
              </w:rPr>
            </w:pPr>
            <w:r>
              <w:rPr>
                <w:rFonts w:ascii="Arial" w:cs="Arial" w:eastAsia="Arial" w:hAnsi="Arial"/>
                <w:sz w:val="18"/>
                <w:szCs w:val="18"/>
                <w:color w:val="auto"/>
              </w:rPr>
              <w:t>Cost of products sold</w:t>
            </w:r>
          </w:p>
        </w:tc>
        <w:tc>
          <w:tcPr>
            <w:tcW w:w="220" w:type="dxa"/>
            <w:vAlign w:val="bottom"/>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1060" w:type="dxa"/>
            <w:vAlign w:val="bottom"/>
            <w:gridSpan w:val="2"/>
            <w:shd w:val="clear" w:color="auto" w:fill="E5FFFF"/>
          </w:tcPr>
          <w:p>
            <w:pPr>
              <w:jc w:val="right"/>
              <w:ind w:right="120"/>
              <w:spacing w:after="0" w:line="202" w:lineRule="exact"/>
              <w:rPr>
                <w:sz w:val="20"/>
                <w:szCs w:val="20"/>
                <w:color w:val="auto"/>
              </w:rPr>
            </w:pPr>
            <w:r>
              <w:rPr>
                <w:rFonts w:ascii="Arial" w:cs="Arial" w:eastAsia="Arial" w:hAnsi="Arial"/>
                <w:sz w:val="18"/>
                <w:szCs w:val="18"/>
                <w:color w:val="auto"/>
              </w:rPr>
              <w:t>6,202</w:t>
            </w:r>
          </w:p>
        </w:tc>
        <w:tc>
          <w:tcPr>
            <w:tcW w:w="360" w:type="dxa"/>
            <w:vAlign w:val="bottom"/>
            <w:shd w:val="clear" w:color="auto" w:fill="E5FFFF"/>
          </w:tcPr>
          <w:p>
            <w:pPr>
              <w:spacing w:after="0"/>
              <w:rPr>
                <w:sz w:val="17"/>
                <w:szCs w:val="17"/>
                <w:color w:val="auto"/>
              </w:rPr>
            </w:pPr>
          </w:p>
        </w:tc>
        <w:tc>
          <w:tcPr>
            <w:tcW w:w="520" w:type="dxa"/>
            <w:vAlign w:val="bottom"/>
            <w:shd w:val="clear" w:color="auto" w:fill="E5FFFF"/>
          </w:tcPr>
          <w:p>
            <w:pPr>
              <w:spacing w:after="0"/>
              <w:rPr>
                <w:sz w:val="17"/>
                <w:szCs w:val="17"/>
                <w:color w:val="auto"/>
              </w:rPr>
            </w:pPr>
          </w:p>
        </w:tc>
        <w:tc>
          <w:tcPr>
            <w:tcW w:w="840" w:type="dxa"/>
            <w:vAlign w:val="bottom"/>
            <w:gridSpan w:val="2"/>
            <w:shd w:val="clear" w:color="auto" w:fill="E5FFFF"/>
          </w:tcPr>
          <w:p>
            <w:pPr>
              <w:jc w:val="right"/>
              <w:ind w:right="100"/>
              <w:spacing w:after="0" w:line="202" w:lineRule="exact"/>
              <w:rPr>
                <w:sz w:val="20"/>
                <w:szCs w:val="20"/>
                <w:color w:val="auto"/>
              </w:rPr>
            </w:pPr>
            <w:r>
              <w:rPr>
                <w:rFonts w:ascii="Arial" w:cs="Arial" w:eastAsia="Arial" w:hAnsi="Arial"/>
                <w:sz w:val="18"/>
                <w:szCs w:val="18"/>
                <w:color w:val="auto"/>
              </w:rPr>
              <w:t>5,807</w:t>
            </w:r>
          </w:p>
        </w:tc>
        <w:tc>
          <w:tcPr>
            <w:tcW w:w="34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1060" w:type="dxa"/>
            <w:vAlign w:val="bottom"/>
            <w:gridSpan w:val="2"/>
            <w:shd w:val="clear" w:color="auto" w:fill="E5FFFF"/>
          </w:tcPr>
          <w:p>
            <w:pPr>
              <w:jc w:val="right"/>
              <w:ind w:right="120"/>
              <w:spacing w:after="0" w:line="202" w:lineRule="exact"/>
              <w:rPr>
                <w:sz w:val="20"/>
                <w:szCs w:val="20"/>
                <w:color w:val="auto"/>
              </w:rPr>
            </w:pPr>
            <w:r>
              <w:rPr>
                <w:rFonts w:ascii="Arial" w:cs="Arial" w:eastAsia="Arial" w:hAnsi="Arial"/>
                <w:sz w:val="18"/>
                <w:szCs w:val="18"/>
                <w:color w:val="auto"/>
              </w:rPr>
              <w:t>12,107</w:t>
            </w:r>
          </w:p>
        </w:tc>
        <w:tc>
          <w:tcPr>
            <w:tcW w:w="320" w:type="dxa"/>
            <w:vAlign w:val="bottom"/>
            <w:shd w:val="clear" w:color="auto" w:fill="E5FFFF"/>
          </w:tcPr>
          <w:p>
            <w:pPr>
              <w:spacing w:after="0"/>
              <w:rPr>
                <w:sz w:val="17"/>
                <w:szCs w:val="17"/>
                <w:color w:val="auto"/>
              </w:rPr>
            </w:pPr>
          </w:p>
        </w:tc>
        <w:tc>
          <w:tcPr>
            <w:tcW w:w="500" w:type="dxa"/>
            <w:vAlign w:val="bottom"/>
            <w:shd w:val="clear" w:color="auto" w:fill="E5FFFF"/>
          </w:tcPr>
          <w:p>
            <w:pPr>
              <w:spacing w:after="0"/>
              <w:rPr>
                <w:sz w:val="17"/>
                <w:szCs w:val="17"/>
                <w:color w:val="auto"/>
              </w:rPr>
            </w:pPr>
          </w:p>
        </w:tc>
        <w:tc>
          <w:tcPr>
            <w:tcW w:w="860" w:type="dxa"/>
            <w:vAlign w:val="bottom"/>
            <w:gridSpan w:val="2"/>
            <w:shd w:val="clear" w:color="auto" w:fill="E5FFFF"/>
          </w:tcPr>
          <w:p>
            <w:pPr>
              <w:jc w:val="right"/>
              <w:ind w:right="100"/>
              <w:spacing w:after="0" w:line="202" w:lineRule="exact"/>
              <w:rPr>
                <w:sz w:val="20"/>
                <w:szCs w:val="20"/>
                <w:color w:val="auto"/>
              </w:rPr>
            </w:pPr>
            <w:r>
              <w:rPr>
                <w:rFonts w:ascii="Arial" w:cs="Arial" w:eastAsia="Arial" w:hAnsi="Arial"/>
                <w:sz w:val="18"/>
                <w:szCs w:val="18"/>
                <w:color w:val="auto"/>
              </w:rPr>
              <w:t>11,188</w:t>
            </w:r>
          </w:p>
        </w:tc>
        <w:tc>
          <w:tcPr>
            <w:tcW w:w="0" w:type="dxa"/>
            <w:vAlign w:val="bottom"/>
          </w:tcPr>
          <w:p>
            <w:pPr>
              <w:spacing w:after="0"/>
              <w:rPr>
                <w:sz w:val="1"/>
                <w:szCs w:val="1"/>
                <w:color w:val="auto"/>
              </w:rPr>
            </w:pPr>
          </w:p>
        </w:tc>
      </w:tr>
      <w:tr>
        <w:trPr>
          <w:trHeight w:val="216"/>
        </w:trPr>
        <w:tc>
          <w:tcPr>
            <w:tcW w:w="4720" w:type="dxa"/>
            <w:vAlign w:val="bottom"/>
            <w:tcBorders>
              <w:bottom w:val="single" w:sz="8" w:color="E5FFFF"/>
            </w:tcBorders>
          </w:tcPr>
          <w:p>
            <w:pPr>
              <w:ind w:left="180"/>
              <w:spacing w:after="0"/>
              <w:rPr>
                <w:sz w:val="20"/>
                <w:szCs w:val="20"/>
                <w:color w:val="auto"/>
              </w:rPr>
            </w:pPr>
            <w:r>
              <w:rPr>
                <w:rFonts w:ascii="Arial" w:cs="Arial" w:eastAsia="Arial" w:hAnsi="Arial"/>
                <w:sz w:val="18"/>
                <w:szCs w:val="18"/>
                <w:color w:val="auto"/>
              </w:rPr>
              <w:t>Cost of services sold</w:t>
            </w:r>
          </w:p>
        </w:tc>
        <w:tc>
          <w:tcPr>
            <w:tcW w:w="220" w:type="dxa"/>
            <w:vAlign w:val="bottom"/>
            <w:tcBorders>
              <w:bottom w:val="single" w:sz="8" w:color="E5FF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1,411</w:t>
            </w:r>
          </w:p>
        </w:tc>
        <w:tc>
          <w:tcPr>
            <w:tcW w:w="360" w:type="dxa"/>
            <w:vAlign w:val="bottom"/>
            <w:tcBorders>
              <w:bottom w:val="single" w:sz="8" w:color="E5FF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1,217</w:t>
            </w:r>
          </w:p>
        </w:tc>
        <w:tc>
          <w:tcPr>
            <w:tcW w:w="340" w:type="dxa"/>
            <w:vAlign w:val="bottom"/>
            <w:tcBorders>
              <w:bottom w:val="single" w:sz="8" w:color="E5FF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2,699</w:t>
            </w:r>
          </w:p>
        </w:tc>
        <w:tc>
          <w:tcPr>
            <w:tcW w:w="320" w:type="dxa"/>
            <w:vAlign w:val="bottom"/>
            <w:tcBorders>
              <w:bottom w:val="single" w:sz="8" w:color="E5FF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2,365</w:t>
            </w:r>
          </w:p>
        </w:tc>
        <w:tc>
          <w:tcPr>
            <w:tcW w:w="0" w:type="dxa"/>
            <w:vAlign w:val="bottom"/>
          </w:tcPr>
          <w:p>
            <w:pPr>
              <w:spacing w:after="0"/>
              <w:rPr>
                <w:sz w:val="1"/>
                <w:szCs w:val="1"/>
                <w:color w:val="auto"/>
              </w:rPr>
            </w:pPr>
          </w:p>
        </w:tc>
      </w:tr>
      <w:tr>
        <w:trPr>
          <w:trHeight w:val="196"/>
        </w:trPr>
        <w:tc>
          <w:tcPr>
            <w:tcW w:w="472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1060" w:type="dxa"/>
            <w:vAlign w:val="bottom"/>
            <w:gridSpan w:val="2"/>
            <w:shd w:val="clear" w:color="auto" w:fill="E5FFFF"/>
          </w:tcPr>
          <w:p>
            <w:pPr>
              <w:jc w:val="right"/>
              <w:ind w:right="120"/>
              <w:spacing w:after="0" w:line="196" w:lineRule="exact"/>
              <w:rPr>
                <w:sz w:val="20"/>
                <w:szCs w:val="20"/>
                <w:color w:val="auto"/>
              </w:rPr>
            </w:pPr>
            <w:r>
              <w:rPr>
                <w:rFonts w:ascii="Arial" w:cs="Arial" w:eastAsia="Arial" w:hAnsi="Arial"/>
                <w:sz w:val="18"/>
                <w:szCs w:val="18"/>
                <w:color w:val="auto"/>
              </w:rPr>
              <w:t>7,613</w:t>
            </w:r>
          </w:p>
        </w:tc>
        <w:tc>
          <w:tcPr>
            <w:tcW w:w="360" w:type="dxa"/>
            <w:vAlign w:val="bottom"/>
            <w:shd w:val="clear" w:color="auto" w:fill="E5FFFF"/>
          </w:tcPr>
          <w:p>
            <w:pPr>
              <w:spacing w:after="0"/>
              <w:rPr>
                <w:sz w:val="17"/>
                <w:szCs w:val="17"/>
                <w:color w:val="auto"/>
              </w:rPr>
            </w:pPr>
          </w:p>
        </w:tc>
        <w:tc>
          <w:tcPr>
            <w:tcW w:w="520" w:type="dxa"/>
            <w:vAlign w:val="bottom"/>
            <w:shd w:val="clear" w:color="auto" w:fill="E5FFFF"/>
          </w:tcPr>
          <w:p>
            <w:pPr>
              <w:spacing w:after="0"/>
              <w:rPr>
                <w:sz w:val="17"/>
                <w:szCs w:val="17"/>
                <w:color w:val="auto"/>
              </w:rPr>
            </w:pPr>
          </w:p>
        </w:tc>
        <w:tc>
          <w:tcPr>
            <w:tcW w:w="840" w:type="dxa"/>
            <w:vAlign w:val="bottom"/>
            <w:gridSpan w:val="2"/>
            <w:shd w:val="clear" w:color="auto" w:fill="E5FFFF"/>
          </w:tcPr>
          <w:p>
            <w:pPr>
              <w:jc w:val="right"/>
              <w:ind w:right="100"/>
              <w:spacing w:after="0" w:line="196" w:lineRule="exact"/>
              <w:rPr>
                <w:sz w:val="20"/>
                <w:szCs w:val="20"/>
                <w:color w:val="auto"/>
              </w:rPr>
            </w:pPr>
            <w:r>
              <w:rPr>
                <w:rFonts w:ascii="Arial" w:cs="Arial" w:eastAsia="Arial" w:hAnsi="Arial"/>
                <w:sz w:val="18"/>
                <w:szCs w:val="18"/>
                <w:color w:val="auto"/>
              </w:rPr>
              <w:t>7,024</w:t>
            </w:r>
          </w:p>
        </w:tc>
        <w:tc>
          <w:tcPr>
            <w:tcW w:w="34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1060" w:type="dxa"/>
            <w:vAlign w:val="bottom"/>
            <w:gridSpan w:val="2"/>
            <w:shd w:val="clear" w:color="auto" w:fill="E5FFFF"/>
          </w:tcPr>
          <w:p>
            <w:pPr>
              <w:jc w:val="right"/>
              <w:ind w:right="120"/>
              <w:spacing w:after="0" w:line="196" w:lineRule="exact"/>
              <w:rPr>
                <w:sz w:val="20"/>
                <w:szCs w:val="20"/>
                <w:color w:val="auto"/>
              </w:rPr>
            </w:pPr>
            <w:r>
              <w:rPr>
                <w:rFonts w:ascii="Arial" w:cs="Arial" w:eastAsia="Arial" w:hAnsi="Arial"/>
                <w:sz w:val="18"/>
                <w:szCs w:val="18"/>
                <w:color w:val="auto"/>
              </w:rPr>
              <w:t>14,806</w:t>
            </w:r>
          </w:p>
        </w:tc>
        <w:tc>
          <w:tcPr>
            <w:tcW w:w="320" w:type="dxa"/>
            <w:vAlign w:val="bottom"/>
            <w:shd w:val="clear" w:color="auto" w:fill="E5FFFF"/>
          </w:tcPr>
          <w:p>
            <w:pPr>
              <w:spacing w:after="0"/>
              <w:rPr>
                <w:sz w:val="17"/>
                <w:szCs w:val="17"/>
                <w:color w:val="auto"/>
              </w:rPr>
            </w:pPr>
          </w:p>
        </w:tc>
        <w:tc>
          <w:tcPr>
            <w:tcW w:w="500" w:type="dxa"/>
            <w:vAlign w:val="bottom"/>
            <w:shd w:val="clear" w:color="auto" w:fill="E5FFFF"/>
          </w:tcPr>
          <w:p>
            <w:pPr>
              <w:spacing w:after="0"/>
              <w:rPr>
                <w:sz w:val="17"/>
                <w:szCs w:val="17"/>
                <w:color w:val="auto"/>
              </w:rPr>
            </w:pPr>
          </w:p>
        </w:tc>
        <w:tc>
          <w:tcPr>
            <w:tcW w:w="860" w:type="dxa"/>
            <w:vAlign w:val="bottom"/>
            <w:gridSpan w:val="2"/>
            <w:shd w:val="clear" w:color="auto" w:fill="E5FFFF"/>
          </w:tcPr>
          <w:p>
            <w:pPr>
              <w:jc w:val="right"/>
              <w:ind w:right="100"/>
              <w:spacing w:after="0" w:line="196" w:lineRule="exact"/>
              <w:rPr>
                <w:sz w:val="20"/>
                <w:szCs w:val="20"/>
                <w:color w:val="auto"/>
              </w:rPr>
            </w:pPr>
            <w:r>
              <w:rPr>
                <w:rFonts w:ascii="Arial" w:cs="Arial" w:eastAsia="Arial" w:hAnsi="Arial"/>
                <w:sz w:val="18"/>
                <w:szCs w:val="18"/>
                <w:color w:val="auto"/>
              </w:rPr>
              <w:t>13,553</w:t>
            </w:r>
          </w:p>
        </w:tc>
        <w:tc>
          <w:tcPr>
            <w:tcW w:w="0" w:type="dxa"/>
            <w:vAlign w:val="bottom"/>
          </w:tcPr>
          <w:p>
            <w:pPr>
              <w:spacing w:after="0"/>
              <w:rPr>
                <w:sz w:val="1"/>
                <w:szCs w:val="1"/>
                <w:color w:val="auto"/>
              </w:rPr>
            </w:pPr>
          </w:p>
        </w:tc>
      </w:tr>
      <w:tr>
        <w:trPr>
          <w:trHeight w:val="203"/>
        </w:trPr>
        <w:tc>
          <w:tcPr>
            <w:tcW w:w="4720" w:type="dxa"/>
            <w:vAlign w:val="bottom"/>
          </w:tcPr>
          <w:p>
            <w:pPr>
              <w:ind w:left="180"/>
              <w:spacing w:after="0" w:line="202" w:lineRule="exact"/>
              <w:rPr>
                <w:sz w:val="20"/>
                <w:szCs w:val="20"/>
                <w:color w:val="auto"/>
              </w:rPr>
            </w:pPr>
            <w:r>
              <w:rPr>
                <w:rFonts w:ascii="Arial" w:cs="Arial" w:eastAsia="Arial" w:hAnsi="Arial"/>
                <w:sz w:val="18"/>
                <w:szCs w:val="18"/>
                <w:color w:val="auto"/>
              </w:rPr>
              <w:t>Selling, general and administrative expenses</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1,528</w:t>
            </w:r>
          </w:p>
        </w:tc>
        <w:tc>
          <w:tcPr>
            <w:tcW w:w="3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1,456</w:t>
            </w: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3,003</w:t>
            </w: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2,878</w:t>
            </w:r>
          </w:p>
        </w:tc>
        <w:tc>
          <w:tcPr>
            <w:tcW w:w="0" w:type="dxa"/>
            <w:vAlign w:val="bottom"/>
          </w:tcPr>
          <w:p>
            <w:pPr>
              <w:spacing w:after="0"/>
              <w:rPr>
                <w:sz w:val="1"/>
                <w:szCs w:val="1"/>
                <w:color w:val="auto"/>
              </w:rPr>
            </w:pPr>
          </w:p>
        </w:tc>
      </w:tr>
      <w:tr>
        <w:trPr>
          <w:trHeight w:val="203"/>
        </w:trPr>
        <w:tc>
          <w:tcPr>
            <w:tcW w:w="4720" w:type="dxa"/>
            <w:vAlign w:val="bottom"/>
            <w:shd w:val="clear" w:color="auto" w:fill="E5FFFF"/>
          </w:tcPr>
          <w:p>
            <w:pPr>
              <w:ind w:left="180"/>
              <w:spacing w:after="0" w:line="202" w:lineRule="exact"/>
              <w:rPr>
                <w:sz w:val="20"/>
                <w:szCs w:val="20"/>
                <w:color w:val="auto"/>
              </w:rPr>
            </w:pPr>
            <w:r>
              <w:rPr>
                <w:rFonts w:ascii="Arial" w:cs="Arial" w:eastAsia="Arial" w:hAnsi="Arial"/>
                <w:sz w:val="18"/>
                <w:szCs w:val="18"/>
                <w:color w:val="auto"/>
              </w:rPr>
              <w:t>Other (income) expense</w:t>
            </w:r>
          </w:p>
        </w:tc>
        <w:tc>
          <w:tcPr>
            <w:tcW w:w="220" w:type="dxa"/>
            <w:vAlign w:val="bottom"/>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1060" w:type="dxa"/>
            <w:vAlign w:val="bottom"/>
            <w:gridSpan w:val="2"/>
            <w:shd w:val="clear" w:color="auto" w:fill="E5FFFF"/>
          </w:tcPr>
          <w:p>
            <w:pPr>
              <w:jc w:val="right"/>
              <w:ind w:right="60"/>
              <w:spacing w:after="0" w:line="202" w:lineRule="exact"/>
              <w:rPr>
                <w:sz w:val="20"/>
                <w:szCs w:val="20"/>
                <w:color w:val="auto"/>
              </w:rPr>
            </w:pPr>
            <w:r>
              <w:rPr>
                <w:rFonts w:ascii="Arial" w:cs="Arial" w:eastAsia="Arial" w:hAnsi="Arial"/>
                <w:sz w:val="18"/>
                <w:szCs w:val="18"/>
                <w:color w:val="auto"/>
              </w:rPr>
              <w:t>(316)</w:t>
            </w:r>
          </w:p>
        </w:tc>
        <w:tc>
          <w:tcPr>
            <w:tcW w:w="360" w:type="dxa"/>
            <w:vAlign w:val="bottom"/>
            <w:shd w:val="clear" w:color="auto" w:fill="E5FFFF"/>
          </w:tcPr>
          <w:p>
            <w:pPr>
              <w:spacing w:after="0"/>
              <w:rPr>
                <w:sz w:val="17"/>
                <w:szCs w:val="17"/>
                <w:color w:val="auto"/>
              </w:rPr>
            </w:pPr>
          </w:p>
        </w:tc>
        <w:tc>
          <w:tcPr>
            <w:tcW w:w="520" w:type="dxa"/>
            <w:vAlign w:val="bottom"/>
            <w:shd w:val="clear" w:color="auto" w:fill="E5FFFF"/>
          </w:tcPr>
          <w:p>
            <w:pPr>
              <w:spacing w:after="0"/>
              <w:rPr>
                <w:sz w:val="17"/>
                <w:szCs w:val="17"/>
                <w:color w:val="auto"/>
              </w:rPr>
            </w:pPr>
          </w:p>
        </w:tc>
        <w:tc>
          <w:tcPr>
            <w:tcW w:w="840" w:type="dxa"/>
            <w:vAlign w:val="bottom"/>
            <w:gridSpan w:val="2"/>
            <w:shd w:val="clear" w:color="auto" w:fill="E5FFFF"/>
          </w:tcPr>
          <w:p>
            <w:pPr>
              <w:jc w:val="right"/>
              <w:ind w:right="40"/>
              <w:spacing w:after="0" w:line="202" w:lineRule="exact"/>
              <w:rPr>
                <w:sz w:val="20"/>
                <w:szCs w:val="20"/>
                <w:color w:val="auto"/>
              </w:rPr>
            </w:pPr>
            <w:r>
              <w:rPr>
                <w:rFonts w:ascii="Arial" w:cs="Arial" w:eastAsia="Arial" w:hAnsi="Arial"/>
                <w:sz w:val="18"/>
                <w:szCs w:val="18"/>
                <w:color w:val="auto"/>
              </w:rPr>
              <w:t>(259)</w:t>
            </w:r>
          </w:p>
        </w:tc>
        <w:tc>
          <w:tcPr>
            <w:tcW w:w="34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1060" w:type="dxa"/>
            <w:vAlign w:val="bottom"/>
            <w:gridSpan w:val="2"/>
            <w:shd w:val="clear" w:color="auto" w:fill="E5FFFF"/>
          </w:tcPr>
          <w:p>
            <w:pPr>
              <w:jc w:val="right"/>
              <w:ind w:right="60"/>
              <w:spacing w:after="0" w:line="202" w:lineRule="exact"/>
              <w:rPr>
                <w:sz w:val="20"/>
                <w:szCs w:val="20"/>
                <w:color w:val="auto"/>
              </w:rPr>
            </w:pPr>
            <w:r>
              <w:rPr>
                <w:rFonts w:ascii="Arial" w:cs="Arial" w:eastAsia="Arial" w:hAnsi="Arial"/>
                <w:sz w:val="18"/>
                <w:szCs w:val="18"/>
                <w:color w:val="auto"/>
              </w:rPr>
              <w:t>(584)</w:t>
            </w:r>
          </w:p>
        </w:tc>
        <w:tc>
          <w:tcPr>
            <w:tcW w:w="320" w:type="dxa"/>
            <w:vAlign w:val="bottom"/>
            <w:shd w:val="clear" w:color="auto" w:fill="E5FFFF"/>
          </w:tcPr>
          <w:p>
            <w:pPr>
              <w:spacing w:after="0"/>
              <w:rPr>
                <w:sz w:val="17"/>
                <w:szCs w:val="17"/>
                <w:color w:val="auto"/>
              </w:rPr>
            </w:pPr>
          </w:p>
        </w:tc>
        <w:tc>
          <w:tcPr>
            <w:tcW w:w="500" w:type="dxa"/>
            <w:vAlign w:val="bottom"/>
            <w:shd w:val="clear" w:color="auto" w:fill="E5FFFF"/>
          </w:tcPr>
          <w:p>
            <w:pPr>
              <w:spacing w:after="0"/>
              <w:rPr>
                <w:sz w:val="17"/>
                <w:szCs w:val="17"/>
                <w:color w:val="auto"/>
              </w:rPr>
            </w:pPr>
          </w:p>
        </w:tc>
        <w:tc>
          <w:tcPr>
            <w:tcW w:w="860" w:type="dxa"/>
            <w:vAlign w:val="bottom"/>
            <w:gridSpan w:val="2"/>
            <w:shd w:val="clear" w:color="auto" w:fill="E5FFFF"/>
          </w:tcPr>
          <w:p>
            <w:pPr>
              <w:jc w:val="right"/>
              <w:ind w:right="40"/>
              <w:spacing w:after="0" w:line="202" w:lineRule="exact"/>
              <w:rPr>
                <w:sz w:val="20"/>
                <w:szCs w:val="20"/>
                <w:color w:val="auto"/>
              </w:rPr>
            </w:pPr>
            <w:r>
              <w:rPr>
                <w:rFonts w:ascii="Arial" w:cs="Arial" w:eastAsia="Arial" w:hAnsi="Arial"/>
                <w:sz w:val="18"/>
                <w:szCs w:val="18"/>
                <w:color w:val="auto"/>
              </w:rPr>
              <w:t>(517)</w:t>
            </w:r>
          </w:p>
        </w:tc>
        <w:tc>
          <w:tcPr>
            <w:tcW w:w="0" w:type="dxa"/>
            <w:vAlign w:val="bottom"/>
          </w:tcPr>
          <w:p>
            <w:pPr>
              <w:spacing w:after="0"/>
              <w:rPr>
                <w:sz w:val="1"/>
                <w:szCs w:val="1"/>
                <w:color w:val="auto"/>
              </w:rPr>
            </w:pPr>
          </w:p>
        </w:tc>
      </w:tr>
      <w:tr>
        <w:trPr>
          <w:trHeight w:val="216"/>
        </w:trPr>
        <w:tc>
          <w:tcPr>
            <w:tcW w:w="4720" w:type="dxa"/>
            <w:vAlign w:val="bottom"/>
            <w:tcBorders>
              <w:bottom w:val="single" w:sz="8" w:color="E5FFFF"/>
            </w:tcBorders>
          </w:tcPr>
          <w:p>
            <w:pPr>
              <w:ind w:left="180"/>
              <w:spacing w:after="0"/>
              <w:rPr>
                <w:sz w:val="20"/>
                <w:szCs w:val="20"/>
                <w:color w:val="auto"/>
              </w:rPr>
            </w:pPr>
            <w:r>
              <w:rPr>
                <w:rFonts w:ascii="Arial" w:cs="Arial" w:eastAsia="Arial" w:hAnsi="Arial"/>
                <w:sz w:val="18"/>
                <w:szCs w:val="18"/>
                <w:color w:val="auto"/>
              </w:rPr>
              <w:t>Interest and other financial charges</w:t>
            </w:r>
          </w:p>
        </w:tc>
        <w:tc>
          <w:tcPr>
            <w:tcW w:w="220" w:type="dxa"/>
            <w:vAlign w:val="bottom"/>
            <w:tcBorders>
              <w:bottom w:val="single" w:sz="8" w:color="E5FF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95</w:t>
            </w:r>
          </w:p>
        </w:tc>
        <w:tc>
          <w:tcPr>
            <w:tcW w:w="360" w:type="dxa"/>
            <w:vAlign w:val="bottom"/>
            <w:tcBorders>
              <w:bottom w:val="single" w:sz="8" w:color="E5FF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79</w:t>
            </w:r>
          </w:p>
        </w:tc>
        <w:tc>
          <w:tcPr>
            <w:tcW w:w="340" w:type="dxa"/>
            <w:vAlign w:val="bottom"/>
            <w:tcBorders>
              <w:bottom w:val="single" w:sz="8" w:color="E5FF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178</w:t>
            </w:r>
          </w:p>
        </w:tc>
        <w:tc>
          <w:tcPr>
            <w:tcW w:w="320" w:type="dxa"/>
            <w:vAlign w:val="bottom"/>
            <w:tcBorders>
              <w:bottom w:val="single" w:sz="8" w:color="E5FF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196"/>
        </w:trPr>
        <w:tc>
          <w:tcPr>
            <w:tcW w:w="472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320" w:type="dxa"/>
            <w:vAlign w:val="bottom"/>
            <w:tcBorders>
              <w:bottom w:val="single" w:sz="8" w:color="auto"/>
            </w:tcBorders>
            <w:shd w:val="clear" w:color="auto" w:fill="E5FFFF"/>
          </w:tcPr>
          <w:p>
            <w:pPr>
              <w:spacing w:after="0"/>
              <w:rPr>
                <w:sz w:val="17"/>
                <w:szCs w:val="17"/>
                <w:color w:val="auto"/>
              </w:rPr>
            </w:pPr>
          </w:p>
        </w:tc>
        <w:tc>
          <w:tcPr>
            <w:tcW w:w="1060" w:type="dxa"/>
            <w:vAlign w:val="bottom"/>
            <w:tcBorders>
              <w:bottom w:val="single" w:sz="8" w:color="auto"/>
            </w:tcBorders>
            <w:gridSpan w:val="2"/>
            <w:shd w:val="clear" w:color="auto" w:fill="E5FFFF"/>
          </w:tcPr>
          <w:p>
            <w:pPr>
              <w:jc w:val="right"/>
              <w:ind w:right="120"/>
              <w:spacing w:after="0" w:line="196" w:lineRule="exact"/>
              <w:rPr>
                <w:sz w:val="20"/>
                <w:szCs w:val="20"/>
                <w:color w:val="auto"/>
              </w:rPr>
            </w:pPr>
            <w:r>
              <w:rPr>
                <w:rFonts w:ascii="Arial" w:cs="Arial" w:eastAsia="Arial" w:hAnsi="Arial"/>
                <w:sz w:val="18"/>
                <w:szCs w:val="18"/>
                <w:color w:val="auto"/>
              </w:rPr>
              <w:t>8,920</w:t>
            </w:r>
          </w:p>
        </w:tc>
        <w:tc>
          <w:tcPr>
            <w:tcW w:w="360" w:type="dxa"/>
            <w:vAlign w:val="bottom"/>
            <w:shd w:val="clear" w:color="auto" w:fill="E5FFFF"/>
          </w:tcPr>
          <w:p>
            <w:pPr>
              <w:spacing w:after="0"/>
              <w:rPr>
                <w:sz w:val="17"/>
                <w:szCs w:val="17"/>
                <w:color w:val="auto"/>
              </w:rPr>
            </w:pPr>
          </w:p>
        </w:tc>
        <w:tc>
          <w:tcPr>
            <w:tcW w:w="520" w:type="dxa"/>
            <w:vAlign w:val="bottom"/>
            <w:tcBorders>
              <w:bottom w:val="single" w:sz="8" w:color="auto"/>
            </w:tcBorders>
            <w:shd w:val="clear" w:color="auto" w:fill="E5FFFF"/>
          </w:tcPr>
          <w:p>
            <w:pPr>
              <w:spacing w:after="0"/>
              <w:rPr>
                <w:sz w:val="17"/>
                <w:szCs w:val="17"/>
                <w:color w:val="auto"/>
              </w:rPr>
            </w:pPr>
          </w:p>
        </w:tc>
        <w:tc>
          <w:tcPr>
            <w:tcW w:w="840" w:type="dxa"/>
            <w:vAlign w:val="bottom"/>
            <w:tcBorders>
              <w:bottom w:val="single" w:sz="8" w:color="auto"/>
            </w:tcBorders>
            <w:gridSpan w:val="2"/>
            <w:shd w:val="clear" w:color="auto" w:fill="E5FFFF"/>
          </w:tcPr>
          <w:p>
            <w:pPr>
              <w:jc w:val="right"/>
              <w:ind w:right="100"/>
              <w:spacing w:after="0" w:line="196" w:lineRule="exact"/>
              <w:rPr>
                <w:sz w:val="20"/>
                <w:szCs w:val="20"/>
                <w:color w:val="auto"/>
              </w:rPr>
            </w:pPr>
            <w:r>
              <w:rPr>
                <w:rFonts w:ascii="Arial" w:cs="Arial" w:eastAsia="Arial" w:hAnsi="Arial"/>
                <w:sz w:val="18"/>
                <w:szCs w:val="18"/>
                <w:color w:val="auto"/>
              </w:rPr>
              <w:t>8,300</w:t>
            </w:r>
          </w:p>
        </w:tc>
        <w:tc>
          <w:tcPr>
            <w:tcW w:w="340" w:type="dxa"/>
            <w:vAlign w:val="bottom"/>
            <w:shd w:val="clear" w:color="auto" w:fill="E5FFFF"/>
          </w:tcPr>
          <w:p>
            <w:pPr>
              <w:spacing w:after="0"/>
              <w:rPr>
                <w:sz w:val="17"/>
                <w:szCs w:val="17"/>
                <w:color w:val="auto"/>
              </w:rPr>
            </w:pPr>
          </w:p>
        </w:tc>
        <w:tc>
          <w:tcPr>
            <w:tcW w:w="300" w:type="dxa"/>
            <w:vAlign w:val="bottom"/>
            <w:tcBorders>
              <w:bottom w:val="single" w:sz="8" w:color="auto"/>
            </w:tcBorders>
            <w:shd w:val="clear" w:color="auto" w:fill="E5FFFF"/>
          </w:tcPr>
          <w:p>
            <w:pPr>
              <w:spacing w:after="0"/>
              <w:rPr>
                <w:sz w:val="17"/>
                <w:szCs w:val="17"/>
                <w:color w:val="auto"/>
              </w:rPr>
            </w:pPr>
          </w:p>
        </w:tc>
        <w:tc>
          <w:tcPr>
            <w:tcW w:w="1060" w:type="dxa"/>
            <w:vAlign w:val="bottom"/>
            <w:tcBorders>
              <w:bottom w:val="single" w:sz="8" w:color="auto"/>
            </w:tcBorders>
            <w:gridSpan w:val="2"/>
            <w:shd w:val="clear" w:color="auto" w:fill="E5FFFF"/>
          </w:tcPr>
          <w:p>
            <w:pPr>
              <w:jc w:val="right"/>
              <w:ind w:right="120"/>
              <w:spacing w:after="0" w:line="196" w:lineRule="exact"/>
              <w:rPr>
                <w:sz w:val="20"/>
                <w:szCs w:val="20"/>
                <w:color w:val="auto"/>
              </w:rPr>
            </w:pPr>
            <w:r>
              <w:rPr>
                <w:rFonts w:ascii="Arial" w:cs="Arial" w:eastAsia="Arial" w:hAnsi="Arial"/>
                <w:sz w:val="18"/>
                <w:szCs w:val="18"/>
                <w:color w:val="auto"/>
              </w:rPr>
              <w:t>17,403</w:t>
            </w:r>
          </w:p>
        </w:tc>
        <w:tc>
          <w:tcPr>
            <w:tcW w:w="320" w:type="dxa"/>
            <w:vAlign w:val="bottom"/>
            <w:shd w:val="clear" w:color="auto" w:fill="E5FFFF"/>
          </w:tcPr>
          <w:p>
            <w:pPr>
              <w:spacing w:after="0"/>
              <w:rPr>
                <w:sz w:val="17"/>
                <w:szCs w:val="17"/>
                <w:color w:val="auto"/>
              </w:rPr>
            </w:pPr>
          </w:p>
        </w:tc>
        <w:tc>
          <w:tcPr>
            <w:tcW w:w="500" w:type="dxa"/>
            <w:vAlign w:val="bottom"/>
            <w:tcBorders>
              <w:bottom w:val="single" w:sz="8" w:color="auto"/>
            </w:tcBorders>
            <w:shd w:val="clear" w:color="auto" w:fill="E5FFFF"/>
          </w:tcPr>
          <w:p>
            <w:pPr>
              <w:spacing w:after="0"/>
              <w:rPr>
                <w:sz w:val="17"/>
                <w:szCs w:val="17"/>
                <w:color w:val="auto"/>
              </w:rPr>
            </w:pPr>
          </w:p>
        </w:tc>
        <w:tc>
          <w:tcPr>
            <w:tcW w:w="860" w:type="dxa"/>
            <w:vAlign w:val="bottom"/>
            <w:tcBorders>
              <w:bottom w:val="single" w:sz="8" w:color="auto"/>
            </w:tcBorders>
            <w:gridSpan w:val="2"/>
            <w:shd w:val="clear" w:color="auto" w:fill="E5FFFF"/>
          </w:tcPr>
          <w:p>
            <w:pPr>
              <w:jc w:val="right"/>
              <w:ind w:right="100"/>
              <w:spacing w:after="0" w:line="196" w:lineRule="exact"/>
              <w:rPr>
                <w:sz w:val="20"/>
                <w:szCs w:val="20"/>
                <w:color w:val="auto"/>
              </w:rPr>
            </w:pPr>
            <w:r>
              <w:rPr>
                <w:rFonts w:ascii="Arial" w:cs="Arial" w:eastAsia="Arial" w:hAnsi="Arial"/>
                <w:sz w:val="18"/>
                <w:szCs w:val="18"/>
                <w:color w:val="auto"/>
              </w:rPr>
              <w:t>16,068</w:t>
            </w:r>
          </w:p>
        </w:tc>
        <w:tc>
          <w:tcPr>
            <w:tcW w:w="0" w:type="dxa"/>
            <w:vAlign w:val="bottom"/>
          </w:tcPr>
          <w:p>
            <w:pPr>
              <w:spacing w:after="0"/>
              <w:rPr>
                <w:sz w:val="1"/>
                <w:szCs w:val="1"/>
                <w:color w:val="auto"/>
              </w:rPr>
            </w:pPr>
          </w:p>
        </w:tc>
      </w:tr>
      <w:tr>
        <w:trPr>
          <w:trHeight w:val="196"/>
        </w:trPr>
        <w:tc>
          <w:tcPr>
            <w:tcW w:w="4720" w:type="dxa"/>
            <w:vAlign w:val="bottom"/>
          </w:tcPr>
          <w:p>
            <w:pPr>
              <w:spacing w:after="0" w:line="196" w:lineRule="exact"/>
              <w:rPr>
                <w:sz w:val="20"/>
                <w:szCs w:val="20"/>
                <w:color w:val="auto"/>
              </w:rPr>
            </w:pPr>
            <w:r>
              <w:rPr>
                <w:rFonts w:ascii="Arial" w:cs="Arial" w:eastAsia="Arial" w:hAnsi="Arial"/>
                <w:sz w:val="18"/>
                <w:szCs w:val="18"/>
                <w:color w:val="auto"/>
              </w:rPr>
              <w:t>Income before taxes</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rPr>
              <w:t>1,999</w:t>
            </w:r>
          </w:p>
        </w:tc>
        <w:tc>
          <w:tcPr>
            <w:tcW w:w="3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4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1,778</w:t>
            </w: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rPr>
              <w:t>3,908</w:t>
            </w: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6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3,502</w:t>
            </w:r>
          </w:p>
        </w:tc>
        <w:tc>
          <w:tcPr>
            <w:tcW w:w="0" w:type="dxa"/>
            <w:vAlign w:val="bottom"/>
          </w:tcPr>
          <w:p>
            <w:pPr>
              <w:spacing w:after="0"/>
              <w:rPr>
                <w:sz w:val="1"/>
                <w:szCs w:val="1"/>
                <w:color w:val="auto"/>
              </w:rPr>
            </w:pPr>
          </w:p>
        </w:tc>
      </w:tr>
      <w:tr>
        <w:trPr>
          <w:trHeight w:val="216"/>
        </w:trPr>
        <w:tc>
          <w:tcPr>
            <w:tcW w:w="4720" w:type="dxa"/>
            <w:vAlign w:val="bottom"/>
            <w:shd w:val="clear" w:color="auto" w:fill="E5FFFF"/>
          </w:tcPr>
          <w:p>
            <w:pPr>
              <w:spacing w:after="0"/>
              <w:rPr>
                <w:sz w:val="20"/>
                <w:szCs w:val="20"/>
                <w:color w:val="auto"/>
              </w:rPr>
            </w:pPr>
            <w:r>
              <w:rPr>
                <w:rFonts w:ascii="Arial" w:cs="Arial" w:eastAsia="Arial" w:hAnsi="Arial"/>
                <w:sz w:val="18"/>
                <w:szCs w:val="18"/>
                <w:color w:val="auto"/>
              </w:rPr>
              <w:t>Tax expense</w:t>
            </w:r>
          </w:p>
        </w:tc>
        <w:tc>
          <w:tcPr>
            <w:tcW w:w="220" w:type="dxa"/>
            <w:vAlign w:val="bottom"/>
            <w:shd w:val="clear" w:color="auto" w:fill="E5FFFF"/>
          </w:tcPr>
          <w:p>
            <w:pPr>
              <w:spacing w:after="0"/>
              <w:rPr>
                <w:sz w:val="18"/>
                <w:szCs w:val="18"/>
                <w:color w:val="auto"/>
              </w:rPr>
            </w:pPr>
          </w:p>
        </w:tc>
        <w:tc>
          <w:tcPr>
            <w:tcW w:w="320" w:type="dxa"/>
            <w:vAlign w:val="bottom"/>
            <w:tcBorders>
              <w:bottom w:val="single" w:sz="8" w:color="auto"/>
            </w:tcBorders>
            <w:shd w:val="clear" w:color="auto" w:fill="E5FFFF"/>
          </w:tcPr>
          <w:p>
            <w:pPr>
              <w:spacing w:after="0"/>
              <w:rPr>
                <w:sz w:val="18"/>
                <w:szCs w:val="18"/>
                <w:color w:val="auto"/>
              </w:rPr>
            </w:pPr>
          </w:p>
        </w:tc>
        <w:tc>
          <w:tcPr>
            <w:tcW w:w="1060" w:type="dxa"/>
            <w:vAlign w:val="bottom"/>
            <w:tcBorders>
              <w:bottom w:val="single" w:sz="8" w:color="auto"/>
            </w:tcBorders>
            <w:gridSpan w:val="2"/>
            <w:shd w:val="clear" w:color="auto" w:fill="E5FFFF"/>
          </w:tcPr>
          <w:p>
            <w:pPr>
              <w:jc w:val="right"/>
              <w:ind w:right="120"/>
              <w:spacing w:after="0"/>
              <w:rPr>
                <w:sz w:val="20"/>
                <w:szCs w:val="20"/>
                <w:color w:val="auto"/>
              </w:rPr>
            </w:pPr>
            <w:r>
              <w:rPr>
                <w:rFonts w:ascii="Arial" w:cs="Arial" w:eastAsia="Arial" w:hAnsi="Arial"/>
                <w:sz w:val="18"/>
                <w:szCs w:val="18"/>
                <w:color w:val="auto"/>
              </w:rPr>
              <w:t>719</w:t>
            </w:r>
          </w:p>
        </w:tc>
        <w:tc>
          <w:tcPr>
            <w:tcW w:w="360" w:type="dxa"/>
            <w:vAlign w:val="bottom"/>
            <w:shd w:val="clear" w:color="auto" w:fill="E5FFFF"/>
          </w:tcPr>
          <w:p>
            <w:pPr>
              <w:spacing w:after="0"/>
              <w:rPr>
                <w:sz w:val="18"/>
                <w:szCs w:val="18"/>
                <w:color w:val="auto"/>
              </w:rPr>
            </w:pPr>
          </w:p>
        </w:tc>
        <w:tc>
          <w:tcPr>
            <w:tcW w:w="520" w:type="dxa"/>
            <w:vAlign w:val="bottom"/>
            <w:tcBorders>
              <w:bottom w:val="single" w:sz="8" w:color="auto"/>
            </w:tcBorders>
            <w:shd w:val="clear" w:color="auto" w:fill="E5FFFF"/>
          </w:tcPr>
          <w:p>
            <w:pPr>
              <w:spacing w:after="0"/>
              <w:rPr>
                <w:sz w:val="18"/>
                <w:szCs w:val="18"/>
                <w:color w:val="auto"/>
              </w:rPr>
            </w:pPr>
          </w:p>
        </w:tc>
        <w:tc>
          <w:tcPr>
            <w:tcW w:w="7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378</w:t>
            </w:r>
          </w:p>
        </w:tc>
        <w:tc>
          <w:tcPr>
            <w:tcW w:w="100" w:type="dxa"/>
            <w:vAlign w:val="bottom"/>
            <w:tcBorders>
              <w:bottom w:val="single" w:sz="8" w:color="auto"/>
            </w:tcBorders>
            <w:shd w:val="clear" w:color="auto" w:fill="E5FFFF"/>
          </w:tcPr>
          <w:p>
            <w:pPr>
              <w:spacing w:after="0"/>
              <w:rPr>
                <w:sz w:val="18"/>
                <w:szCs w:val="18"/>
                <w:color w:val="auto"/>
              </w:rPr>
            </w:pPr>
          </w:p>
        </w:tc>
        <w:tc>
          <w:tcPr>
            <w:tcW w:w="340" w:type="dxa"/>
            <w:vAlign w:val="bottom"/>
            <w:shd w:val="clear" w:color="auto" w:fill="E5FFFF"/>
          </w:tcPr>
          <w:p>
            <w:pPr>
              <w:spacing w:after="0"/>
              <w:rPr>
                <w:sz w:val="18"/>
                <w:szCs w:val="18"/>
                <w:color w:val="auto"/>
              </w:rPr>
            </w:pPr>
          </w:p>
        </w:tc>
        <w:tc>
          <w:tcPr>
            <w:tcW w:w="300" w:type="dxa"/>
            <w:vAlign w:val="bottom"/>
            <w:tcBorders>
              <w:bottom w:val="single" w:sz="8" w:color="auto"/>
            </w:tcBorders>
            <w:shd w:val="clear" w:color="auto" w:fill="E5FFFF"/>
          </w:tcPr>
          <w:p>
            <w:pPr>
              <w:spacing w:after="0"/>
              <w:rPr>
                <w:sz w:val="18"/>
                <w:szCs w:val="18"/>
                <w:color w:val="auto"/>
              </w:rPr>
            </w:pPr>
          </w:p>
        </w:tc>
        <w:tc>
          <w:tcPr>
            <w:tcW w:w="1060" w:type="dxa"/>
            <w:vAlign w:val="bottom"/>
            <w:tcBorders>
              <w:bottom w:val="single" w:sz="8" w:color="auto"/>
            </w:tcBorders>
            <w:gridSpan w:val="2"/>
            <w:shd w:val="clear" w:color="auto" w:fill="E5FFFF"/>
          </w:tcPr>
          <w:p>
            <w:pPr>
              <w:jc w:val="right"/>
              <w:ind w:right="120"/>
              <w:spacing w:after="0"/>
              <w:rPr>
                <w:sz w:val="20"/>
                <w:szCs w:val="20"/>
                <w:color w:val="auto"/>
              </w:rPr>
            </w:pPr>
            <w:r>
              <w:rPr>
                <w:rFonts w:ascii="Arial" w:cs="Arial" w:eastAsia="Arial" w:hAnsi="Arial"/>
                <w:sz w:val="18"/>
                <w:szCs w:val="18"/>
                <w:color w:val="auto"/>
              </w:rPr>
              <w:t>1,177</w:t>
            </w:r>
          </w:p>
        </w:tc>
        <w:tc>
          <w:tcPr>
            <w:tcW w:w="320" w:type="dxa"/>
            <w:vAlign w:val="bottom"/>
            <w:shd w:val="clear" w:color="auto" w:fill="E5FFFF"/>
          </w:tcPr>
          <w:p>
            <w:pPr>
              <w:spacing w:after="0"/>
              <w:rPr>
                <w:sz w:val="18"/>
                <w:szCs w:val="18"/>
                <w:color w:val="auto"/>
              </w:rPr>
            </w:pPr>
          </w:p>
        </w:tc>
        <w:tc>
          <w:tcPr>
            <w:tcW w:w="500" w:type="dxa"/>
            <w:vAlign w:val="bottom"/>
            <w:tcBorders>
              <w:bottom w:val="single" w:sz="8" w:color="auto"/>
            </w:tcBorders>
            <w:shd w:val="clear" w:color="auto" w:fill="E5FFFF"/>
          </w:tcPr>
          <w:p>
            <w:pPr>
              <w:spacing w:after="0"/>
              <w:rPr>
                <w:sz w:val="18"/>
                <w:szCs w:val="18"/>
                <w:color w:val="auto"/>
              </w:rPr>
            </w:pPr>
          </w:p>
        </w:tc>
        <w:tc>
          <w:tcPr>
            <w:tcW w:w="860" w:type="dxa"/>
            <w:vAlign w:val="bottom"/>
            <w:tcBorders>
              <w:bottom w:val="single" w:sz="8" w:color="auto"/>
            </w:tcBorders>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770</w:t>
            </w:r>
          </w:p>
        </w:tc>
        <w:tc>
          <w:tcPr>
            <w:tcW w:w="0" w:type="dxa"/>
            <w:vAlign w:val="bottom"/>
          </w:tcPr>
          <w:p>
            <w:pPr>
              <w:spacing w:after="0"/>
              <w:rPr>
                <w:sz w:val="1"/>
                <w:szCs w:val="1"/>
                <w:color w:val="auto"/>
              </w:rPr>
            </w:pPr>
          </w:p>
        </w:tc>
      </w:tr>
      <w:tr>
        <w:trPr>
          <w:trHeight w:val="196"/>
        </w:trPr>
        <w:tc>
          <w:tcPr>
            <w:tcW w:w="4720" w:type="dxa"/>
            <w:vAlign w:val="bottom"/>
          </w:tcPr>
          <w:p>
            <w:pPr>
              <w:spacing w:after="0" w:line="196" w:lineRule="exact"/>
              <w:rPr>
                <w:sz w:val="20"/>
                <w:szCs w:val="20"/>
                <w:color w:val="auto"/>
              </w:rPr>
            </w:pPr>
            <w:r>
              <w:rPr>
                <w:rFonts w:ascii="Arial" w:cs="Arial" w:eastAsia="Arial" w:hAnsi="Arial"/>
                <w:sz w:val="18"/>
                <w:szCs w:val="18"/>
                <w:color w:val="auto"/>
              </w:rPr>
              <w:t>Net income</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rPr>
              <w:t>1,280</w:t>
            </w:r>
          </w:p>
        </w:tc>
        <w:tc>
          <w:tcPr>
            <w:tcW w:w="3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4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1,400</w:t>
            </w: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rPr>
              <w:t>2,731</w:t>
            </w: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6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2,732</w:t>
            </w:r>
          </w:p>
        </w:tc>
        <w:tc>
          <w:tcPr>
            <w:tcW w:w="0" w:type="dxa"/>
            <w:vAlign w:val="bottom"/>
          </w:tcPr>
          <w:p>
            <w:pPr>
              <w:spacing w:after="0"/>
              <w:rPr>
                <w:sz w:val="1"/>
                <w:szCs w:val="1"/>
                <w:color w:val="auto"/>
              </w:rPr>
            </w:pPr>
          </w:p>
        </w:tc>
      </w:tr>
      <w:tr>
        <w:trPr>
          <w:trHeight w:val="202"/>
        </w:trPr>
        <w:tc>
          <w:tcPr>
            <w:tcW w:w="4720" w:type="dxa"/>
            <w:vAlign w:val="bottom"/>
            <w:shd w:val="clear" w:color="auto" w:fill="E5FFFF"/>
          </w:tcPr>
          <w:p>
            <w:pPr>
              <w:spacing w:after="0" w:line="201" w:lineRule="exact"/>
              <w:rPr>
                <w:sz w:val="20"/>
                <w:szCs w:val="20"/>
                <w:color w:val="auto"/>
              </w:rPr>
            </w:pPr>
            <w:r>
              <w:rPr>
                <w:rFonts w:ascii="Arial" w:cs="Arial" w:eastAsia="Arial" w:hAnsi="Arial"/>
                <w:sz w:val="18"/>
                <w:szCs w:val="18"/>
                <w:color w:val="auto"/>
              </w:rPr>
              <w:t>Less: Net income attributable to the noncontrolling</w:t>
            </w:r>
          </w:p>
        </w:tc>
        <w:tc>
          <w:tcPr>
            <w:tcW w:w="220" w:type="dxa"/>
            <w:vAlign w:val="bottom"/>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94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360" w:type="dxa"/>
            <w:vAlign w:val="bottom"/>
            <w:shd w:val="clear" w:color="auto" w:fill="E5FFFF"/>
          </w:tcPr>
          <w:p>
            <w:pPr>
              <w:spacing w:after="0"/>
              <w:rPr>
                <w:sz w:val="17"/>
                <w:szCs w:val="17"/>
                <w:color w:val="auto"/>
              </w:rPr>
            </w:pPr>
          </w:p>
        </w:tc>
        <w:tc>
          <w:tcPr>
            <w:tcW w:w="520" w:type="dxa"/>
            <w:vAlign w:val="bottom"/>
            <w:shd w:val="clear" w:color="auto" w:fill="E5FFFF"/>
          </w:tcPr>
          <w:p>
            <w:pPr>
              <w:spacing w:after="0"/>
              <w:rPr>
                <w:sz w:val="17"/>
                <w:szCs w:val="17"/>
                <w:color w:val="auto"/>
              </w:rPr>
            </w:pPr>
          </w:p>
        </w:tc>
        <w:tc>
          <w:tcPr>
            <w:tcW w:w="74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34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94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500" w:type="dxa"/>
            <w:vAlign w:val="bottom"/>
            <w:shd w:val="clear" w:color="auto" w:fill="E5FFFF"/>
          </w:tcPr>
          <w:p>
            <w:pPr>
              <w:spacing w:after="0"/>
              <w:rPr>
                <w:sz w:val="17"/>
                <w:szCs w:val="17"/>
                <w:color w:val="auto"/>
              </w:rPr>
            </w:pPr>
          </w:p>
        </w:tc>
        <w:tc>
          <w:tcPr>
            <w:tcW w:w="76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4720" w:type="dxa"/>
            <w:vAlign w:val="bottom"/>
            <w:shd w:val="clear" w:color="auto" w:fill="E5FFFF"/>
          </w:tcPr>
          <w:p>
            <w:pPr>
              <w:ind w:left="180"/>
              <w:spacing w:after="0"/>
              <w:rPr>
                <w:sz w:val="20"/>
                <w:szCs w:val="20"/>
                <w:color w:val="auto"/>
              </w:rPr>
            </w:pPr>
            <w:r>
              <w:rPr>
                <w:rFonts w:ascii="Arial" w:cs="Arial" w:eastAsia="Arial" w:hAnsi="Arial"/>
                <w:sz w:val="18"/>
                <w:szCs w:val="18"/>
                <w:color w:val="auto"/>
              </w:rPr>
              <w:t>interest</w:t>
            </w:r>
          </w:p>
        </w:tc>
        <w:tc>
          <w:tcPr>
            <w:tcW w:w="220" w:type="dxa"/>
            <w:vAlign w:val="bottom"/>
            <w:shd w:val="clear" w:color="auto" w:fill="E5FFFF"/>
          </w:tcPr>
          <w:p>
            <w:pPr>
              <w:spacing w:after="0"/>
              <w:rPr>
                <w:sz w:val="18"/>
                <w:szCs w:val="18"/>
                <w:color w:val="auto"/>
              </w:rPr>
            </w:pPr>
          </w:p>
        </w:tc>
        <w:tc>
          <w:tcPr>
            <w:tcW w:w="320" w:type="dxa"/>
            <w:vAlign w:val="bottom"/>
            <w:shd w:val="clear" w:color="auto" w:fill="E5FFFF"/>
          </w:tcPr>
          <w:p>
            <w:pPr>
              <w:spacing w:after="0"/>
              <w:rPr>
                <w:sz w:val="18"/>
                <w:szCs w:val="18"/>
                <w:color w:val="auto"/>
              </w:rPr>
            </w:pPr>
          </w:p>
        </w:tc>
        <w:tc>
          <w:tcPr>
            <w:tcW w:w="1060" w:type="dxa"/>
            <w:vAlign w:val="bottom"/>
            <w:gridSpan w:val="2"/>
            <w:shd w:val="clear" w:color="auto" w:fill="E5FFFF"/>
          </w:tcPr>
          <w:p>
            <w:pPr>
              <w:jc w:val="right"/>
              <w:ind w:right="120"/>
              <w:spacing w:after="0"/>
              <w:rPr>
                <w:sz w:val="20"/>
                <w:szCs w:val="20"/>
                <w:color w:val="auto"/>
              </w:rPr>
            </w:pPr>
            <w:r>
              <w:rPr>
                <w:rFonts w:ascii="Arial" w:cs="Arial" w:eastAsia="Arial" w:hAnsi="Arial"/>
                <w:sz w:val="18"/>
                <w:szCs w:val="18"/>
                <w:color w:val="auto"/>
              </w:rPr>
              <w:t>13</w:t>
            </w:r>
          </w:p>
        </w:tc>
        <w:tc>
          <w:tcPr>
            <w:tcW w:w="360" w:type="dxa"/>
            <w:vAlign w:val="bottom"/>
            <w:shd w:val="clear" w:color="auto" w:fill="E5FFFF"/>
          </w:tcPr>
          <w:p>
            <w:pPr>
              <w:spacing w:after="0"/>
              <w:rPr>
                <w:sz w:val="18"/>
                <w:szCs w:val="18"/>
                <w:color w:val="auto"/>
              </w:rPr>
            </w:pPr>
          </w:p>
        </w:tc>
        <w:tc>
          <w:tcPr>
            <w:tcW w:w="520" w:type="dxa"/>
            <w:vAlign w:val="bottom"/>
            <w:shd w:val="clear" w:color="auto" w:fill="E5FFFF"/>
          </w:tcPr>
          <w:p>
            <w:pPr>
              <w:spacing w:after="0"/>
              <w:rPr>
                <w:sz w:val="18"/>
                <w:szCs w:val="18"/>
                <w:color w:val="auto"/>
              </w:rPr>
            </w:pPr>
          </w:p>
        </w:tc>
        <w:tc>
          <w:tcPr>
            <w:tcW w:w="740" w:type="dxa"/>
            <w:vAlign w:val="bottom"/>
            <w:shd w:val="clear" w:color="auto" w:fill="E5FF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E5FFFF"/>
          </w:tcPr>
          <w:p>
            <w:pPr>
              <w:spacing w:after="0"/>
              <w:rPr>
                <w:sz w:val="18"/>
                <w:szCs w:val="18"/>
                <w:color w:val="auto"/>
              </w:rPr>
            </w:pPr>
          </w:p>
        </w:tc>
        <w:tc>
          <w:tcPr>
            <w:tcW w:w="340" w:type="dxa"/>
            <w:vAlign w:val="bottom"/>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1060" w:type="dxa"/>
            <w:vAlign w:val="bottom"/>
            <w:gridSpan w:val="2"/>
            <w:shd w:val="clear" w:color="auto" w:fill="E5FFFF"/>
          </w:tcPr>
          <w:p>
            <w:pPr>
              <w:jc w:val="right"/>
              <w:ind w:right="120"/>
              <w:spacing w:after="0"/>
              <w:rPr>
                <w:sz w:val="20"/>
                <w:szCs w:val="20"/>
                <w:color w:val="auto"/>
              </w:rPr>
            </w:pPr>
            <w:r>
              <w:rPr>
                <w:rFonts w:ascii="Arial" w:cs="Arial" w:eastAsia="Arial" w:hAnsi="Arial"/>
                <w:sz w:val="18"/>
                <w:szCs w:val="18"/>
                <w:color w:val="auto"/>
              </w:rPr>
              <w:t>26</w:t>
            </w:r>
          </w:p>
        </w:tc>
        <w:tc>
          <w:tcPr>
            <w:tcW w:w="320" w:type="dxa"/>
            <w:vAlign w:val="bottom"/>
            <w:shd w:val="clear" w:color="auto" w:fill="E5FFFF"/>
          </w:tcPr>
          <w:p>
            <w:pPr>
              <w:spacing w:after="0"/>
              <w:rPr>
                <w:sz w:val="18"/>
                <w:szCs w:val="18"/>
                <w:color w:val="auto"/>
              </w:rPr>
            </w:pPr>
          </w:p>
        </w:tc>
        <w:tc>
          <w:tcPr>
            <w:tcW w:w="500" w:type="dxa"/>
            <w:vAlign w:val="bottom"/>
            <w:shd w:val="clear" w:color="auto" w:fill="E5FFFF"/>
          </w:tcPr>
          <w:p>
            <w:pPr>
              <w:spacing w:after="0"/>
              <w:rPr>
                <w:sz w:val="18"/>
                <w:szCs w:val="18"/>
                <w:color w:val="auto"/>
              </w:rPr>
            </w:pPr>
          </w:p>
        </w:tc>
        <w:tc>
          <w:tcPr>
            <w:tcW w:w="86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
        </w:trPr>
        <w:tc>
          <w:tcPr>
            <w:tcW w:w="4720" w:type="dxa"/>
            <w:vAlign w:val="bottom"/>
            <w:vMerge w:val="restart"/>
          </w:tcPr>
          <w:p>
            <w:pPr>
              <w:spacing w:after="0"/>
              <w:rPr>
                <w:sz w:val="20"/>
                <w:szCs w:val="20"/>
                <w:color w:val="auto"/>
              </w:rPr>
            </w:pPr>
            <w:r>
              <w:rPr>
                <w:rFonts w:ascii="Arial" w:cs="Arial" w:eastAsia="Arial" w:hAnsi="Arial"/>
                <w:sz w:val="18"/>
                <w:szCs w:val="18"/>
                <w:color w:val="auto"/>
              </w:rPr>
              <w:t>Net income attributable to Honeywell</w:t>
            </w: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720" w:type="dxa"/>
            <w:vAlign w:val="bottom"/>
            <w:vMerge w:val="continue"/>
          </w:tcPr>
          <w:p>
            <w:pPr>
              <w:spacing w:after="0"/>
              <w:rPr>
                <w:sz w:val="21"/>
                <w:szCs w:val="21"/>
                <w:color w:val="auto"/>
              </w:rPr>
            </w:pPr>
          </w:p>
        </w:tc>
        <w:tc>
          <w:tcPr>
            <w:tcW w:w="5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1,267</w:t>
            </w:r>
          </w:p>
        </w:tc>
        <w:tc>
          <w:tcPr>
            <w:tcW w:w="880" w:type="dxa"/>
            <w:vAlign w:val="bottom"/>
            <w:gridSpan w:val="2"/>
          </w:tcPr>
          <w:p>
            <w:pPr>
              <w:jc w:val="right"/>
              <w:ind w:right="33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1,392</w:t>
            </w:r>
          </w:p>
        </w:tc>
        <w:tc>
          <w:tcPr>
            <w:tcW w:w="64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2,705</w:t>
            </w:r>
          </w:p>
        </w:tc>
        <w:tc>
          <w:tcPr>
            <w:tcW w:w="820" w:type="dxa"/>
            <w:vAlign w:val="bottom"/>
            <w:gridSpan w:val="2"/>
          </w:tcPr>
          <w:p>
            <w:pPr>
              <w:jc w:val="right"/>
              <w:ind w:right="31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2,718</w:t>
            </w:r>
          </w:p>
        </w:tc>
        <w:tc>
          <w:tcPr>
            <w:tcW w:w="0" w:type="dxa"/>
            <w:vAlign w:val="bottom"/>
          </w:tcPr>
          <w:p>
            <w:pPr>
              <w:spacing w:after="0"/>
              <w:rPr>
                <w:sz w:val="1"/>
                <w:szCs w:val="1"/>
                <w:color w:val="auto"/>
              </w:rPr>
            </w:pPr>
          </w:p>
        </w:tc>
      </w:tr>
      <w:tr>
        <w:trPr>
          <w:trHeight w:val="183"/>
        </w:trPr>
        <w:tc>
          <w:tcPr>
            <w:tcW w:w="4720" w:type="dxa"/>
            <w:vAlign w:val="bottom"/>
            <w:tcBorders>
              <w:top w:val="single" w:sz="8" w:color="E5FFFF"/>
              <w:bottom w:val="single" w:sz="8" w:color="E5FFFF"/>
            </w:tcBorders>
            <w:shd w:val="clear" w:color="auto" w:fill="E5FFFF"/>
          </w:tcPr>
          <w:p>
            <w:pPr>
              <w:spacing w:after="0" w:line="177" w:lineRule="exact"/>
              <w:rPr>
                <w:sz w:val="20"/>
                <w:szCs w:val="20"/>
                <w:color w:val="auto"/>
              </w:rPr>
            </w:pPr>
            <w:r>
              <w:rPr>
                <w:rFonts w:ascii="Arial" w:cs="Arial" w:eastAsia="Arial" w:hAnsi="Arial"/>
                <w:sz w:val="18"/>
                <w:szCs w:val="18"/>
                <w:color w:val="auto"/>
              </w:rPr>
              <w:t>Earnings per share of common stock - basic</w:t>
            </w:r>
          </w:p>
        </w:tc>
        <w:tc>
          <w:tcPr>
            <w:tcW w:w="220" w:type="dxa"/>
            <w:vAlign w:val="bottom"/>
            <w:tcBorders>
              <w:top w:val="single" w:sz="8" w:color="E5FFFF"/>
              <w:bottom w:val="single" w:sz="8" w:color="E5FFFF"/>
            </w:tcBorders>
            <w:shd w:val="clear" w:color="auto" w:fill="E5FFFF"/>
          </w:tcPr>
          <w:p>
            <w:pPr>
              <w:spacing w:after="0"/>
              <w:rPr>
                <w:sz w:val="15"/>
                <w:szCs w:val="15"/>
                <w:color w:val="auto"/>
              </w:rPr>
            </w:pPr>
          </w:p>
        </w:tc>
        <w:tc>
          <w:tcPr>
            <w:tcW w:w="320" w:type="dxa"/>
            <w:vAlign w:val="bottom"/>
            <w:tcBorders>
              <w:top w:val="single" w:sz="8" w:color="auto"/>
              <w:bottom w:val="single" w:sz="8" w:color="auto"/>
            </w:tcBorders>
            <w:shd w:val="clear" w:color="auto" w:fill="E5FFFF"/>
          </w:tcPr>
          <w:p>
            <w:pPr>
              <w:jc w:val="right"/>
              <w:ind w:right="130"/>
              <w:spacing w:after="0" w:line="183" w:lineRule="exact"/>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gridSpan w:val="2"/>
            <w:shd w:val="clear" w:color="auto" w:fill="E5FFFF"/>
          </w:tcPr>
          <w:p>
            <w:pPr>
              <w:jc w:val="right"/>
              <w:ind w:right="120"/>
              <w:spacing w:after="0" w:line="183" w:lineRule="exact"/>
              <w:rPr>
                <w:sz w:val="20"/>
                <w:szCs w:val="20"/>
                <w:color w:val="auto"/>
              </w:rPr>
            </w:pPr>
            <w:r>
              <w:rPr>
                <w:rFonts w:ascii="Arial" w:cs="Arial" w:eastAsia="Arial" w:hAnsi="Arial"/>
                <w:sz w:val="18"/>
                <w:szCs w:val="18"/>
                <w:color w:val="auto"/>
              </w:rPr>
              <w:t>1.70</w:t>
            </w:r>
          </w:p>
        </w:tc>
        <w:tc>
          <w:tcPr>
            <w:tcW w:w="360" w:type="dxa"/>
            <w:vAlign w:val="bottom"/>
            <w:tcBorders>
              <w:top w:val="single" w:sz="8" w:color="E5FFFF"/>
              <w:bottom w:val="single" w:sz="8" w:color="E5FFFF"/>
            </w:tcBorders>
            <w:shd w:val="clear" w:color="auto" w:fill="E5FFFF"/>
          </w:tcPr>
          <w:p>
            <w:pPr>
              <w:spacing w:after="0"/>
              <w:rPr>
                <w:sz w:val="15"/>
                <w:szCs w:val="15"/>
                <w:color w:val="auto"/>
              </w:rPr>
            </w:pPr>
          </w:p>
        </w:tc>
        <w:tc>
          <w:tcPr>
            <w:tcW w:w="520" w:type="dxa"/>
            <w:vAlign w:val="bottom"/>
            <w:tcBorders>
              <w:top w:val="single" w:sz="8" w:color="auto"/>
              <w:bottom w:val="single" w:sz="8" w:color="auto"/>
            </w:tcBorders>
            <w:shd w:val="clear" w:color="auto" w:fill="E5FFFF"/>
          </w:tcPr>
          <w:p>
            <w:pPr>
              <w:jc w:val="right"/>
              <w:ind w:right="330"/>
              <w:spacing w:after="0" w:line="183" w:lineRule="exact"/>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E5FFFF"/>
          </w:tcPr>
          <w:p>
            <w:pPr>
              <w:jc w:val="right"/>
              <w:spacing w:after="0" w:line="183" w:lineRule="exact"/>
              <w:rPr>
                <w:sz w:val="20"/>
                <w:szCs w:val="20"/>
                <w:color w:val="auto"/>
              </w:rPr>
            </w:pPr>
            <w:r>
              <w:rPr>
                <w:rFonts w:ascii="Arial" w:cs="Arial" w:eastAsia="Arial" w:hAnsi="Arial"/>
                <w:sz w:val="18"/>
                <w:szCs w:val="18"/>
                <w:color w:val="auto"/>
              </w:rPr>
              <w:t>1.82</w:t>
            </w:r>
          </w:p>
        </w:tc>
        <w:tc>
          <w:tcPr>
            <w:tcW w:w="100" w:type="dxa"/>
            <w:vAlign w:val="bottom"/>
            <w:tcBorders>
              <w:top w:val="single" w:sz="8" w:color="auto"/>
              <w:bottom w:val="single" w:sz="8" w:color="auto"/>
            </w:tcBorders>
            <w:shd w:val="clear" w:color="auto" w:fill="E5FFFF"/>
          </w:tcPr>
          <w:p>
            <w:pPr>
              <w:spacing w:after="0"/>
              <w:rPr>
                <w:sz w:val="15"/>
                <w:szCs w:val="15"/>
                <w:color w:val="auto"/>
              </w:rPr>
            </w:pPr>
          </w:p>
        </w:tc>
        <w:tc>
          <w:tcPr>
            <w:tcW w:w="340" w:type="dxa"/>
            <w:vAlign w:val="bottom"/>
            <w:tcBorders>
              <w:top w:val="single" w:sz="8" w:color="E5FFFF"/>
              <w:bottom w:val="single" w:sz="8" w:color="E5FFFF"/>
            </w:tcBorders>
            <w:shd w:val="clear" w:color="auto" w:fill="E5FFFF"/>
          </w:tcPr>
          <w:p>
            <w:pPr>
              <w:spacing w:after="0"/>
              <w:rPr>
                <w:sz w:val="15"/>
                <w:szCs w:val="15"/>
                <w:color w:val="auto"/>
              </w:rPr>
            </w:pPr>
          </w:p>
        </w:tc>
        <w:tc>
          <w:tcPr>
            <w:tcW w:w="300" w:type="dxa"/>
            <w:vAlign w:val="bottom"/>
            <w:tcBorders>
              <w:top w:val="single" w:sz="8" w:color="auto"/>
              <w:bottom w:val="single" w:sz="8" w:color="auto"/>
            </w:tcBorders>
            <w:shd w:val="clear" w:color="auto" w:fill="E5FFFF"/>
          </w:tcPr>
          <w:p>
            <w:pPr>
              <w:jc w:val="right"/>
              <w:ind w:right="110"/>
              <w:spacing w:after="0" w:line="183" w:lineRule="exact"/>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gridSpan w:val="2"/>
            <w:shd w:val="clear" w:color="auto" w:fill="E5FFFF"/>
          </w:tcPr>
          <w:p>
            <w:pPr>
              <w:jc w:val="right"/>
              <w:ind w:right="120"/>
              <w:spacing w:after="0" w:line="183" w:lineRule="exact"/>
              <w:rPr>
                <w:sz w:val="20"/>
                <w:szCs w:val="20"/>
                <w:color w:val="auto"/>
              </w:rPr>
            </w:pPr>
            <w:r>
              <w:rPr>
                <w:rFonts w:ascii="Arial" w:cs="Arial" w:eastAsia="Arial" w:hAnsi="Arial"/>
                <w:sz w:val="18"/>
                <w:szCs w:val="18"/>
                <w:color w:val="auto"/>
              </w:rPr>
              <w:t>3.62</w:t>
            </w:r>
          </w:p>
        </w:tc>
        <w:tc>
          <w:tcPr>
            <w:tcW w:w="320" w:type="dxa"/>
            <w:vAlign w:val="bottom"/>
            <w:tcBorders>
              <w:top w:val="single" w:sz="8" w:color="E5FFFF"/>
              <w:bottom w:val="single" w:sz="8" w:color="E5FFFF"/>
            </w:tcBorders>
            <w:shd w:val="clear" w:color="auto" w:fill="E5FFFF"/>
          </w:tcPr>
          <w:p>
            <w:pPr>
              <w:spacing w:after="0"/>
              <w:rPr>
                <w:sz w:val="15"/>
                <w:szCs w:val="15"/>
                <w:color w:val="auto"/>
              </w:rPr>
            </w:pPr>
          </w:p>
        </w:tc>
        <w:tc>
          <w:tcPr>
            <w:tcW w:w="500" w:type="dxa"/>
            <w:vAlign w:val="bottom"/>
            <w:tcBorders>
              <w:top w:val="single" w:sz="8" w:color="auto"/>
              <w:bottom w:val="single" w:sz="8" w:color="auto"/>
            </w:tcBorders>
            <w:shd w:val="clear" w:color="auto" w:fill="E5FFFF"/>
          </w:tcPr>
          <w:p>
            <w:pPr>
              <w:jc w:val="right"/>
              <w:ind w:right="310"/>
              <w:spacing w:after="0" w:line="183"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gridSpan w:val="2"/>
            <w:shd w:val="clear" w:color="auto" w:fill="E5FFFF"/>
          </w:tcPr>
          <w:p>
            <w:pPr>
              <w:jc w:val="right"/>
              <w:ind w:right="100"/>
              <w:spacing w:after="0" w:line="183" w:lineRule="exact"/>
              <w:rPr>
                <w:sz w:val="20"/>
                <w:szCs w:val="20"/>
                <w:color w:val="auto"/>
              </w:rPr>
            </w:pPr>
            <w:r>
              <w:rPr>
                <w:rFonts w:ascii="Arial" w:cs="Arial" w:eastAsia="Arial" w:hAnsi="Arial"/>
                <w:sz w:val="18"/>
                <w:szCs w:val="18"/>
                <w:color w:val="auto"/>
              </w:rPr>
              <w:t>3.56</w:t>
            </w:r>
          </w:p>
        </w:tc>
        <w:tc>
          <w:tcPr>
            <w:tcW w:w="0" w:type="dxa"/>
            <w:vAlign w:val="bottom"/>
          </w:tcPr>
          <w:p>
            <w:pPr>
              <w:spacing w:after="0"/>
              <w:rPr>
                <w:sz w:val="1"/>
                <w:szCs w:val="1"/>
                <w:color w:val="auto"/>
              </w:rPr>
            </w:pPr>
          </w:p>
        </w:tc>
      </w:tr>
      <w:tr>
        <w:trPr>
          <w:trHeight w:val="20"/>
        </w:trPr>
        <w:tc>
          <w:tcPr>
            <w:tcW w:w="4720" w:type="dxa"/>
            <w:vAlign w:val="bottom"/>
            <w:vMerge w:val="restart"/>
          </w:tcPr>
          <w:p>
            <w:pPr>
              <w:spacing w:after="0"/>
              <w:rPr>
                <w:sz w:val="20"/>
                <w:szCs w:val="20"/>
                <w:color w:val="auto"/>
              </w:rPr>
            </w:pPr>
            <w:r>
              <w:rPr>
                <w:rFonts w:ascii="Arial" w:cs="Arial" w:eastAsia="Arial" w:hAnsi="Arial"/>
                <w:sz w:val="18"/>
                <w:szCs w:val="18"/>
                <w:color w:val="auto"/>
              </w:rPr>
              <w:t>Earnings per share of common stock - assuming dilution</w:t>
            </w:r>
          </w:p>
        </w:tc>
        <w:tc>
          <w:tcPr>
            <w:tcW w:w="54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720" w:type="dxa"/>
            <w:vAlign w:val="bottom"/>
            <w:tcBorders>
              <w:bottom w:val="single" w:sz="8" w:color="E5FFFF"/>
            </w:tcBorders>
            <w:vMerge w:val="continue"/>
          </w:tcPr>
          <w:p>
            <w:pPr>
              <w:spacing w:after="0"/>
              <w:rPr>
                <w:sz w:val="19"/>
                <w:szCs w:val="19"/>
                <w:color w:val="auto"/>
              </w:rPr>
            </w:pPr>
          </w:p>
        </w:tc>
        <w:tc>
          <w:tcPr>
            <w:tcW w:w="220" w:type="dxa"/>
            <w:vAlign w:val="bottom"/>
            <w:tcBorders>
              <w:bottom w:val="single" w:sz="8" w:color="E5FFFF"/>
            </w:tcBorders>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line="183" w:lineRule="exact"/>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gridSpan w:val="2"/>
          </w:tcPr>
          <w:p>
            <w:pPr>
              <w:jc w:val="right"/>
              <w:ind w:right="120"/>
              <w:spacing w:after="0" w:line="183" w:lineRule="exact"/>
              <w:rPr>
                <w:sz w:val="20"/>
                <w:szCs w:val="20"/>
                <w:color w:val="auto"/>
              </w:rPr>
            </w:pPr>
            <w:r>
              <w:rPr>
                <w:rFonts w:ascii="Arial" w:cs="Arial" w:eastAsia="Arial" w:hAnsi="Arial"/>
                <w:sz w:val="18"/>
                <w:szCs w:val="18"/>
                <w:color w:val="auto"/>
              </w:rPr>
              <w:t>1.68</w:t>
            </w:r>
          </w:p>
        </w:tc>
        <w:tc>
          <w:tcPr>
            <w:tcW w:w="360" w:type="dxa"/>
            <w:vAlign w:val="bottom"/>
            <w:tcBorders>
              <w:bottom w:val="single" w:sz="8" w:color="E5FFFF"/>
            </w:tcBorders>
          </w:tcPr>
          <w:p>
            <w:pPr>
              <w:spacing w:after="0"/>
              <w:rPr>
                <w:sz w:val="19"/>
                <w:szCs w:val="19"/>
                <w:color w:val="auto"/>
              </w:rPr>
            </w:pPr>
          </w:p>
        </w:tc>
        <w:tc>
          <w:tcPr>
            <w:tcW w:w="520" w:type="dxa"/>
            <w:vAlign w:val="bottom"/>
            <w:tcBorders>
              <w:top w:val="single" w:sz="8" w:color="auto"/>
              <w:bottom w:val="single" w:sz="8" w:color="auto"/>
            </w:tcBorders>
          </w:tcPr>
          <w:p>
            <w:pPr>
              <w:jc w:val="right"/>
              <w:ind w:right="330"/>
              <w:spacing w:after="0" w:line="183" w:lineRule="exact"/>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8"/>
                <w:szCs w:val="18"/>
                <w:color w:val="auto"/>
              </w:rPr>
              <w:t>1.80</w:t>
            </w:r>
          </w:p>
        </w:tc>
        <w:tc>
          <w:tcPr>
            <w:tcW w:w="100" w:type="dxa"/>
            <w:vAlign w:val="bottom"/>
            <w:tcBorders>
              <w:top w:val="single" w:sz="8" w:color="auto"/>
              <w:bottom w:val="single" w:sz="8" w:color="auto"/>
            </w:tcBorders>
          </w:tcPr>
          <w:p>
            <w:pPr>
              <w:spacing w:after="0"/>
              <w:rPr>
                <w:sz w:val="19"/>
                <w:szCs w:val="19"/>
                <w:color w:val="auto"/>
              </w:rPr>
            </w:pPr>
          </w:p>
        </w:tc>
        <w:tc>
          <w:tcPr>
            <w:tcW w:w="340" w:type="dxa"/>
            <w:vAlign w:val="bottom"/>
            <w:tcBorders>
              <w:bottom w:val="single" w:sz="8" w:color="E5FFFF"/>
            </w:tcBorders>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line="183" w:lineRule="exact"/>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gridSpan w:val="2"/>
          </w:tcPr>
          <w:p>
            <w:pPr>
              <w:jc w:val="right"/>
              <w:ind w:right="120"/>
              <w:spacing w:after="0" w:line="183" w:lineRule="exact"/>
              <w:rPr>
                <w:sz w:val="20"/>
                <w:szCs w:val="20"/>
                <w:color w:val="auto"/>
              </w:rPr>
            </w:pPr>
            <w:r>
              <w:rPr>
                <w:rFonts w:ascii="Arial" w:cs="Arial" w:eastAsia="Arial" w:hAnsi="Arial"/>
                <w:sz w:val="18"/>
                <w:szCs w:val="18"/>
                <w:color w:val="auto"/>
              </w:rPr>
              <w:t>3.57</w:t>
            </w:r>
          </w:p>
        </w:tc>
        <w:tc>
          <w:tcPr>
            <w:tcW w:w="320" w:type="dxa"/>
            <w:vAlign w:val="bottom"/>
            <w:tcBorders>
              <w:bottom w:val="single" w:sz="8" w:color="E5FFFF"/>
            </w:tcBorders>
          </w:tcPr>
          <w:p>
            <w:pPr>
              <w:spacing w:after="0"/>
              <w:rPr>
                <w:sz w:val="19"/>
                <w:szCs w:val="19"/>
                <w:color w:val="auto"/>
              </w:rPr>
            </w:pPr>
          </w:p>
        </w:tc>
        <w:tc>
          <w:tcPr>
            <w:tcW w:w="500" w:type="dxa"/>
            <w:vAlign w:val="bottom"/>
            <w:tcBorders>
              <w:top w:val="single" w:sz="8" w:color="auto"/>
              <w:bottom w:val="single" w:sz="8" w:color="auto"/>
            </w:tcBorders>
          </w:tcPr>
          <w:p>
            <w:pPr>
              <w:jc w:val="right"/>
              <w:ind w:right="310"/>
              <w:spacing w:after="0" w:line="183"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gridSpan w:val="2"/>
          </w:tcPr>
          <w:p>
            <w:pPr>
              <w:jc w:val="right"/>
              <w:ind w:right="100"/>
              <w:spacing w:after="0" w:line="183" w:lineRule="exact"/>
              <w:rPr>
                <w:sz w:val="20"/>
                <w:szCs w:val="20"/>
                <w:color w:val="auto"/>
              </w:rPr>
            </w:pPr>
            <w:r>
              <w:rPr>
                <w:rFonts w:ascii="Arial" w:cs="Arial" w:eastAsia="Arial" w:hAnsi="Arial"/>
                <w:sz w:val="18"/>
                <w:szCs w:val="18"/>
                <w:color w:val="auto"/>
              </w:rPr>
              <w:t>3.51</w:t>
            </w:r>
          </w:p>
        </w:tc>
        <w:tc>
          <w:tcPr>
            <w:tcW w:w="0" w:type="dxa"/>
            <w:vAlign w:val="bottom"/>
          </w:tcPr>
          <w:p>
            <w:pPr>
              <w:spacing w:after="0"/>
              <w:rPr>
                <w:sz w:val="1"/>
                <w:szCs w:val="1"/>
                <w:color w:val="auto"/>
              </w:rPr>
            </w:pPr>
          </w:p>
        </w:tc>
      </w:tr>
      <w:tr>
        <w:trPr>
          <w:trHeight w:val="183"/>
        </w:trPr>
        <w:tc>
          <w:tcPr>
            <w:tcW w:w="4720" w:type="dxa"/>
            <w:vAlign w:val="bottom"/>
            <w:tcBorders>
              <w:bottom w:val="single" w:sz="8" w:color="E5FFFF"/>
            </w:tcBorders>
            <w:shd w:val="clear" w:color="auto" w:fill="E5FFFF"/>
          </w:tcPr>
          <w:p>
            <w:pPr>
              <w:spacing w:after="0" w:line="177" w:lineRule="exact"/>
              <w:rPr>
                <w:sz w:val="20"/>
                <w:szCs w:val="20"/>
                <w:color w:val="auto"/>
              </w:rPr>
            </w:pPr>
            <w:r>
              <w:rPr>
                <w:rFonts w:ascii="Arial" w:cs="Arial" w:eastAsia="Arial" w:hAnsi="Arial"/>
                <w:sz w:val="18"/>
                <w:szCs w:val="18"/>
                <w:color w:val="auto"/>
              </w:rPr>
              <w:t>Cash dividends per share of common stock</w:t>
            </w:r>
          </w:p>
        </w:tc>
        <w:tc>
          <w:tcPr>
            <w:tcW w:w="220" w:type="dxa"/>
            <w:vAlign w:val="bottom"/>
            <w:tcBorders>
              <w:bottom w:val="single" w:sz="8" w:color="E5FFFF"/>
            </w:tcBorders>
            <w:shd w:val="clear" w:color="auto" w:fill="E5FFFF"/>
          </w:tcPr>
          <w:p>
            <w:pPr>
              <w:spacing w:after="0"/>
              <w:rPr>
                <w:sz w:val="15"/>
                <w:szCs w:val="15"/>
                <w:color w:val="auto"/>
              </w:rPr>
            </w:pPr>
          </w:p>
        </w:tc>
        <w:tc>
          <w:tcPr>
            <w:tcW w:w="320" w:type="dxa"/>
            <w:vAlign w:val="bottom"/>
            <w:tcBorders>
              <w:bottom w:val="single" w:sz="8" w:color="auto"/>
            </w:tcBorders>
            <w:shd w:val="clear" w:color="auto" w:fill="E5FFFF"/>
          </w:tcPr>
          <w:p>
            <w:pPr>
              <w:jc w:val="right"/>
              <w:ind w:right="130"/>
              <w:spacing w:after="0" w:line="183"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gridSpan w:val="2"/>
            <w:shd w:val="clear" w:color="auto" w:fill="E5FFFF"/>
          </w:tcPr>
          <w:p>
            <w:pPr>
              <w:jc w:val="right"/>
              <w:ind w:right="120"/>
              <w:spacing w:after="0" w:line="183" w:lineRule="exact"/>
              <w:rPr>
                <w:sz w:val="20"/>
                <w:szCs w:val="20"/>
                <w:color w:val="auto"/>
              </w:rPr>
            </w:pPr>
            <w:r>
              <w:rPr>
                <w:rFonts w:ascii="Arial" w:cs="Arial" w:eastAsia="Arial" w:hAnsi="Arial"/>
                <w:sz w:val="18"/>
                <w:szCs w:val="18"/>
                <w:color w:val="auto"/>
              </w:rPr>
              <w:t>0.7450</w:t>
            </w:r>
          </w:p>
        </w:tc>
        <w:tc>
          <w:tcPr>
            <w:tcW w:w="360" w:type="dxa"/>
            <w:vAlign w:val="bottom"/>
            <w:tcBorders>
              <w:bottom w:val="single" w:sz="8" w:color="E5FFFF"/>
            </w:tcBorders>
            <w:shd w:val="clear" w:color="auto" w:fill="E5FFFF"/>
          </w:tcPr>
          <w:p>
            <w:pPr>
              <w:spacing w:after="0"/>
              <w:rPr>
                <w:sz w:val="15"/>
                <w:szCs w:val="15"/>
                <w:color w:val="auto"/>
              </w:rPr>
            </w:pPr>
          </w:p>
        </w:tc>
        <w:tc>
          <w:tcPr>
            <w:tcW w:w="520" w:type="dxa"/>
            <w:vAlign w:val="bottom"/>
            <w:tcBorders>
              <w:bottom w:val="single" w:sz="8" w:color="auto"/>
            </w:tcBorders>
            <w:shd w:val="clear" w:color="auto" w:fill="E5FFFF"/>
          </w:tcPr>
          <w:p>
            <w:pPr>
              <w:jc w:val="right"/>
              <w:ind w:right="330"/>
              <w:spacing w:after="0" w:line="183" w:lineRule="exact"/>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gridSpan w:val="2"/>
            <w:shd w:val="clear" w:color="auto" w:fill="E5FFFF"/>
          </w:tcPr>
          <w:p>
            <w:pPr>
              <w:jc w:val="right"/>
              <w:ind w:right="100"/>
              <w:spacing w:after="0" w:line="183" w:lineRule="exact"/>
              <w:rPr>
                <w:sz w:val="20"/>
                <w:szCs w:val="20"/>
                <w:color w:val="auto"/>
              </w:rPr>
            </w:pPr>
            <w:r>
              <w:rPr>
                <w:rFonts w:ascii="Arial" w:cs="Arial" w:eastAsia="Arial" w:hAnsi="Arial"/>
                <w:sz w:val="18"/>
                <w:szCs w:val="18"/>
                <w:color w:val="auto"/>
              </w:rPr>
              <w:t>0.6650</w:t>
            </w:r>
          </w:p>
        </w:tc>
        <w:tc>
          <w:tcPr>
            <w:tcW w:w="340" w:type="dxa"/>
            <w:vAlign w:val="bottom"/>
            <w:tcBorders>
              <w:bottom w:val="single" w:sz="8" w:color="E5FFFF"/>
            </w:tcBorders>
            <w:shd w:val="clear" w:color="auto" w:fill="E5FFFF"/>
          </w:tcPr>
          <w:p>
            <w:pPr>
              <w:spacing w:after="0"/>
              <w:rPr>
                <w:sz w:val="15"/>
                <w:szCs w:val="15"/>
                <w:color w:val="auto"/>
              </w:rPr>
            </w:pPr>
          </w:p>
        </w:tc>
        <w:tc>
          <w:tcPr>
            <w:tcW w:w="300" w:type="dxa"/>
            <w:vAlign w:val="bottom"/>
            <w:tcBorders>
              <w:bottom w:val="single" w:sz="8" w:color="auto"/>
            </w:tcBorders>
            <w:shd w:val="clear" w:color="auto" w:fill="E5FFFF"/>
          </w:tcPr>
          <w:p>
            <w:pPr>
              <w:jc w:val="right"/>
              <w:ind w:right="110"/>
              <w:spacing w:after="0" w:line="183"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gridSpan w:val="2"/>
            <w:shd w:val="clear" w:color="auto" w:fill="E5FFFF"/>
          </w:tcPr>
          <w:p>
            <w:pPr>
              <w:jc w:val="right"/>
              <w:ind w:right="120"/>
              <w:spacing w:after="0" w:line="183" w:lineRule="exact"/>
              <w:rPr>
                <w:sz w:val="20"/>
                <w:szCs w:val="20"/>
                <w:color w:val="auto"/>
              </w:rPr>
            </w:pPr>
            <w:r>
              <w:rPr>
                <w:rFonts w:ascii="Arial" w:cs="Arial" w:eastAsia="Arial" w:hAnsi="Arial"/>
                <w:sz w:val="18"/>
                <w:szCs w:val="18"/>
                <w:color w:val="auto"/>
              </w:rPr>
              <w:t>1.4900</w:t>
            </w:r>
          </w:p>
        </w:tc>
        <w:tc>
          <w:tcPr>
            <w:tcW w:w="320" w:type="dxa"/>
            <w:vAlign w:val="bottom"/>
            <w:tcBorders>
              <w:bottom w:val="single" w:sz="8" w:color="E5FFFF"/>
            </w:tcBorders>
            <w:shd w:val="clear" w:color="auto" w:fill="E5FFFF"/>
          </w:tcPr>
          <w:p>
            <w:pPr>
              <w:spacing w:after="0"/>
              <w:rPr>
                <w:sz w:val="15"/>
                <w:szCs w:val="15"/>
                <w:color w:val="auto"/>
              </w:rPr>
            </w:pPr>
          </w:p>
        </w:tc>
        <w:tc>
          <w:tcPr>
            <w:tcW w:w="500" w:type="dxa"/>
            <w:vAlign w:val="bottom"/>
            <w:tcBorders>
              <w:bottom w:val="single" w:sz="8" w:color="auto"/>
            </w:tcBorders>
            <w:shd w:val="clear" w:color="auto" w:fill="E5FFFF"/>
          </w:tcPr>
          <w:p>
            <w:pPr>
              <w:jc w:val="right"/>
              <w:ind w:right="310"/>
              <w:spacing w:after="0" w:line="183" w:lineRule="exact"/>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gridSpan w:val="2"/>
            <w:shd w:val="clear" w:color="auto" w:fill="E5FFFF"/>
          </w:tcPr>
          <w:p>
            <w:pPr>
              <w:jc w:val="right"/>
              <w:ind w:right="100"/>
              <w:spacing w:after="0" w:line="183" w:lineRule="exact"/>
              <w:rPr>
                <w:sz w:val="20"/>
                <w:szCs w:val="20"/>
                <w:color w:val="auto"/>
              </w:rPr>
            </w:pPr>
            <w:r>
              <w:rPr>
                <w:rFonts w:ascii="Arial" w:cs="Arial" w:eastAsia="Arial" w:hAnsi="Arial"/>
                <w:sz w:val="18"/>
                <w:szCs w:val="18"/>
                <w:color w:val="auto"/>
              </w:rPr>
              <w:t>1.3300</w:t>
            </w: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Notes to Consolidated Financial Statements are an integral part of this statement.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22"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22"/>
          <w:szCs w:val="22"/>
          <w:b w:val="1"/>
          <w:bCs w:val="1"/>
          <w:color w:val="auto"/>
        </w:rPr>
        <w:t>Honeywell International Inc.</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Comprehensive Income</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94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720" w:type="dxa"/>
            <w:vAlign w:val="bottom"/>
            <w:gridSpan w:val="4"/>
          </w:tcPr>
          <w:p>
            <w:pPr>
              <w:jc w:val="right"/>
              <w:spacing w:after="0"/>
              <w:rPr>
                <w:sz w:val="20"/>
                <w:szCs w:val="20"/>
                <w:color w:val="auto"/>
              </w:rPr>
            </w:pPr>
            <w:r>
              <w:rPr>
                <w:rFonts w:ascii="Arial" w:cs="Arial" w:eastAsia="Arial" w:hAnsi="Arial"/>
                <w:sz w:val="14"/>
                <w:szCs w:val="14"/>
                <w:b w:val="1"/>
                <w:bCs w:val="1"/>
                <w:color w:val="auto"/>
              </w:rPr>
              <w:t>Six Months Ended</w:t>
            </w: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5"/>
        </w:trPr>
        <w:tc>
          <w:tcPr>
            <w:tcW w:w="4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gridSpan w:val="4"/>
          </w:tcPr>
          <w:p>
            <w:pPr>
              <w:jc w:val="right"/>
              <w:ind w:right="420"/>
              <w:spacing w:after="0"/>
              <w:rPr>
                <w:sz w:val="20"/>
                <w:szCs w:val="20"/>
                <w:color w:val="auto"/>
              </w:rPr>
            </w:pPr>
            <w:r>
              <w:rPr>
                <w:rFonts w:ascii="Arial" w:cs="Arial" w:eastAsia="Arial" w:hAnsi="Arial"/>
                <w:sz w:val="14"/>
                <w:szCs w:val="14"/>
                <w:b w:val="1"/>
                <w:bCs w:val="1"/>
                <w:color w:val="auto"/>
              </w:rPr>
              <w:t>June 30,</w:t>
            </w:r>
          </w:p>
        </w:tc>
        <w:tc>
          <w:tcPr>
            <w:tcW w:w="7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4"/>
          </w:tcPr>
          <w:p>
            <w:pPr>
              <w:jc w:val="right"/>
              <w:ind w:right="290"/>
              <w:spacing w:after="0"/>
              <w:rPr>
                <w:sz w:val="20"/>
                <w:szCs w:val="20"/>
                <w:color w:val="auto"/>
              </w:rPr>
            </w:pPr>
            <w:r>
              <w:rPr>
                <w:rFonts w:ascii="Arial" w:cs="Arial" w:eastAsia="Arial" w:hAnsi="Arial"/>
                <w:sz w:val="14"/>
                <w:szCs w:val="14"/>
                <w:b w:val="1"/>
                <w:bCs w:val="1"/>
                <w:color w:val="auto"/>
              </w:rPr>
              <w:t>June 30,</w:t>
            </w:r>
          </w:p>
        </w:tc>
        <w:tc>
          <w:tcPr>
            <w:tcW w:w="7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r>
      <w:tr>
        <w:trPr>
          <w:trHeight w:val="169"/>
        </w:trPr>
        <w:tc>
          <w:tcPr>
            <w:tcW w:w="4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w w:val="96"/>
              </w:rPr>
              <w:t>2017</w:t>
            </w:r>
          </w:p>
        </w:tc>
        <w:tc>
          <w:tcPr>
            <w:tcW w:w="1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14"/>
                <w:szCs w:val="14"/>
                <w:color w:val="auto"/>
              </w:rPr>
            </w:pPr>
          </w:p>
        </w:tc>
      </w:tr>
      <w:tr>
        <w:trPr>
          <w:trHeight w:val="156"/>
        </w:trPr>
        <w:tc>
          <w:tcPr>
            <w:tcW w:w="4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40" w:type="dxa"/>
            <w:vAlign w:val="bottom"/>
            <w:gridSpan w:val="4"/>
          </w:tcPr>
          <w:p>
            <w:pPr>
              <w:jc w:val="right"/>
              <w:ind w:right="40"/>
              <w:spacing w:after="0" w:line="155" w:lineRule="exact"/>
              <w:rPr>
                <w:sz w:val="20"/>
                <w:szCs w:val="20"/>
                <w:color w:val="auto"/>
              </w:rPr>
            </w:pPr>
            <w:r>
              <w:rPr>
                <w:rFonts w:ascii="Arial" w:cs="Arial" w:eastAsia="Arial" w:hAnsi="Arial"/>
                <w:sz w:val="14"/>
                <w:szCs w:val="14"/>
                <w:b w:val="1"/>
                <w:bCs w:val="1"/>
                <w:color w:val="auto"/>
              </w:rPr>
              <w:t>(Dollars in millions)</w:t>
            </w: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03"/>
        </w:trPr>
        <w:tc>
          <w:tcPr>
            <w:tcW w:w="468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Net income</w:t>
            </w:r>
          </w:p>
        </w:tc>
        <w:tc>
          <w:tcPr>
            <w:tcW w:w="580" w:type="dxa"/>
            <w:vAlign w:val="bottom"/>
            <w:gridSpan w:val="2"/>
            <w:shd w:val="clear" w:color="auto" w:fill="E5FF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E5FFFF"/>
          </w:tcPr>
          <w:p>
            <w:pPr>
              <w:jc w:val="right"/>
              <w:ind w:right="120"/>
              <w:spacing w:after="0" w:line="202" w:lineRule="exact"/>
              <w:rPr>
                <w:sz w:val="20"/>
                <w:szCs w:val="20"/>
                <w:color w:val="auto"/>
              </w:rPr>
            </w:pPr>
            <w:r>
              <w:rPr>
                <w:rFonts w:ascii="Arial" w:cs="Arial" w:eastAsia="Arial" w:hAnsi="Arial"/>
                <w:sz w:val="18"/>
                <w:szCs w:val="18"/>
                <w:color w:val="auto"/>
              </w:rPr>
              <w:t>1,280</w:t>
            </w:r>
          </w:p>
        </w:tc>
        <w:tc>
          <w:tcPr>
            <w:tcW w:w="880" w:type="dxa"/>
            <w:vAlign w:val="bottom"/>
            <w:gridSpan w:val="2"/>
            <w:shd w:val="clear" w:color="auto" w:fill="E5FFFF"/>
          </w:tcPr>
          <w:p>
            <w:pPr>
              <w:jc w:val="right"/>
              <w:ind w:right="420"/>
              <w:spacing w:after="0" w:line="202" w:lineRule="exact"/>
              <w:rPr>
                <w:sz w:val="20"/>
                <w:szCs w:val="20"/>
                <w:color w:val="auto"/>
              </w:rPr>
            </w:pPr>
            <w:r>
              <w:rPr>
                <w:rFonts w:ascii="Arial" w:cs="Arial" w:eastAsia="Arial" w:hAnsi="Arial"/>
                <w:sz w:val="18"/>
                <w:szCs w:val="18"/>
                <w:color w:val="auto"/>
              </w:rPr>
              <w:t>$</w:t>
            </w:r>
          </w:p>
        </w:tc>
        <w:tc>
          <w:tcPr>
            <w:tcW w:w="840" w:type="dxa"/>
            <w:vAlign w:val="bottom"/>
            <w:gridSpan w:val="2"/>
            <w:shd w:val="clear" w:color="auto" w:fill="E5FFFF"/>
          </w:tcPr>
          <w:p>
            <w:pPr>
              <w:jc w:val="right"/>
              <w:ind w:right="100"/>
              <w:spacing w:after="0" w:line="202" w:lineRule="exact"/>
              <w:rPr>
                <w:sz w:val="20"/>
                <w:szCs w:val="20"/>
                <w:color w:val="auto"/>
              </w:rPr>
            </w:pPr>
            <w:r>
              <w:rPr>
                <w:rFonts w:ascii="Arial" w:cs="Arial" w:eastAsia="Arial" w:hAnsi="Arial"/>
                <w:sz w:val="18"/>
                <w:szCs w:val="18"/>
                <w:color w:val="auto"/>
              </w:rPr>
              <w:t>1,400</w:t>
            </w:r>
          </w:p>
        </w:tc>
        <w:tc>
          <w:tcPr>
            <w:tcW w:w="800" w:type="dxa"/>
            <w:vAlign w:val="bottom"/>
            <w:gridSpan w:val="2"/>
            <w:shd w:val="clear" w:color="auto" w:fill="E5FFFF"/>
          </w:tcPr>
          <w:p>
            <w:pPr>
              <w:jc w:val="right"/>
              <w:ind w:right="360"/>
              <w:spacing w:after="0" w:line="202" w:lineRule="exact"/>
              <w:rPr>
                <w:sz w:val="20"/>
                <w:szCs w:val="20"/>
                <w:color w:val="auto"/>
              </w:rPr>
            </w:pPr>
            <w:r>
              <w:rPr>
                <w:rFonts w:ascii="Arial" w:cs="Arial" w:eastAsia="Arial" w:hAnsi="Arial"/>
                <w:sz w:val="18"/>
                <w:szCs w:val="18"/>
                <w:color w:val="auto"/>
              </w:rPr>
              <w:t>$</w:t>
            </w:r>
          </w:p>
        </w:tc>
        <w:tc>
          <w:tcPr>
            <w:tcW w:w="900" w:type="dxa"/>
            <w:vAlign w:val="bottom"/>
            <w:gridSpan w:val="2"/>
            <w:shd w:val="clear" w:color="auto" w:fill="E5FFFF"/>
          </w:tcPr>
          <w:p>
            <w:pPr>
              <w:jc w:val="right"/>
              <w:ind w:right="120"/>
              <w:spacing w:after="0" w:line="202" w:lineRule="exact"/>
              <w:rPr>
                <w:sz w:val="20"/>
                <w:szCs w:val="20"/>
                <w:color w:val="auto"/>
              </w:rPr>
            </w:pPr>
            <w:r>
              <w:rPr>
                <w:rFonts w:ascii="Arial" w:cs="Arial" w:eastAsia="Arial" w:hAnsi="Arial"/>
                <w:sz w:val="18"/>
                <w:szCs w:val="18"/>
                <w:color w:val="auto"/>
              </w:rPr>
              <w:t>2,731</w:t>
            </w:r>
          </w:p>
        </w:tc>
        <w:tc>
          <w:tcPr>
            <w:tcW w:w="320" w:type="dxa"/>
            <w:vAlign w:val="bottom"/>
            <w:shd w:val="clear" w:color="auto" w:fill="E5FFFF"/>
          </w:tcPr>
          <w:p>
            <w:pPr>
              <w:spacing w:after="0"/>
              <w:rPr>
                <w:sz w:val="17"/>
                <w:szCs w:val="17"/>
                <w:color w:val="auto"/>
              </w:rPr>
            </w:pPr>
          </w:p>
        </w:tc>
        <w:tc>
          <w:tcPr>
            <w:tcW w:w="500" w:type="dxa"/>
            <w:vAlign w:val="bottom"/>
            <w:shd w:val="clear" w:color="auto" w:fill="E5FFFF"/>
          </w:tcPr>
          <w:p>
            <w:pPr>
              <w:jc w:val="right"/>
              <w:ind w:right="310"/>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E5FFFF"/>
          </w:tcPr>
          <w:p>
            <w:pPr>
              <w:jc w:val="right"/>
              <w:ind w:right="100"/>
              <w:spacing w:after="0" w:line="202" w:lineRule="exact"/>
              <w:rPr>
                <w:sz w:val="20"/>
                <w:szCs w:val="20"/>
                <w:color w:val="auto"/>
              </w:rPr>
            </w:pPr>
            <w:r>
              <w:rPr>
                <w:rFonts w:ascii="Arial" w:cs="Arial" w:eastAsia="Arial" w:hAnsi="Arial"/>
                <w:sz w:val="18"/>
                <w:szCs w:val="18"/>
                <w:color w:val="auto"/>
              </w:rPr>
              <w:t>2,732</w:t>
            </w:r>
          </w:p>
        </w:tc>
      </w:tr>
      <w:tr>
        <w:trPr>
          <w:trHeight w:val="203"/>
        </w:trPr>
        <w:tc>
          <w:tcPr>
            <w:tcW w:w="4680" w:type="dxa"/>
            <w:vAlign w:val="bottom"/>
          </w:tcPr>
          <w:p>
            <w:pPr>
              <w:ind w:left="180"/>
              <w:spacing w:after="0" w:line="202" w:lineRule="exact"/>
              <w:rPr>
                <w:sz w:val="20"/>
                <w:szCs w:val="20"/>
                <w:color w:val="auto"/>
              </w:rPr>
            </w:pPr>
            <w:r>
              <w:rPr>
                <w:rFonts w:ascii="Arial" w:cs="Arial" w:eastAsia="Arial" w:hAnsi="Arial"/>
                <w:sz w:val="18"/>
                <w:szCs w:val="18"/>
                <w:color w:val="auto"/>
              </w:rPr>
              <w:t>Other comprehensive income (loss), net of tax</w:t>
            </w: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4680" w:type="dxa"/>
            <w:vAlign w:val="bottom"/>
            <w:shd w:val="clear" w:color="auto" w:fill="E5FFFF"/>
          </w:tcPr>
          <w:p>
            <w:pPr>
              <w:ind w:left="360"/>
              <w:spacing w:after="0" w:line="202" w:lineRule="exact"/>
              <w:rPr>
                <w:sz w:val="20"/>
                <w:szCs w:val="20"/>
                <w:color w:val="auto"/>
              </w:rPr>
            </w:pPr>
            <w:r>
              <w:rPr>
                <w:rFonts w:ascii="Arial" w:cs="Arial" w:eastAsia="Arial" w:hAnsi="Arial"/>
                <w:sz w:val="18"/>
                <w:szCs w:val="18"/>
                <w:color w:val="auto"/>
              </w:rPr>
              <w:t>Foreign exchange translation adjustment</w:t>
            </w:r>
          </w:p>
        </w:tc>
        <w:tc>
          <w:tcPr>
            <w:tcW w:w="260" w:type="dxa"/>
            <w:vAlign w:val="bottom"/>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1060" w:type="dxa"/>
            <w:vAlign w:val="bottom"/>
            <w:gridSpan w:val="2"/>
            <w:shd w:val="clear" w:color="auto" w:fill="E5FFFF"/>
          </w:tcPr>
          <w:p>
            <w:pPr>
              <w:jc w:val="right"/>
              <w:ind w:right="60"/>
              <w:spacing w:after="0" w:line="202" w:lineRule="exact"/>
              <w:rPr>
                <w:sz w:val="20"/>
                <w:szCs w:val="20"/>
                <w:color w:val="auto"/>
              </w:rPr>
            </w:pPr>
            <w:r>
              <w:rPr>
                <w:rFonts w:ascii="Arial" w:cs="Arial" w:eastAsia="Arial" w:hAnsi="Arial"/>
                <w:sz w:val="18"/>
                <w:szCs w:val="18"/>
                <w:color w:val="auto"/>
              </w:rPr>
              <w:t>(79)</w:t>
            </w:r>
          </w:p>
        </w:tc>
        <w:tc>
          <w:tcPr>
            <w:tcW w:w="360" w:type="dxa"/>
            <w:vAlign w:val="bottom"/>
            <w:shd w:val="clear" w:color="auto" w:fill="E5FFFF"/>
          </w:tcPr>
          <w:p>
            <w:pPr>
              <w:spacing w:after="0"/>
              <w:rPr>
                <w:sz w:val="17"/>
                <w:szCs w:val="17"/>
                <w:color w:val="auto"/>
              </w:rPr>
            </w:pPr>
          </w:p>
        </w:tc>
        <w:tc>
          <w:tcPr>
            <w:tcW w:w="520" w:type="dxa"/>
            <w:vAlign w:val="bottom"/>
            <w:shd w:val="clear" w:color="auto" w:fill="E5FFFF"/>
          </w:tcPr>
          <w:p>
            <w:pPr>
              <w:spacing w:after="0"/>
              <w:rPr>
                <w:sz w:val="17"/>
                <w:szCs w:val="17"/>
                <w:color w:val="auto"/>
              </w:rPr>
            </w:pPr>
          </w:p>
        </w:tc>
        <w:tc>
          <w:tcPr>
            <w:tcW w:w="840" w:type="dxa"/>
            <w:vAlign w:val="bottom"/>
            <w:gridSpan w:val="2"/>
            <w:shd w:val="clear" w:color="auto" w:fill="E5FFFF"/>
          </w:tcPr>
          <w:p>
            <w:pPr>
              <w:jc w:val="right"/>
              <w:ind w:right="40"/>
              <w:spacing w:after="0" w:line="202" w:lineRule="exact"/>
              <w:rPr>
                <w:sz w:val="20"/>
                <w:szCs w:val="20"/>
                <w:color w:val="auto"/>
              </w:rPr>
            </w:pPr>
            <w:r>
              <w:rPr>
                <w:rFonts w:ascii="Arial" w:cs="Arial" w:eastAsia="Arial" w:hAnsi="Arial"/>
                <w:sz w:val="18"/>
                <w:szCs w:val="18"/>
                <w:color w:val="auto"/>
              </w:rPr>
              <w:t>(192)</w:t>
            </w:r>
          </w:p>
        </w:tc>
        <w:tc>
          <w:tcPr>
            <w:tcW w:w="340" w:type="dxa"/>
            <w:vAlign w:val="bottom"/>
            <w:shd w:val="clear" w:color="auto" w:fill="E5FFFF"/>
          </w:tcPr>
          <w:p>
            <w:pPr>
              <w:spacing w:after="0"/>
              <w:rPr>
                <w:sz w:val="17"/>
                <w:szCs w:val="17"/>
                <w:color w:val="auto"/>
              </w:rPr>
            </w:pPr>
          </w:p>
        </w:tc>
        <w:tc>
          <w:tcPr>
            <w:tcW w:w="460" w:type="dxa"/>
            <w:vAlign w:val="bottom"/>
            <w:shd w:val="clear" w:color="auto" w:fill="E5FFFF"/>
          </w:tcPr>
          <w:p>
            <w:pPr>
              <w:spacing w:after="0"/>
              <w:rPr>
                <w:sz w:val="17"/>
                <w:szCs w:val="17"/>
                <w:color w:val="auto"/>
              </w:rPr>
            </w:pPr>
          </w:p>
        </w:tc>
        <w:tc>
          <w:tcPr>
            <w:tcW w:w="900" w:type="dxa"/>
            <w:vAlign w:val="bottom"/>
            <w:gridSpan w:val="2"/>
            <w:shd w:val="clear" w:color="auto" w:fill="E5FFFF"/>
          </w:tcPr>
          <w:p>
            <w:pPr>
              <w:jc w:val="right"/>
              <w:ind w:right="120"/>
              <w:spacing w:after="0" w:line="202" w:lineRule="exact"/>
              <w:rPr>
                <w:sz w:val="20"/>
                <w:szCs w:val="20"/>
                <w:color w:val="auto"/>
              </w:rPr>
            </w:pPr>
            <w:r>
              <w:rPr>
                <w:rFonts w:ascii="Arial" w:cs="Arial" w:eastAsia="Arial" w:hAnsi="Arial"/>
                <w:sz w:val="18"/>
                <w:szCs w:val="18"/>
                <w:color w:val="auto"/>
              </w:rPr>
              <w:t>12</w:t>
            </w:r>
          </w:p>
        </w:tc>
        <w:tc>
          <w:tcPr>
            <w:tcW w:w="320" w:type="dxa"/>
            <w:vAlign w:val="bottom"/>
            <w:shd w:val="clear" w:color="auto" w:fill="E5FFFF"/>
          </w:tcPr>
          <w:p>
            <w:pPr>
              <w:spacing w:after="0"/>
              <w:rPr>
                <w:sz w:val="17"/>
                <w:szCs w:val="17"/>
                <w:color w:val="auto"/>
              </w:rPr>
            </w:pPr>
          </w:p>
        </w:tc>
        <w:tc>
          <w:tcPr>
            <w:tcW w:w="500" w:type="dxa"/>
            <w:vAlign w:val="bottom"/>
            <w:shd w:val="clear" w:color="auto" w:fill="E5FFFF"/>
          </w:tcPr>
          <w:p>
            <w:pPr>
              <w:spacing w:after="0"/>
              <w:rPr>
                <w:sz w:val="17"/>
                <w:szCs w:val="17"/>
                <w:color w:val="auto"/>
              </w:rPr>
            </w:pPr>
          </w:p>
        </w:tc>
        <w:tc>
          <w:tcPr>
            <w:tcW w:w="860" w:type="dxa"/>
            <w:vAlign w:val="bottom"/>
            <w:gridSpan w:val="2"/>
            <w:shd w:val="clear" w:color="auto" w:fill="E5FFFF"/>
          </w:tcPr>
          <w:p>
            <w:pPr>
              <w:jc w:val="right"/>
              <w:ind w:right="100"/>
              <w:spacing w:after="0" w:line="202" w:lineRule="exact"/>
              <w:rPr>
                <w:sz w:val="20"/>
                <w:szCs w:val="20"/>
                <w:color w:val="auto"/>
              </w:rPr>
            </w:pPr>
            <w:r>
              <w:rPr>
                <w:rFonts w:ascii="Arial" w:cs="Arial" w:eastAsia="Arial" w:hAnsi="Arial"/>
                <w:sz w:val="18"/>
                <w:szCs w:val="18"/>
                <w:color w:val="auto"/>
              </w:rPr>
              <w:t>56</w:t>
            </w:r>
          </w:p>
        </w:tc>
      </w:tr>
      <w:tr>
        <w:trPr>
          <w:trHeight w:val="203"/>
        </w:trPr>
        <w:tc>
          <w:tcPr>
            <w:tcW w:w="4680" w:type="dxa"/>
            <w:vAlign w:val="bottom"/>
          </w:tcPr>
          <w:p>
            <w:pPr>
              <w:ind w:left="540"/>
              <w:spacing w:after="0" w:line="202" w:lineRule="exact"/>
              <w:rPr>
                <w:sz w:val="20"/>
                <w:szCs w:val="20"/>
                <w:color w:val="auto"/>
              </w:rPr>
            </w:pPr>
            <w:r>
              <w:rPr>
                <w:rFonts w:ascii="Arial" w:cs="Arial" w:eastAsia="Arial" w:hAnsi="Arial"/>
                <w:sz w:val="18"/>
                <w:szCs w:val="18"/>
                <w:color w:val="auto"/>
              </w:rPr>
              <w:t>Prior service credit (cost)</w:t>
            </w: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3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(46)</w:t>
            </w:r>
          </w:p>
        </w:tc>
      </w:tr>
      <w:tr>
        <w:trPr>
          <w:trHeight w:val="203"/>
        </w:trPr>
        <w:tc>
          <w:tcPr>
            <w:tcW w:w="4680" w:type="dxa"/>
            <w:vAlign w:val="bottom"/>
            <w:shd w:val="clear" w:color="auto" w:fill="E5FFFF"/>
          </w:tcPr>
          <w:p>
            <w:pPr>
              <w:ind w:left="540"/>
              <w:spacing w:after="0" w:line="202" w:lineRule="exact"/>
              <w:rPr>
                <w:sz w:val="20"/>
                <w:szCs w:val="20"/>
                <w:color w:val="auto"/>
              </w:rPr>
            </w:pPr>
            <w:r>
              <w:rPr>
                <w:rFonts w:ascii="Arial" w:cs="Arial" w:eastAsia="Arial" w:hAnsi="Arial"/>
                <w:sz w:val="18"/>
                <w:szCs w:val="18"/>
                <w:color w:val="auto"/>
              </w:rPr>
              <w:t>Actuarial (gains) losses recognized</w:t>
            </w:r>
          </w:p>
        </w:tc>
        <w:tc>
          <w:tcPr>
            <w:tcW w:w="260" w:type="dxa"/>
            <w:vAlign w:val="bottom"/>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1060" w:type="dxa"/>
            <w:vAlign w:val="bottom"/>
            <w:gridSpan w:val="2"/>
            <w:shd w:val="clear" w:color="auto" w:fill="E5FFFF"/>
          </w:tcPr>
          <w:p>
            <w:pPr>
              <w:jc w:val="right"/>
              <w:ind w:right="120"/>
              <w:spacing w:after="0" w:line="202" w:lineRule="exact"/>
              <w:rPr>
                <w:sz w:val="20"/>
                <w:szCs w:val="20"/>
                <w:color w:val="auto"/>
              </w:rPr>
            </w:pPr>
            <w:r>
              <w:rPr>
                <w:rFonts w:ascii="Arial" w:cs="Arial" w:eastAsia="Arial" w:hAnsi="Arial"/>
                <w:sz w:val="18"/>
                <w:szCs w:val="18"/>
                <w:color w:val="auto"/>
              </w:rPr>
              <w:t>3</w:t>
            </w:r>
          </w:p>
        </w:tc>
        <w:tc>
          <w:tcPr>
            <w:tcW w:w="360" w:type="dxa"/>
            <w:vAlign w:val="bottom"/>
            <w:shd w:val="clear" w:color="auto" w:fill="E5FFFF"/>
          </w:tcPr>
          <w:p>
            <w:pPr>
              <w:spacing w:after="0"/>
              <w:rPr>
                <w:sz w:val="17"/>
                <w:szCs w:val="17"/>
                <w:color w:val="auto"/>
              </w:rPr>
            </w:pPr>
          </w:p>
        </w:tc>
        <w:tc>
          <w:tcPr>
            <w:tcW w:w="520" w:type="dxa"/>
            <w:vAlign w:val="bottom"/>
            <w:shd w:val="clear" w:color="auto" w:fill="E5FFFF"/>
          </w:tcPr>
          <w:p>
            <w:pPr>
              <w:spacing w:after="0"/>
              <w:rPr>
                <w:sz w:val="17"/>
                <w:szCs w:val="17"/>
                <w:color w:val="auto"/>
              </w:rPr>
            </w:pPr>
          </w:p>
        </w:tc>
        <w:tc>
          <w:tcPr>
            <w:tcW w:w="74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3</w:t>
            </w:r>
          </w:p>
        </w:tc>
        <w:tc>
          <w:tcPr>
            <w:tcW w:w="100" w:type="dxa"/>
            <w:vAlign w:val="bottom"/>
            <w:shd w:val="clear" w:color="auto" w:fill="E5FFFF"/>
          </w:tcPr>
          <w:p>
            <w:pPr>
              <w:spacing w:after="0"/>
              <w:rPr>
                <w:sz w:val="17"/>
                <w:szCs w:val="17"/>
                <w:color w:val="auto"/>
              </w:rPr>
            </w:pPr>
          </w:p>
        </w:tc>
        <w:tc>
          <w:tcPr>
            <w:tcW w:w="340" w:type="dxa"/>
            <w:vAlign w:val="bottom"/>
            <w:shd w:val="clear" w:color="auto" w:fill="E5FFFF"/>
          </w:tcPr>
          <w:p>
            <w:pPr>
              <w:spacing w:after="0"/>
              <w:rPr>
                <w:sz w:val="17"/>
                <w:szCs w:val="17"/>
                <w:color w:val="auto"/>
              </w:rPr>
            </w:pPr>
          </w:p>
        </w:tc>
        <w:tc>
          <w:tcPr>
            <w:tcW w:w="460" w:type="dxa"/>
            <w:vAlign w:val="bottom"/>
            <w:shd w:val="clear" w:color="auto" w:fill="E5FFFF"/>
          </w:tcPr>
          <w:p>
            <w:pPr>
              <w:spacing w:after="0"/>
              <w:rPr>
                <w:sz w:val="17"/>
                <w:szCs w:val="17"/>
                <w:color w:val="auto"/>
              </w:rPr>
            </w:pPr>
          </w:p>
        </w:tc>
        <w:tc>
          <w:tcPr>
            <w:tcW w:w="900" w:type="dxa"/>
            <w:vAlign w:val="bottom"/>
            <w:gridSpan w:val="2"/>
            <w:shd w:val="clear" w:color="auto" w:fill="E5FFFF"/>
          </w:tcPr>
          <w:p>
            <w:pPr>
              <w:jc w:val="right"/>
              <w:ind w:right="120"/>
              <w:spacing w:after="0" w:line="202" w:lineRule="exact"/>
              <w:rPr>
                <w:sz w:val="20"/>
                <w:szCs w:val="20"/>
                <w:color w:val="auto"/>
              </w:rPr>
            </w:pPr>
            <w:r>
              <w:rPr>
                <w:rFonts w:ascii="Arial" w:cs="Arial" w:eastAsia="Arial" w:hAnsi="Arial"/>
                <w:sz w:val="18"/>
                <w:szCs w:val="18"/>
                <w:color w:val="auto"/>
              </w:rPr>
              <w:t>5</w:t>
            </w:r>
          </w:p>
        </w:tc>
        <w:tc>
          <w:tcPr>
            <w:tcW w:w="320" w:type="dxa"/>
            <w:vAlign w:val="bottom"/>
            <w:shd w:val="clear" w:color="auto" w:fill="E5FFFF"/>
          </w:tcPr>
          <w:p>
            <w:pPr>
              <w:spacing w:after="0"/>
              <w:rPr>
                <w:sz w:val="17"/>
                <w:szCs w:val="17"/>
                <w:color w:val="auto"/>
              </w:rPr>
            </w:pPr>
          </w:p>
        </w:tc>
        <w:tc>
          <w:tcPr>
            <w:tcW w:w="500" w:type="dxa"/>
            <w:vAlign w:val="bottom"/>
            <w:shd w:val="clear" w:color="auto" w:fill="E5FFFF"/>
          </w:tcPr>
          <w:p>
            <w:pPr>
              <w:spacing w:after="0"/>
              <w:rPr>
                <w:sz w:val="17"/>
                <w:szCs w:val="17"/>
                <w:color w:val="auto"/>
              </w:rPr>
            </w:pPr>
          </w:p>
        </w:tc>
        <w:tc>
          <w:tcPr>
            <w:tcW w:w="860" w:type="dxa"/>
            <w:vAlign w:val="bottom"/>
            <w:gridSpan w:val="2"/>
            <w:shd w:val="clear" w:color="auto" w:fill="E5FFFF"/>
          </w:tcPr>
          <w:p>
            <w:pPr>
              <w:jc w:val="right"/>
              <w:ind w:right="100"/>
              <w:spacing w:after="0" w:line="202" w:lineRule="exact"/>
              <w:rPr>
                <w:sz w:val="20"/>
                <w:szCs w:val="20"/>
                <w:color w:val="auto"/>
              </w:rPr>
            </w:pPr>
            <w:r>
              <w:rPr>
                <w:rFonts w:ascii="Arial" w:cs="Arial" w:eastAsia="Arial" w:hAnsi="Arial"/>
                <w:sz w:val="18"/>
                <w:szCs w:val="18"/>
                <w:color w:val="auto"/>
              </w:rPr>
              <w:t>5</w:t>
            </w:r>
          </w:p>
        </w:tc>
      </w:tr>
      <w:tr>
        <w:trPr>
          <w:trHeight w:val="216"/>
        </w:trPr>
        <w:tc>
          <w:tcPr>
            <w:tcW w:w="4680" w:type="dxa"/>
            <w:vAlign w:val="bottom"/>
            <w:tcBorders>
              <w:bottom w:val="single" w:sz="8" w:color="E5FFFF"/>
            </w:tcBorders>
          </w:tcPr>
          <w:p>
            <w:pPr>
              <w:ind w:left="540"/>
              <w:spacing w:after="0"/>
              <w:rPr>
                <w:sz w:val="20"/>
                <w:szCs w:val="20"/>
                <w:color w:val="auto"/>
              </w:rPr>
            </w:pPr>
            <w:r>
              <w:rPr>
                <w:rFonts w:ascii="Arial" w:cs="Arial" w:eastAsia="Arial" w:hAnsi="Arial"/>
                <w:sz w:val="18"/>
                <w:szCs w:val="18"/>
                <w:color w:val="auto"/>
              </w:rPr>
              <w:t>Prior service (credit) cost recognized</w:t>
            </w:r>
          </w:p>
        </w:tc>
        <w:tc>
          <w:tcPr>
            <w:tcW w:w="260" w:type="dxa"/>
            <w:vAlign w:val="bottom"/>
            <w:tcBorders>
              <w:bottom w:val="single" w:sz="8" w:color="E5FF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(19)</w:t>
            </w:r>
          </w:p>
        </w:tc>
        <w:tc>
          <w:tcPr>
            <w:tcW w:w="360" w:type="dxa"/>
            <w:vAlign w:val="bottom"/>
            <w:tcBorders>
              <w:bottom w:val="single" w:sz="8" w:color="E5FF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(16)</w:t>
            </w:r>
          </w:p>
        </w:tc>
        <w:tc>
          <w:tcPr>
            <w:tcW w:w="340" w:type="dxa"/>
            <w:vAlign w:val="bottom"/>
            <w:tcBorders>
              <w:bottom w:val="single" w:sz="8" w:color="E5FF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(37)</w:t>
            </w:r>
          </w:p>
        </w:tc>
        <w:tc>
          <w:tcPr>
            <w:tcW w:w="320" w:type="dxa"/>
            <w:vAlign w:val="bottom"/>
            <w:tcBorders>
              <w:bottom w:val="single" w:sz="8" w:color="E5FF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(32)</w:t>
            </w:r>
          </w:p>
        </w:tc>
      </w:tr>
      <w:tr>
        <w:trPr>
          <w:trHeight w:val="182"/>
        </w:trPr>
        <w:tc>
          <w:tcPr>
            <w:tcW w:w="4680" w:type="dxa"/>
            <w:vAlign w:val="bottom"/>
            <w:shd w:val="clear" w:color="auto" w:fill="E5FFFF"/>
          </w:tcPr>
          <w:p>
            <w:pPr>
              <w:ind w:left="360"/>
              <w:spacing w:after="0" w:line="182" w:lineRule="exact"/>
              <w:rPr>
                <w:sz w:val="20"/>
                <w:szCs w:val="20"/>
                <w:color w:val="auto"/>
              </w:rPr>
            </w:pPr>
            <w:r>
              <w:rPr>
                <w:rFonts w:ascii="Arial" w:cs="Arial" w:eastAsia="Arial" w:hAnsi="Arial"/>
                <w:sz w:val="18"/>
                <w:szCs w:val="18"/>
                <w:color w:val="auto"/>
              </w:rPr>
              <w:t>Pension and other postretirement benefits</w:t>
            </w:r>
          </w:p>
        </w:tc>
        <w:tc>
          <w:tcPr>
            <w:tcW w:w="260" w:type="dxa"/>
            <w:vAlign w:val="bottom"/>
            <w:shd w:val="clear" w:color="auto" w:fill="E5FFFF"/>
          </w:tcPr>
          <w:p>
            <w:pPr>
              <w:spacing w:after="0"/>
              <w:rPr>
                <w:sz w:val="15"/>
                <w:szCs w:val="15"/>
                <w:color w:val="auto"/>
              </w:rPr>
            </w:pPr>
          </w:p>
        </w:tc>
        <w:tc>
          <w:tcPr>
            <w:tcW w:w="320" w:type="dxa"/>
            <w:vAlign w:val="bottom"/>
            <w:shd w:val="clear" w:color="auto" w:fill="E5FFFF"/>
          </w:tcPr>
          <w:p>
            <w:pPr>
              <w:spacing w:after="0"/>
              <w:rPr>
                <w:sz w:val="15"/>
                <w:szCs w:val="15"/>
                <w:color w:val="auto"/>
              </w:rPr>
            </w:pPr>
          </w:p>
        </w:tc>
        <w:tc>
          <w:tcPr>
            <w:tcW w:w="940" w:type="dxa"/>
            <w:vAlign w:val="bottom"/>
            <w:shd w:val="clear" w:color="auto" w:fill="E5FFFF"/>
          </w:tcPr>
          <w:p>
            <w:pPr>
              <w:spacing w:after="0"/>
              <w:rPr>
                <w:sz w:val="15"/>
                <w:szCs w:val="15"/>
                <w:color w:val="auto"/>
              </w:rPr>
            </w:pPr>
          </w:p>
        </w:tc>
        <w:tc>
          <w:tcPr>
            <w:tcW w:w="120" w:type="dxa"/>
            <w:vAlign w:val="bottom"/>
            <w:shd w:val="clear" w:color="auto" w:fill="E5FFFF"/>
          </w:tcPr>
          <w:p>
            <w:pPr>
              <w:spacing w:after="0"/>
              <w:rPr>
                <w:sz w:val="15"/>
                <w:szCs w:val="15"/>
                <w:color w:val="auto"/>
              </w:rPr>
            </w:pPr>
          </w:p>
        </w:tc>
        <w:tc>
          <w:tcPr>
            <w:tcW w:w="360" w:type="dxa"/>
            <w:vAlign w:val="bottom"/>
            <w:shd w:val="clear" w:color="auto" w:fill="E5FFFF"/>
          </w:tcPr>
          <w:p>
            <w:pPr>
              <w:spacing w:after="0"/>
              <w:rPr>
                <w:sz w:val="15"/>
                <w:szCs w:val="15"/>
                <w:color w:val="auto"/>
              </w:rPr>
            </w:pPr>
          </w:p>
        </w:tc>
        <w:tc>
          <w:tcPr>
            <w:tcW w:w="520" w:type="dxa"/>
            <w:vAlign w:val="bottom"/>
            <w:shd w:val="clear" w:color="auto" w:fill="E5FFFF"/>
          </w:tcPr>
          <w:p>
            <w:pPr>
              <w:spacing w:after="0"/>
              <w:rPr>
                <w:sz w:val="15"/>
                <w:szCs w:val="15"/>
                <w:color w:val="auto"/>
              </w:rPr>
            </w:pPr>
          </w:p>
        </w:tc>
        <w:tc>
          <w:tcPr>
            <w:tcW w:w="740" w:type="dxa"/>
            <w:vAlign w:val="bottom"/>
            <w:shd w:val="clear" w:color="auto" w:fill="E5FFFF"/>
          </w:tcPr>
          <w:p>
            <w:pPr>
              <w:spacing w:after="0"/>
              <w:rPr>
                <w:sz w:val="15"/>
                <w:szCs w:val="15"/>
                <w:color w:val="auto"/>
              </w:rPr>
            </w:pPr>
          </w:p>
        </w:tc>
        <w:tc>
          <w:tcPr>
            <w:tcW w:w="100" w:type="dxa"/>
            <w:vAlign w:val="bottom"/>
            <w:shd w:val="clear" w:color="auto" w:fill="E5FFFF"/>
          </w:tcPr>
          <w:p>
            <w:pPr>
              <w:spacing w:after="0"/>
              <w:rPr>
                <w:sz w:val="15"/>
                <w:szCs w:val="15"/>
                <w:color w:val="auto"/>
              </w:rPr>
            </w:pPr>
          </w:p>
        </w:tc>
        <w:tc>
          <w:tcPr>
            <w:tcW w:w="340" w:type="dxa"/>
            <w:vAlign w:val="bottom"/>
            <w:shd w:val="clear" w:color="auto" w:fill="E5FFFF"/>
          </w:tcPr>
          <w:p>
            <w:pPr>
              <w:spacing w:after="0"/>
              <w:rPr>
                <w:sz w:val="15"/>
                <w:szCs w:val="15"/>
                <w:color w:val="auto"/>
              </w:rPr>
            </w:pPr>
          </w:p>
        </w:tc>
        <w:tc>
          <w:tcPr>
            <w:tcW w:w="460" w:type="dxa"/>
            <w:vAlign w:val="bottom"/>
            <w:shd w:val="clear" w:color="auto" w:fill="E5FFFF"/>
          </w:tcPr>
          <w:p>
            <w:pPr>
              <w:spacing w:after="0"/>
              <w:rPr>
                <w:sz w:val="15"/>
                <w:szCs w:val="15"/>
                <w:color w:val="auto"/>
              </w:rPr>
            </w:pPr>
          </w:p>
        </w:tc>
        <w:tc>
          <w:tcPr>
            <w:tcW w:w="780" w:type="dxa"/>
            <w:vAlign w:val="bottom"/>
            <w:shd w:val="clear" w:color="auto" w:fill="E5FFFF"/>
          </w:tcPr>
          <w:p>
            <w:pPr>
              <w:spacing w:after="0"/>
              <w:rPr>
                <w:sz w:val="15"/>
                <w:szCs w:val="15"/>
                <w:color w:val="auto"/>
              </w:rPr>
            </w:pPr>
          </w:p>
        </w:tc>
        <w:tc>
          <w:tcPr>
            <w:tcW w:w="120" w:type="dxa"/>
            <w:vAlign w:val="bottom"/>
            <w:shd w:val="clear" w:color="auto" w:fill="E5FFFF"/>
          </w:tcPr>
          <w:p>
            <w:pPr>
              <w:spacing w:after="0"/>
              <w:rPr>
                <w:sz w:val="15"/>
                <w:szCs w:val="15"/>
                <w:color w:val="auto"/>
              </w:rPr>
            </w:pPr>
          </w:p>
        </w:tc>
        <w:tc>
          <w:tcPr>
            <w:tcW w:w="320" w:type="dxa"/>
            <w:vAlign w:val="bottom"/>
            <w:shd w:val="clear" w:color="auto" w:fill="E5FFFF"/>
          </w:tcPr>
          <w:p>
            <w:pPr>
              <w:spacing w:after="0"/>
              <w:rPr>
                <w:sz w:val="15"/>
                <w:szCs w:val="15"/>
                <w:color w:val="auto"/>
              </w:rPr>
            </w:pPr>
          </w:p>
        </w:tc>
        <w:tc>
          <w:tcPr>
            <w:tcW w:w="500" w:type="dxa"/>
            <w:vAlign w:val="bottom"/>
            <w:shd w:val="clear" w:color="auto" w:fill="E5FFFF"/>
          </w:tcPr>
          <w:p>
            <w:pPr>
              <w:spacing w:after="0"/>
              <w:rPr>
                <w:sz w:val="15"/>
                <w:szCs w:val="15"/>
                <w:color w:val="auto"/>
              </w:rPr>
            </w:pPr>
          </w:p>
        </w:tc>
        <w:tc>
          <w:tcPr>
            <w:tcW w:w="760" w:type="dxa"/>
            <w:vAlign w:val="bottom"/>
            <w:shd w:val="clear" w:color="auto" w:fill="E5FFFF"/>
          </w:tcPr>
          <w:p>
            <w:pPr>
              <w:spacing w:after="0"/>
              <w:rPr>
                <w:sz w:val="15"/>
                <w:szCs w:val="15"/>
                <w:color w:val="auto"/>
              </w:rPr>
            </w:pPr>
          </w:p>
        </w:tc>
        <w:tc>
          <w:tcPr>
            <w:tcW w:w="100" w:type="dxa"/>
            <w:vAlign w:val="bottom"/>
            <w:shd w:val="clear" w:color="auto" w:fill="E5FFFF"/>
          </w:tcPr>
          <w:p>
            <w:pPr>
              <w:spacing w:after="0"/>
              <w:rPr>
                <w:sz w:val="15"/>
                <w:szCs w:val="15"/>
                <w:color w:val="auto"/>
              </w:rPr>
            </w:pPr>
          </w:p>
        </w:tc>
      </w:tr>
      <w:tr>
        <w:trPr>
          <w:trHeight w:val="203"/>
        </w:trPr>
        <w:tc>
          <w:tcPr>
            <w:tcW w:w="4680" w:type="dxa"/>
            <w:vAlign w:val="bottom"/>
            <w:shd w:val="clear" w:color="auto" w:fill="E5FFFF"/>
          </w:tcPr>
          <w:p>
            <w:pPr>
              <w:ind w:left="540"/>
              <w:spacing w:after="0" w:line="203" w:lineRule="exact"/>
              <w:rPr>
                <w:sz w:val="20"/>
                <w:szCs w:val="20"/>
                <w:color w:val="auto"/>
              </w:rPr>
            </w:pPr>
            <w:r>
              <w:rPr>
                <w:rFonts w:ascii="Arial" w:cs="Arial" w:eastAsia="Arial" w:hAnsi="Arial"/>
                <w:sz w:val="18"/>
                <w:szCs w:val="18"/>
                <w:color w:val="auto"/>
              </w:rPr>
              <w:t>adjustments</w:t>
            </w:r>
          </w:p>
        </w:tc>
        <w:tc>
          <w:tcPr>
            <w:tcW w:w="260" w:type="dxa"/>
            <w:vAlign w:val="bottom"/>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1060" w:type="dxa"/>
            <w:vAlign w:val="bottom"/>
            <w:gridSpan w:val="2"/>
            <w:shd w:val="clear" w:color="auto" w:fill="E5FFFF"/>
          </w:tcPr>
          <w:p>
            <w:pPr>
              <w:jc w:val="right"/>
              <w:ind w:right="60"/>
              <w:spacing w:after="0" w:line="203" w:lineRule="exact"/>
              <w:rPr>
                <w:sz w:val="20"/>
                <w:szCs w:val="20"/>
                <w:color w:val="auto"/>
              </w:rPr>
            </w:pPr>
            <w:r>
              <w:rPr>
                <w:rFonts w:ascii="Arial" w:cs="Arial" w:eastAsia="Arial" w:hAnsi="Arial"/>
                <w:sz w:val="18"/>
                <w:szCs w:val="18"/>
                <w:color w:val="auto"/>
              </w:rPr>
              <w:t>(16)</w:t>
            </w:r>
          </w:p>
        </w:tc>
        <w:tc>
          <w:tcPr>
            <w:tcW w:w="360" w:type="dxa"/>
            <w:vAlign w:val="bottom"/>
            <w:shd w:val="clear" w:color="auto" w:fill="E5FFFF"/>
          </w:tcPr>
          <w:p>
            <w:pPr>
              <w:spacing w:after="0"/>
              <w:rPr>
                <w:sz w:val="17"/>
                <w:szCs w:val="17"/>
                <w:color w:val="auto"/>
              </w:rPr>
            </w:pPr>
          </w:p>
        </w:tc>
        <w:tc>
          <w:tcPr>
            <w:tcW w:w="520" w:type="dxa"/>
            <w:vAlign w:val="bottom"/>
            <w:shd w:val="clear" w:color="auto" w:fill="E5FFFF"/>
          </w:tcPr>
          <w:p>
            <w:pPr>
              <w:spacing w:after="0"/>
              <w:rPr>
                <w:sz w:val="17"/>
                <w:szCs w:val="17"/>
                <w:color w:val="auto"/>
              </w:rPr>
            </w:pPr>
          </w:p>
        </w:tc>
        <w:tc>
          <w:tcPr>
            <w:tcW w:w="840" w:type="dxa"/>
            <w:vAlign w:val="bottom"/>
            <w:gridSpan w:val="2"/>
            <w:shd w:val="clear" w:color="auto" w:fill="E5FFFF"/>
          </w:tcPr>
          <w:p>
            <w:pPr>
              <w:jc w:val="right"/>
              <w:ind w:right="40"/>
              <w:spacing w:after="0" w:line="203" w:lineRule="exact"/>
              <w:rPr>
                <w:sz w:val="20"/>
                <w:szCs w:val="20"/>
                <w:color w:val="auto"/>
              </w:rPr>
            </w:pPr>
            <w:r>
              <w:rPr>
                <w:rFonts w:ascii="Arial" w:cs="Arial" w:eastAsia="Arial" w:hAnsi="Arial"/>
                <w:sz w:val="18"/>
                <w:szCs w:val="18"/>
                <w:color w:val="auto"/>
              </w:rPr>
              <w:t>(13)</w:t>
            </w:r>
          </w:p>
        </w:tc>
        <w:tc>
          <w:tcPr>
            <w:tcW w:w="340" w:type="dxa"/>
            <w:vAlign w:val="bottom"/>
            <w:shd w:val="clear" w:color="auto" w:fill="E5FFFF"/>
          </w:tcPr>
          <w:p>
            <w:pPr>
              <w:spacing w:after="0"/>
              <w:rPr>
                <w:sz w:val="17"/>
                <w:szCs w:val="17"/>
                <w:color w:val="auto"/>
              </w:rPr>
            </w:pPr>
          </w:p>
        </w:tc>
        <w:tc>
          <w:tcPr>
            <w:tcW w:w="460" w:type="dxa"/>
            <w:vAlign w:val="bottom"/>
            <w:shd w:val="clear" w:color="auto" w:fill="E5FFFF"/>
          </w:tcPr>
          <w:p>
            <w:pPr>
              <w:spacing w:after="0"/>
              <w:rPr>
                <w:sz w:val="17"/>
                <w:szCs w:val="17"/>
                <w:color w:val="auto"/>
              </w:rPr>
            </w:pPr>
          </w:p>
        </w:tc>
        <w:tc>
          <w:tcPr>
            <w:tcW w:w="900" w:type="dxa"/>
            <w:vAlign w:val="bottom"/>
            <w:gridSpan w:val="2"/>
            <w:shd w:val="clear" w:color="auto" w:fill="E5FFFF"/>
          </w:tcPr>
          <w:p>
            <w:pPr>
              <w:jc w:val="right"/>
              <w:ind w:right="60"/>
              <w:spacing w:after="0" w:line="203" w:lineRule="exact"/>
              <w:rPr>
                <w:sz w:val="20"/>
                <w:szCs w:val="20"/>
                <w:color w:val="auto"/>
              </w:rPr>
            </w:pPr>
            <w:r>
              <w:rPr>
                <w:rFonts w:ascii="Arial" w:cs="Arial" w:eastAsia="Arial" w:hAnsi="Arial"/>
                <w:sz w:val="18"/>
                <w:szCs w:val="18"/>
                <w:color w:val="auto"/>
              </w:rPr>
              <w:t>(32)</w:t>
            </w:r>
          </w:p>
        </w:tc>
        <w:tc>
          <w:tcPr>
            <w:tcW w:w="320" w:type="dxa"/>
            <w:vAlign w:val="bottom"/>
            <w:shd w:val="clear" w:color="auto" w:fill="E5FFFF"/>
          </w:tcPr>
          <w:p>
            <w:pPr>
              <w:spacing w:after="0"/>
              <w:rPr>
                <w:sz w:val="17"/>
                <w:szCs w:val="17"/>
                <w:color w:val="auto"/>
              </w:rPr>
            </w:pPr>
          </w:p>
        </w:tc>
        <w:tc>
          <w:tcPr>
            <w:tcW w:w="500" w:type="dxa"/>
            <w:vAlign w:val="bottom"/>
            <w:shd w:val="clear" w:color="auto" w:fill="E5FFFF"/>
          </w:tcPr>
          <w:p>
            <w:pPr>
              <w:spacing w:after="0"/>
              <w:rPr>
                <w:sz w:val="17"/>
                <w:szCs w:val="17"/>
                <w:color w:val="auto"/>
              </w:rPr>
            </w:pPr>
          </w:p>
        </w:tc>
        <w:tc>
          <w:tcPr>
            <w:tcW w:w="860" w:type="dxa"/>
            <w:vAlign w:val="bottom"/>
            <w:gridSpan w:val="2"/>
            <w:shd w:val="clear" w:color="auto" w:fill="E5FFFF"/>
          </w:tcPr>
          <w:p>
            <w:pPr>
              <w:jc w:val="right"/>
              <w:ind w:right="40"/>
              <w:spacing w:after="0" w:line="203" w:lineRule="exact"/>
              <w:rPr>
                <w:sz w:val="20"/>
                <w:szCs w:val="20"/>
                <w:color w:val="auto"/>
              </w:rPr>
            </w:pPr>
            <w:r>
              <w:rPr>
                <w:rFonts w:ascii="Arial" w:cs="Arial" w:eastAsia="Arial" w:hAnsi="Arial"/>
                <w:sz w:val="18"/>
                <w:szCs w:val="18"/>
                <w:color w:val="auto"/>
              </w:rPr>
              <w:t>(73)</w:t>
            </w:r>
          </w:p>
        </w:tc>
      </w:tr>
      <w:tr>
        <w:trPr>
          <w:trHeight w:val="202"/>
        </w:trPr>
        <w:tc>
          <w:tcPr>
            <w:tcW w:w="4680" w:type="dxa"/>
            <w:vAlign w:val="bottom"/>
          </w:tcPr>
          <w:p>
            <w:pPr>
              <w:ind w:left="540"/>
              <w:spacing w:after="0" w:line="201" w:lineRule="exact"/>
              <w:rPr>
                <w:sz w:val="20"/>
                <w:szCs w:val="20"/>
                <w:color w:val="auto"/>
              </w:rPr>
            </w:pPr>
            <w:r>
              <w:rPr>
                <w:rFonts w:ascii="Arial" w:cs="Arial" w:eastAsia="Arial" w:hAnsi="Arial"/>
                <w:sz w:val="18"/>
                <w:szCs w:val="18"/>
                <w:color w:val="auto"/>
              </w:rPr>
              <w:t>Effective portion of cash flow hedges recognized</w:t>
            </w: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4680" w:type="dxa"/>
            <w:vAlign w:val="bottom"/>
          </w:tcPr>
          <w:p>
            <w:pPr>
              <w:ind w:left="720"/>
              <w:spacing w:after="0" w:line="203" w:lineRule="exact"/>
              <w:rPr>
                <w:sz w:val="20"/>
                <w:szCs w:val="20"/>
                <w:color w:val="auto"/>
              </w:rPr>
            </w:pPr>
            <w:r>
              <w:rPr>
                <w:rFonts w:ascii="Arial" w:cs="Arial" w:eastAsia="Arial" w:hAnsi="Arial"/>
                <w:sz w:val="18"/>
                <w:szCs w:val="18"/>
                <w:color w:val="auto"/>
              </w:rPr>
              <w:t>in other comprehensive income (loss)</w:t>
            </w: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gridSpan w:val="2"/>
          </w:tcPr>
          <w:p>
            <w:pPr>
              <w:jc w:val="right"/>
              <w:ind w:right="120"/>
              <w:spacing w:after="0" w:line="203" w:lineRule="exact"/>
              <w:rPr>
                <w:sz w:val="20"/>
                <w:szCs w:val="20"/>
                <w:color w:val="auto"/>
              </w:rPr>
            </w:pPr>
            <w:r>
              <w:rPr>
                <w:rFonts w:ascii="Arial" w:cs="Arial" w:eastAsia="Arial" w:hAnsi="Arial"/>
                <w:sz w:val="18"/>
                <w:szCs w:val="18"/>
                <w:color w:val="auto"/>
              </w:rPr>
              <w:t>34</w:t>
            </w:r>
          </w:p>
        </w:tc>
        <w:tc>
          <w:tcPr>
            <w:tcW w:w="3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40" w:type="dxa"/>
            <w:vAlign w:val="bottom"/>
            <w:gridSpan w:val="2"/>
          </w:tcPr>
          <w:p>
            <w:pPr>
              <w:jc w:val="right"/>
              <w:ind w:right="40"/>
              <w:spacing w:after="0" w:line="203" w:lineRule="exact"/>
              <w:rPr>
                <w:sz w:val="20"/>
                <w:szCs w:val="20"/>
                <w:color w:val="auto"/>
              </w:rPr>
            </w:pPr>
            <w:r>
              <w:rPr>
                <w:rFonts w:ascii="Arial" w:cs="Arial" w:eastAsia="Arial" w:hAnsi="Arial"/>
                <w:sz w:val="18"/>
                <w:szCs w:val="18"/>
                <w:color w:val="auto"/>
              </w:rPr>
              <w:t>(49)</w:t>
            </w:r>
          </w:p>
        </w:tc>
        <w:tc>
          <w:tcPr>
            <w:tcW w:w="3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gridSpan w:val="2"/>
          </w:tcPr>
          <w:p>
            <w:pPr>
              <w:jc w:val="right"/>
              <w:ind w:right="120"/>
              <w:spacing w:after="0" w:line="203" w:lineRule="exact"/>
              <w:rPr>
                <w:sz w:val="20"/>
                <w:szCs w:val="20"/>
                <w:color w:val="auto"/>
              </w:rPr>
            </w:pPr>
            <w:r>
              <w:rPr>
                <w:rFonts w:ascii="Arial" w:cs="Arial" w:eastAsia="Arial" w:hAnsi="Arial"/>
                <w:sz w:val="18"/>
                <w:szCs w:val="18"/>
                <w:color w:val="auto"/>
              </w:rPr>
              <w:t>2</w:t>
            </w: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60" w:type="dxa"/>
            <w:vAlign w:val="bottom"/>
            <w:gridSpan w:val="2"/>
          </w:tcPr>
          <w:p>
            <w:pPr>
              <w:jc w:val="right"/>
              <w:ind w:right="40"/>
              <w:spacing w:after="0" w:line="203" w:lineRule="exact"/>
              <w:rPr>
                <w:sz w:val="20"/>
                <w:szCs w:val="20"/>
                <w:color w:val="auto"/>
              </w:rPr>
            </w:pPr>
            <w:r>
              <w:rPr>
                <w:rFonts w:ascii="Arial" w:cs="Arial" w:eastAsia="Arial" w:hAnsi="Arial"/>
                <w:sz w:val="18"/>
                <w:szCs w:val="18"/>
                <w:color w:val="auto"/>
              </w:rPr>
              <w:t>(62)</w:t>
            </w:r>
          </w:p>
        </w:tc>
      </w:tr>
      <w:tr>
        <w:trPr>
          <w:trHeight w:val="202"/>
        </w:trPr>
        <w:tc>
          <w:tcPr>
            <w:tcW w:w="4680" w:type="dxa"/>
            <w:vAlign w:val="bottom"/>
            <w:shd w:val="clear" w:color="auto" w:fill="E5FFFF"/>
          </w:tcPr>
          <w:p>
            <w:pPr>
              <w:ind w:left="540"/>
              <w:spacing w:after="0" w:line="201" w:lineRule="exact"/>
              <w:rPr>
                <w:sz w:val="20"/>
                <w:szCs w:val="20"/>
                <w:color w:val="auto"/>
              </w:rPr>
            </w:pPr>
            <w:r>
              <w:rPr>
                <w:rFonts w:ascii="Arial" w:cs="Arial" w:eastAsia="Arial" w:hAnsi="Arial"/>
                <w:sz w:val="18"/>
                <w:szCs w:val="18"/>
                <w:color w:val="auto"/>
              </w:rPr>
              <w:t>Less: Reclassification adjustment for gains</w:t>
            </w:r>
          </w:p>
        </w:tc>
        <w:tc>
          <w:tcPr>
            <w:tcW w:w="260" w:type="dxa"/>
            <w:vAlign w:val="bottom"/>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94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360" w:type="dxa"/>
            <w:vAlign w:val="bottom"/>
            <w:shd w:val="clear" w:color="auto" w:fill="E5FFFF"/>
          </w:tcPr>
          <w:p>
            <w:pPr>
              <w:spacing w:after="0"/>
              <w:rPr>
                <w:sz w:val="17"/>
                <w:szCs w:val="17"/>
                <w:color w:val="auto"/>
              </w:rPr>
            </w:pPr>
          </w:p>
        </w:tc>
        <w:tc>
          <w:tcPr>
            <w:tcW w:w="520" w:type="dxa"/>
            <w:vAlign w:val="bottom"/>
            <w:shd w:val="clear" w:color="auto" w:fill="E5FFFF"/>
          </w:tcPr>
          <w:p>
            <w:pPr>
              <w:spacing w:after="0"/>
              <w:rPr>
                <w:sz w:val="17"/>
                <w:szCs w:val="17"/>
                <w:color w:val="auto"/>
              </w:rPr>
            </w:pPr>
          </w:p>
        </w:tc>
        <w:tc>
          <w:tcPr>
            <w:tcW w:w="74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340" w:type="dxa"/>
            <w:vAlign w:val="bottom"/>
            <w:shd w:val="clear" w:color="auto" w:fill="E5FFFF"/>
          </w:tcPr>
          <w:p>
            <w:pPr>
              <w:spacing w:after="0"/>
              <w:rPr>
                <w:sz w:val="17"/>
                <w:szCs w:val="17"/>
                <w:color w:val="auto"/>
              </w:rPr>
            </w:pPr>
          </w:p>
        </w:tc>
        <w:tc>
          <w:tcPr>
            <w:tcW w:w="460" w:type="dxa"/>
            <w:vAlign w:val="bottom"/>
            <w:shd w:val="clear" w:color="auto" w:fill="E5FFFF"/>
          </w:tcPr>
          <w:p>
            <w:pPr>
              <w:spacing w:after="0"/>
              <w:rPr>
                <w:sz w:val="17"/>
                <w:szCs w:val="17"/>
                <w:color w:val="auto"/>
              </w:rPr>
            </w:pPr>
          </w:p>
        </w:tc>
        <w:tc>
          <w:tcPr>
            <w:tcW w:w="78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500" w:type="dxa"/>
            <w:vAlign w:val="bottom"/>
            <w:shd w:val="clear" w:color="auto" w:fill="E5FFFF"/>
          </w:tcPr>
          <w:p>
            <w:pPr>
              <w:spacing w:after="0"/>
              <w:rPr>
                <w:sz w:val="17"/>
                <w:szCs w:val="17"/>
                <w:color w:val="auto"/>
              </w:rPr>
            </w:pPr>
          </w:p>
        </w:tc>
        <w:tc>
          <w:tcPr>
            <w:tcW w:w="76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r>
      <w:tr>
        <w:trPr>
          <w:trHeight w:val="217"/>
        </w:trPr>
        <w:tc>
          <w:tcPr>
            <w:tcW w:w="4680" w:type="dxa"/>
            <w:vAlign w:val="bottom"/>
            <w:shd w:val="clear" w:color="auto" w:fill="E5FFFF"/>
          </w:tcPr>
          <w:p>
            <w:pPr>
              <w:ind w:left="720"/>
              <w:spacing w:after="0"/>
              <w:rPr>
                <w:sz w:val="20"/>
                <w:szCs w:val="20"/>
                <w:color w:val="auto"/>
              </w:rPr>
            </w:pPr>
            <w:r>
              <w:rPr>
                <w:rFonts w:ascii="Arial" w:cs="Arial" w:eastAsia="Arial" w:hAnsi="Arial"/>
                <w:sz w:val="18"/>
                <w:szCs w:val="18"/>
                <w:color w:val="auto"/>
              </w:rPr>
              <w:t>(losses) included in net income</w:t>
            </w:r>
          </w:p>
        </w:tc>
        <w:tc>
          <w:tcPr>
            <w:tcW w:w="260" w:type="dxa"/>
            <w:vAlign w:val="bottom"/>
            <w:shd w:val="clear" w:color="auto" w:fill="E5FFFF"/>
          </w:tcPr>
          <w:p>
            <w:pPr>
              <w:spacing w:after="0"/>
              <w:rPr>
                <w:sz w:val="18"/>
                <w:szCs w:val="18"/>
                <w:color w:val="auto"/>
              </w:rPr>
            </w:pPr>
          </w:p>
        </w:tc>
        <w:tc>
          <w:tcPr>
            <w:tcW w:w="320" w:type="dxa"/>
            <w:vAlign w:val="bottom"/>
            <w:tcBorders>
              <w:bottom w:val="single" w:sz="8" w:color="auto"/>
            </w:tcBorders>
            <w:shd w:val="clear" w:color="auto" w:fill="E5FFFF"/>
          </w:tcPr>
          <w:p>
            <w:pPr>
              <w:spacing w:after="0"/>
              <w:rPr>
                <w:sz w:val="18"/>
                <w:szCs w:val="18"/>
                <w:color w:val="auto"/>
              </w:rPr>
            </w:pPr>
          </w:p>
        </w:tc>
        <w:tc>
          <w:tcPr>
            <w:tcW w:w="1060" w:type="dxa"/>
            <w:vAlign w:val="bottom"/>
            <w:tcBorders>
              <w:bottom w:val="single" w:sz="8" w:color="auto"/>
            </w:tcBorders>
            <w:gridSpan w:val="2"/>
            <w:shd w:val="clear" w:color="auto" w:fill="E5FFFF"/>
          </w:tcPr>
          <w:p>
            <w:pPr>
              <w:jc w:val="right"/>
              <w:ind w:right="60"/>
              <w:spacing w:after="0"/>
              <w:rPr>
                <w:sz w:val="20"/>
                <w:szCs w:val="20"/>
                <w:color w:val="auto"/>
              </w:rPr>
            </w:pPr>
            <w:r>
              <w:rPr>
                <w:rFonts w:ascii="Arial" w:cs="Arial" w:eastAsia="Arial" w:hAnsi="Arial"/>
                <w:sz w:val="18"/>
                <w:szCs w:val="18"/>
                <w:color w:val="auto"/>
              </w:rPr>
              <w:t>(13)</w:t>
            </w:r>
          </w:p>
        </w:tc>
        <w:tc>
          <w:tcPr>
            <w:tcW w:w="360" w:type="dxa"/>
            <w:vAlign w:val="bottom"/>
            <w:shd w:val="clear" w:color="auto" w:fill="E5FFFF"/>
          </w:tcPr>
          <w:p>
            <w:pPr>
              <w:spacing w:after="0"/>
              <w:rPr>
                <w:sz w:val="18"/>
                <w:szCs w:val="18"/>
                <w:color w:val="auto"/>
              </w:rPr>
            </w:pPr>
          </w:p>
        </w:tc>
        <w:tc>
          <w:tcPr>
            <w:tcW w:w="520" w:type="dxa"/>
            <w:vAlign w:val="bottom"/>
            <w:tcBorders>
              <w:bottom w:val="single" w:sz="8" w:color="auto"/>
            </w:tcBorders>
            <w:shd w:val="clear" w:color="auto" w:fill="E5FFFF"/>
          </w:tcPr>
          <w:p>
            <w:pPr>
              <w:spacing w:after="0"/>
              <w:rPr>
                <w:sz w:val="18"/>
                <w:szCs w:val="18"/>
                <w:color w:val="auto"/>
              </w:rPr>
            </w:pPr>
          </w:p>
        </w:tc>
        <w:tc>
          <w:tcPr>
            <w:tcW w:w="840" w:type="dxa"/>
            <w:vAlign w:val="bottom"/>
            <w:tcBorders>
              <w:bottom w:val="single" w:sz="8" w:color="auto"/>
            </w:tcBorders>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21</w:t>
            </w:r>
          </w:p>
        </w:tc>
        <w:tc>
          <w:tcPr>
            <w:tcW w:w="340" w:type="dxa"/>
            <w:vAlign w:val="bottom"/>
            <w:shd w:val="clear" w:color="auto" w:fill="E5FFFF"/>
          </w:tcPr>
          <w:p>
            <w:pPr>
              <w:spacing w:after="0"/>
              <w:rPr>
                <w:sz w:val="18"/>
                <w:szCs w:val="18"/>
                <w:color w:val="auto"/>
              </w:rPr>
            </w:pPr>
          </w:p>
        </w:tc>
        <w:tc>
          <w:tcPr>
            <w:tcW w:w="460" w:type="dxa"/>
            <w:vAlign w:val="bottom"/>
            <w:tcBorders>
              <w:bottom w:val="single" w:sz="8" w:color="auto"/>
            </w:tcBorders>
            <w:shd w:val="clear" w:color="auto" w:fill="E5FFFF"/>
          </w:tcPr>
          <w:p>
            <w:pPr>
              <w:spacing w:after="0"/>
              <w:rPr>
                <w:sz w:val="18"/>
                <w:szCs w:val="18"/>
                <w:color w:val="auto"/>
              </w:rPr>
            </w:pPr>
          </w:p>
        </w:tc>
        <w:tc>
          <w:tcPr>
            <w:tcW w:w="900" w:type="dxa"/>
            <w:vAlign w:val="bottom"/>
            <w:tcBorders>
              <w:bottom w:val="single" w:sz="8" w:color="auto"/>
            </w:tcBorders>
            <w:gridSpan w:val="2"/>
            <w:shd w:val="clear" w:color="auto" w:fill="E5FFFF"/>
          </w:tcPr>
          <w:p>
            <w:pPr>
              <w:jc w:val="right"/>
              <w:ind w:right="60"/>
              <w:spacing w:after="0"/>
              <w:rPr>
                <w:sz w:val="20"/>
                <w:szCs w:val="20"/>
                <w:color w:val="auto"/>
              </w:rPr>
            </w:pPr>
            <w:r>
              <w:rPr>
                <w:rFonts w:ascii="Arial" w:cs="Arial" w:eastAsia="Arial" w:hAnsi="Arial"/>
                <w:sz w:val="18"/>
                <w:szCs w:val="18"/>
                <w:color w:val="auto"/>
              </w:rPr>
              <w:t>(31)</w:t>
            </w:r>
          </w:p>
        </w:tc>
        <w:tc>
          <w:tcPr>
            <w:tcW w:w="320" w:type="dxa"/>
            <w:vAlign w:val="bottom"/>
            <w:shd w:val="clear" w:color="auto" w:fill="E5FFFF"/>
          </w:tcPr>
          <w:p>
            <w:pPr>
              <w:spacing w:after="0"/>
              <w:rPr>
                <w:sz w:val="18"/>
                <w:szCs w:val="18"/>
                <w:color w:val="auto"/>
              </w:rPr>
            </w:pPr>
          </w:p>
        </w:tc>
        <w:tc>
          <w:tcPr>
            <w:tcW w:w="500" w:type="dxa"/>
            <w:vAlign w:val="bottom"/>
            <w:tcBorders>
              <w:bottom w:val="single" w:sz="8" w:color="auto"/>
            </w:tcBorders>
            <w:shd w:val="clear" w:color="auto" w:fill="E5FFFF"/>
          </w:tcPr>
          <w:p>
            <w:pPr>
              <w:spacing w:after="0"/>
              <w:rPr>
                <w:sz w:val="18"/>
                <w:szCs w:val="18"/>
                <w:color w:val="auto"/>
              </w:rPr>
            </w:pPr>
          </w:p>
        </w:tc>
        <w:tc>
          <w:tcPr>
            <w:tcW w:w="860" w:type="dxa"/>
            <w:vAlign w:val="bottom"/>
            <w:tcBorders>
              <w:bottom w:val="single" w:sz="8" w:color="auto"/>
            </w:tcBorders>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44</w:t>
            </w:r>
          </w:p>
        </w:tc>
      </w:tr>
      <w:tr>
        <w:trPr>
          <w:trHeight w:val="210"/>
        </w:trPr>
        <w:tc>
          <w:tcPr>
            <w:tcW w:w="4680" w:type="dxa"/>
            <w:vAlign w:val="bottom"/>
          </w:tcPr>
          <w:p>
            <w:pPr>
              <w:ind w:left="360"/>
              <w:spacing w:after="0"/>
              <w:rPr>
                <w:sz w:val="20"/>
                <w:szCs w:val="20"/>
                <w:color w:val="auto"/>
              </w:rPr>
            </w:pPr>
            <w:r>
              <w:rPr>
                <w:rFonts w:ascii="Arial" w:cs="Arial" w:eastAsia="Arial" w:hAnsi="Arial"/>
                <w:sz w:val="18"/>
                <w:szCs w:val="18"/>
                <w:color w:val="auto"/>
              </w:rPr>
              <w:t>Changes in fair value of effective cash flow hedges</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47</w:t>
            </w:r>
          </w:p>
        </w:tc>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(70)</w:t>
            </w: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33</w:t>
            </w: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(106)</w:t>
            </w:r>
          </w:p>
        </w:tc>
      </w:tr>
      <w:tr>
        <w:trPr>
          <w:trHeight w:val="196"/>
        </w:trPr>
        <w:tc>
          <w:tcPr>
            <w:tcW w:w="4680" w:type="dxa"/>
            <w:vAlign w:val="bottom"/>
            <w:tcBorders>
              <w:top w:val="single" w:sz="8" w:color="E5FFFF"/>
            </w:tcBorders>
            <w:shd w:val="clear" w:color="auto" w:fill="E5FFFF"/>
          </w:tcPr>
          <w:p>
            <w:pPr>
              <w:ind w:left="180"/>
              <w:spacing w:after="0" w:line="196" w:lineRule="exact"/>
              <w:rPr>
                <w:sz w:val="20"/>
                <w:szCs w:val="20"/>
                <w:color w:val="auto"/>
              </w:rPr>
            </w:pPr>
            <w:r>
              <w:rPr>
                <w:rFonts w:ascii="Arial" w:cs="Arial" w:eastAsia="Arial" w:hAnsi="Arial"/>
                <w:sz w:val="18"/>
                <w:szCs w:val="18"/>
                <w:color w:val="auto"/>
              </w:rPr>
              <w:t>Other comprehensive income (loss), net of tax</w:t>
            </w:r>
          </w:p>
        </w:tc>
        <w:tc>
          <w:tcPr>
            <w:tcW w:w="260" w:type="dxa"/>
            <w:vAlign w:val="bottom"/>
            <w:tcBorders>
              <w:top w:val="single" w:sz="8" w:color="E5FFFF"/>
            </w:tcBorders>
            <w:shd w:val="clear" w:color="auto" w:fill="E5FFFF"/>
          </w:tcPr>
          <w:p>
            <w:pPr>
              <w:spacing w:after="0"/>
              <w:rPr>
                <w:sz w:val="17"/>
                <w:szCs w:val="17"/>
                <w:color w:val="auto"/>
              </w:rPr>
            </w:pPr>
          </w:p>
        </w:tc>
        <w:tc>
          <w:tcPr>
            <w:tcW w:w="320" w:type="dxa"/>
            <w:vAlign w:val="bottom"/>
            <w:tcBorders>
              <w:top w:val="single" w:sz="8" w:color="auto"/>
              <w:bottom w:val="single" w:sz="8" w:color="auto"/>
            </w:tcBorders>
            <w:shd w:val="clear" w:color="auto" w:fill="E5FFFF"/>
          </w:tcPr>
          <w:p>
            <w:pPr>
              <w:spacing w:after="0"/>
              <w:rPr>
                <w:sz w:val="17"/>
                <w:szCs w:val="17"/>
                <w:color w:val="auto"/>
              </w:rPr>
            </w:pPr>
          </w:p>
        </w:tc>
        <w:tc>
          <w:tcPr>
            <w:tcW w:w="940" w:type="dxa"/>
            <w:vAlign w:val="bottom"/>
            <w:tcBorders>
              <w:top w:val="single" w:sz="8" w:color="auto"/>
              <w:bottom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(48)</w:t>
            </w:r>
          </w:p>
        </w:tc>
        <w:tc>
          <w:tcPr>
            <w:tcW w:w="120" w:type="dxa"/>
            <w:vAlign w:val="bottom"/>
            <w:tcBorders>
              <w:top w:val="single" w:sz="8" w:color="E5FFFF"/>
              <w:bottom w:val="single" w:sz="8" w:color="auto"/>
            </w:tcBorders>
            <w:shd w:val="clear" w:color="auto" w:fill="E5FFFF"/>
          </w:tcPr>
          <w:p>
            <w:pPr>
              <w:spacing w:after="0"/>
              <w:rPr>
                <w:sz w:val="17"/>
                <w:szCs w:val="17"/>
                <w:color w:val="auto"/>
              </w:rPr>
            </w:pPr>
          </w:p>
        </w:tc>
        <w:tc>
          <w:tcPr>
            <w:tcW w:w="360" w:type="dxa"/>
            <w:vAlign w:val="bottom"/>
            <w:tcBorders>
              <w:top w:val="single" w:sz="8" w:color="E5FFFF"/>
            </w:tcBorders>
            <w:shd w:val="clear" w:color="auto" w:fill="E5FFFF"/>
          </w:tcPr>
          <w:p>
            <w:pPr>
              <w:spacing w:after="0"/>
              <w:rPr>
                <w:sz w:val="17"/>
                <w:szCs w:val="17"/>
                <w:color w:val="auto"/>
              </w:rPr>
            </w:pPr>
          </w:p>
        </w:tc>
        <w:tc>
          <w:tcPr>
            <w:tcW w:w="520" w:type="dxa"/>
            <w:vAlign w:val="bottom"/>
            <w:tcBorders>
              <w:top w:val="single" w:sz="8" w:color="auto"/>
              <w:bottom w:val="single" w:sz="8" w:color="auto"/>
            </w:tcBorders>
            <w:shd w:val="clear" w:color="auto" w:fill="E5FFFF"/>
          </w:tcPr>
          <w:p>
            <w:pPr>
              <w:spacing w:after="0"/>
              <w:rPr>
                <w:sz w:val="17"/>
                <w:szCs w:val="17"/>
                <w:color w:val="auto"/>
              </w:rPr>
            </w:pPr>
          </w:p>
        </w:tc>
        <w:tc>
          <w:tcPr>
            <w:tcW w:w="740" w:type="dxa"/>
            <w:vAlign w:val="bottom"/>
            <w:tcBorders>
              <w:top w:val="single" w:sz="8" w:color="auto"/>
              <w:bottom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(275)</w:t>
            </w:r>
          </w:p>
        </w:tc>
        <w:tc>
          <w:tcPr>
            <w:tcW w:w="100" w:type="dxa"/>
            <w:vAlign w:val="bottom"/>
            <w:tcBorders>
              <w:top w:val="single" w:sz="8" w:color="E5FFFF"/>
              <w:bottom w:val="single" w:sz="8" w:color="auto"/>
            </w:tcBorders>
            <w:shd w:val="clear" w:color="auto" w:fill="E5FFFF"/>
          </w:tcPr>
          <w:p>
            <w:pPr>
              <w:spacing w:after="0"/>
              <w:rPr>
                <w:sz w:val="17"/>
                <w:szCs w:val="17"/>
                <w:color w:val="auto"/>
              </w:rPr>
            </w:pPr>
          </w:p>
        </w:tc>
        <w:tc>
          <w:tcPr>
            <w:tcW w:w="340" w:type="dxa"/>
            <w:vAlign w:val="bottom"/>
            <w:tcBorders>
              <w:top w:val="single" w:sz="8" w:color="E5FFFF"/>
            </w:tcBorders>
            <w:shd w:val="clear" w:color="auto" w:fill="E5FFFF"/>
          </w:tcPr>
          <w:p>
            <w:pPr>
              <w:spacing w:after="0"/>
              <w:rPr>
                <w:sz w:val="17"/>
                <w:szCs w:val="17"/>
                <w:color w:val="auto"/>
              </w:rPr>
            </w:pPr>
          </w:p>
        </w:tc>
        <w:tc>
          <w:tcPr>
            <w:tcW w:w="460" w:type="dxa"/>
            <w:vAlign w:val="bottom"/>
            <w:tcBorders>
              <w:top w:val="single" w:sz="8" w:color="auto"/>
              <w:bottom w:val="single" w:sz="8" w:color="auto"/>
            </w:tcBorders>
            <w:shd w:val="clear" w:color="auto" w:fill="E5FFFF"/>
          </w:tcPr>
          <w:p>
            <w:pPr>
              <w:spacing w:after="0"/>
              <w:rPr>
                <w:sz w:val="17"/>
                <w:szCs w:val="17"/>
                <w:color w:val="auto"/>
              </w:rPr>
            </w:pPr>
          </w:p>
        </w:tc>
        <w:tc>
          <w:tcPr>
            <w:tcW w:w="780" w:type="dxa"/>
            <w:vAlign w:val="bottom"/>
            <w:tcBorders>
              <w:top w:val="single" w:sz="8" w:color="auto"/>
              <w:bottom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13</w:t>
            </w:r>
          </w:p>
        </w:tc>
        <w:tc>
          <w:tcPr>
            <w:tcW w:w="120" w:type="dxa"/>
            <w:vAlign w:val="bottom"/>
            <w:tcBorders>
              <w:top w:val="single" w:sz="8" w:color="E5FFFF"/>
              <w:bottom w:val="single" w:sz="8" w:color="auto"/>
            </w:tcBorders>
            <w:shd w:val="clear" w:color="auto" w:fill="E5FFFF"/>
          </w:tcPr>
          <w:p>
            <w:pPr>
              <w:spacing w:after="0"/>
              <w:rPr>
                <w:sz w:val="17"/>
                <w:szCs w:val="17"/>
                <w:color w:val="auto"/>
              </w:rPr>
            </w:pPr>
          </w:p>
        </w:tc>
        <w:tc>
          <w:tcPr>
            <w:tcW w:w="320" w:type="dxa"/>
            <w:vAlign w:val="bottom"/>
            <w:tcBorders>
              <w:top w:val="single" w:sz="8" w:color="E5FFFF"/>
            </w:tcBorders>
            <w:shd w:val="clear" w:color="auto" w:fill="E5FFFF"/>
          </w:tcPr>
          <w:p>
            <w:pPr>
              <w:spacing w:after="0"/>
              <w:rPr>
                <w:sz w:val="17"/>
                <w:szCs w:val="17"/>
                <w:color w:val="auto"/>
              </w:rPr>
            </w:pPr>
          </w:p>
        </w:tc>
        <w:tc>
          <w:tcPr>
            <w:tcW w:w="500" w:type="dxa"/>
            <w:vAlign w:val="bottom"/>
            <w:tcBorders>
              <w:top w:val="single" w:sz="8" w:color="auto"/>
              <w:bottom w:val="single" w:sz="8" w:color="auto"/>
            </w:tcBorders>
            <w:shd w:val="clear" w:color="auto" w:fill="E5FFFF"/>
          </w:tcPr>
          <w:p>
            <w:pPr>
              <w:spacing w:after="0"/>
              <w:rPr>
                <w:sz w:val="17"/>
                <w:szCs w:val="17"/>
                <w:color w:val="auto"/>
              </w:rPr>
            </w:pPr>
          </w:p>
        </w:tc>
        <w:tc>
          <w:tcPr>
            <w:tcW w:w="760" w:type="dxa"/>
            <w:vAlign w:val="bottom"/>
            <w:tcBorders>
              <w:top w:val="single" w:sz="8" w:color="auto"/>
              <w:bottom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(123)</w:t>
            </w:r>
          </w:p>
        </w:tc>
        <w:tc>
          <w:tcPr>
            <w:tcW w:w="100" w:type="dxa"/>
            <w:vAlign w:val="bottom"/>
            <w:tcBorders>
              <w:top w:val="single" w:sz="8" w:color="E5FFFF"/>
              <w:bottom w:val="single" w:sz="8" w:color="auto"/>
            </w:tcBorders>
            <w:shd w:val="clear" w:color="auto" w:fill="E5FFFF"/>
          </w:tcPr>
          <w:p>
            <w:pPr>
              <w:spacing w:after="0"/>
              <w:rPr>
                <w:sz w:val="17"/>
                <w:szCs w:val="17"/>
                <w:color w:val="auto"/>
              </w:rPr>
            </w:pPr>
          </w:p>
        </w:tc>
      </w:tr>
      <w:tr>
        <w:trPr>
          <w:trHeight w:val="196"/>
        </w:trPr>
        <w:tc>
          <w:tcPr>
            <w:tcW w:w="4680" w:type="dxa"/>
            <w:vAlign w:val="bottom"/>
          </w:tcPr>
          <w:p>
            <w:pPr>
              <w:spacing w:after="0" w:line="196" w:lineRule="exact"/>
              <w:rPr>
                <w:sz w:val="20"/>
                <w:szCs w:val="20"/>
                <w:color w:val="auto"/>
              </w:rPr>
            </w:pPr>
            <w:r>
              <w:rPr>
                <w:rFonts w:ascii="Arial" w:cs="Arial" w:eastAsia="Arial" w:hAnsi="Arial"/>
                <w:sz w:val="18"/>
                <w:szCs w:val="18"/>
                <w:color w:val="auto"/>
              </w:rPr>
              <w:t>Comprehensive income</w:t>
            </w: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rPr>
              <w:t>1,232</w:t>
            </w:r>
          </w:p>
        </w:tc>
        <w:tc>
          <w:tcPr>
            <w:tcW w:w="3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4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1,125</w:t>
            </w:r>
          </w:p>
        </w:tc>
        <w:tc>
          <w:tcPr>
            <w:tcW w:w="3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rPr>
              <w:t>2,744</w:t>
            </w: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6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2,609</w:t>
            </w:r>
          </w:p>
        </w:tc>
      </w:tr>
      <w:tr>
        <w:trPr>
          <w:trHeight w:val="202"/>
        </w:trPr>
        <w:tc>
          <w:tcPr>
            <w:tcW w:w="4680" w:type="dxa"/>
            <w:vAlign w:val="bottom"/>
            <w:shd w:val="clear" w:color="auto" w:fill="E5FFFF"/>
          </w:tcPr>
          <w:p>
            <w:pPr>
              <w:ind w:left="540"/>
              <w:spacing w:after="0" w:line="201" w:lineRule="exact"/>
              <w:rPr>
                <w:sz w:val="20"/>
                <w:szCs w:val="20"/>
                <w:color w:val="auto"/>
              </w:rPr>
            </w:pPr>
            <w:r>
              <w:rPr>
                <w:rFonts w:ascii="Arial" w:cs="Arial" w:eastAsia="Arial" w:hAnsi="Arial"/>
                <w:sz w:val="18"/>
                <w:szCs w:val="18"/>
                <w:color w:val="auto"/>
              </w:rPr>
              <w:t>Less: Comprehensive income attributable to the</w:t>
            </w:r>
          </w:p>
        </w:tc>
        <w:tc>
          <w:tcPr>
            <w:tcW w:w="260" w:type="dxa"/>
            <w:vAlign w:val="bottom"/>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94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360" w:type="dxa"/>
            <w:vAlign w:val="bottom"/>
            <w:shd w:val="clear" w:color="auto" w:fill="E5FFFF"/>
          </w:tcPr>
          <w:p>
            <w:pPr>
              <w:spacing w:after="0"/>
              <w:rPr>
                <w:sz w:val="17"/>
                <w:szCs w:val="17"/>
                <w:color w:val="auto"/>
              </w:rPr>
            </w:pPr>
          </w:p>
        </w:tc>
        <w:tc>
          <w:tcPr>
            <w:tcW w:w="520" w:type="dxa"/>
            <w:vAlign w:val="bottom"/>
            <w:shd w:val="clear" w:color="auto" w:fill="E5FFFF"/>
          </w:tcPr>
          <w:p>
            <w:pPr>
              <w:spacing w:after="0"/>
              <w:rPr>
                <w:sz w:val="17"/>
                <w:szCs w:val="17"/>
                <w:color w:val="auto"/>
              </w:rPr>
            </w:pPr>
          </w:p>
        </w:tc>
        <w:tc>
          <w:tcPr>
            <w:tcW w:w="74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340" w:type="dxa"/>
            <w:vAlign w:val="bottom"/>
            <w:shd w:val="clear" w:color="auto" w:fill="E5FFFF"/>
          </w:tcPr>
          <w:p>
            <w:pPr>
              <w:spacing w:after="0"/>
              <w:rPr>
                <w:sz w:val="17"/>
                <w:szCs w:val="17"/>
                <w:color w:val="auto"/>
              </w:rPr>
            </w:pPr>
          </w:p>
        </w:tc>
        <w:tc>
          <w:tcPr>
            <w:tcW w:w="460" w:type="dxa"/>
            <w:vAlign w:val="bottom"/>
            <w:shd w:val="clear" w:color="auto" w:fill="E5FFFF"/>
          </w:tcPr>
          <w:p>
            <w:pPr>
              <w:spacing w:after="0"/>
              <w:rPr>
                <w:sz w:val="17"/>
                <w:szCs w:val="17"/>
                <w:color w:val="auto"/>
              </w:rPr>
            </w:pPr>
          </w:p>
        </w:tc>
        <w:tc>
          <w:tcPr>
            <w:tcW w:w="78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500" w:type="dxa"/>
            <w:vAlign w:val="bottom"/>
            <w:shd w:val="clear" w:color="auto" w:fill="E5FFFF"/>
          </w:tcPr>
          <w:p>
            <w:pPr>
              <w:spacing w:after="0"/>
              <w:rPr>
                <w:sz w:val="17"/>
                <w:szCs w:val="17"/>
                <w:color w:val="auto"/>
              </w:rPr>
            </w:pPr>
          </w:p>
        </w:tc>
        <w:tc>
          <w:tcPr>
            <w:tcW w:w="76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r>
      <w:tr>
        <w:trPr>
          <w:trHeight w:val="217"/>
        </w:trPr>
        <w:tc>
          <w:tcPr>
            <w:tcW w:w="4680" w:type="dxa"/>
            <w:vAlign w:val="bottom"/>
            <w:shd w:val="clear" w:color="auto" w:fill="E5FFFF"/>
          </w:tcPr>
          <w:p>
            <w:pPr>
              <w:ind w:left="720"/>
              <w:spacing w:after="0"/>
              <w:rPr>
                <w:sz w:val="20"/>
                <w:szCs w:val="20"/>
                <w:color w:val="auto"/>
              </w:rPr>
            </w:pPr>
            <w:r>
              <w:rPr>
                <w:rFonts w:ascii="Arial" w:cs="Arial" w:eastAsia="Arial" w:hAnsi="Arial"/>
                <w:sz w:val="18"/>
                <w:szCs w:val="18"/>
                <w:color w:val="auto"/>
              </w:rPr>
              <w:t>noncontrolling interest</w:t>
            </w:r>
          </w:p>
        </w:tc>
        <w:tc>
          <w:tcPr>
            <w:tcW w:w="260" w:type="dxa"/>
            <w:vAlign w:val="bottom"/>
            <w:shd w:val="clear" w:color="auto" w:fill="E5FFFF"/>
          </w:tcPr>
          <w:p>
            <w:pPr>
              <w:spacing w:after="0"/>
              <w:rPr>
                <w:sz w:val="18"/>
                <w:szCs w:val="18"/>
                <w:color w:val="auto"/>
              </w:rPr>
            </w:pPr>
          </w:p>
        </w:tc>
        <w:tc>
          <w:tcPr>
            <w:tcW w:w="320" w:type="dxa"/>
            <w:vAlign w:val="bottom"/>
            <w:tcBorders>
              <w:bottom w:val="single" w:sz="8" w:color="auto"/>
            </w:tcBorders>
            <w:shd w:val="clear" w:color="auto" w:fill="E5FFFF"/>
          </w:tcPr>
          <w:p>
            <w:pPr>
              <w:spacing w:after="0"/>
              <w:rPr>
                <w:sz w:val="18"/>
                <w:szCs w:val="18"/>
                <w:color w:val="auto"/>
              </w:rPr>
            </w:pPr>
          </w:p>
        </w:tc>
        <w:tc>
          <w:tcPr>
            <w:tcW w:w="1060" w:type="dxa"/>
            <w:vAlign w:val="bottom"/>
            <w:tcBorders>
              <w:bottom w:val="single" w:sz="8" w:color="auto"/>
            </w:tcBorders>
            <w:gridSpan w:val="2"/>
            <w:shd w:val="clear" w:color="auto" w:fill="E5FFFF"/>
          </w:tcPr>
          <w:p>
            <w:pPr>
              <w:jc w:val="right"/>
              <w:ind w:right="120"/>
              <w:spacing w:after="0"/>
              <w:rPr>
                <w:sz w:val="20"/>
                <w:szCs w:val="20"/>
                <w:color w:val="auto"/>
              </w:rPr>
            </w:pPr>
            <w:r>
              <w:rPr>
                <w:rFonts w:ascii="Arial" w:cs="Arial" w:eastAsia="Arial" w:hAnsi="Arial"/>
                <w:sz w:val="18"/>
                <w:szCs w:val="18"/>
                <w:color w:val="auto"/>
              </w:rPr>
              <w:t>5</w:t>
            </w:r>
          </w:p>
        </w:tc>
        <w:tc>
          <w:tcPr>
            <w:tcW w:w="360" w:type="dxa"/>
            <w:vAlign w:val="bottom"/>
            <w:shd w:val="clear" w:color="auto" w:fill="E5FFFF"/>
          </w:tcPr>
          <w:p>
            <w:pPr>
              <w:spacing w:after="0"/>
              <w:rPr>
                <w:sz w:val="18"/>
                <w:szCs w:val="18"/>
                <w:color w:val="auto"/>
              </w:rPr>
            </w:pPr>
          </w:p>
        </w:tc>
        <w:tc>
          <w:tcPr>
            <w:tcW w:w="520" w:type="dxa"/>
            <w:vAlign w:val="bottom"/>
            <w:tcBorders>
              <w:bottom w:val="single" w:sz="8" w:color="auto"/>
            </w:tcBorders>
            <w:shd w:val="clear" w:color="auto" w:fill="E5FFFF"/>
          </w:tcPr>
          <w:p>
            <w:pPr>
              <w:spacing w:after="0"/>
              <w:rPr>
                <w:sz w:val="18"/>
                <w:szCs w:val="18"/>
                <w:color w:val="auto"/>
              </w:rPr>
            </w:pPr>
          </w:p>
        </w:tc>
        <w:tc>
          <w:tcPr>
            <w:tcW w:w="7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auto"/>
            </w:tcBorders>
            <w:shd w:val="clear" w:color="auto" w:fill="E5FFFF"/>
          </w:tcPr>
          <w:p>
            <w:pPr>
              <w:spacing w:after="0"/>
              <w:rPr>
                <w:sz w:val="18"/>
                <w:szCs w:val="18"/>
                <w:color w:val="auto"/>
              </w:rPr>
            </w:pPr>
          </w:p>
        </w:tc>
        <w:tc>
          <w:tcPr>
            <w:tcW w:w="340" w:type="dxa"/>
            <w:vAlign w:val="bottom"/>
            <w:shd w:val="clear" w:color="auto" w:fill="E5FFFF"/>
          </w:tcPr>
          <w:p>
            <w:pPr>
              <w:spacing w:after="0"/>
              <w:rPr>
                <w:sz w:val="18"/>
                <w:szCs w:val="18"/>
                <w:color w:val="auto"/>
              </w:rPr>
            </w:pPr>
          </w:p>
        </w:tc>
        <w:tc>
          <w:tcPr>
            <w:tcW w:w="460" w:type="dxa"/>
            <w:vAlign w:val="bottom"/>
            <w:tcBorders>
              <w:bottom w:val="single" w:sz="8" w:color="auto"/>
            </w:tcBorders>
            <w:shd w:val="clear" w:color="auto" w:fill="E5FFFF"/>
          </w:tcPr>
          <w:p>
            <w:pPr>
              <w:spacing w:after="0"/>
              <w:rPr>
                <w:sz w:val="18"/>
                <w:szCs w:val="18"/>
                <w:color w:val="auto"/>
              </w:rPr>
            </w:pPr>
          </w:p>
        </w:tc>
        <w:tc>
          <w:tcPr>
            <w:tcW w:w="900" w:type="dxa"/>
            <w:vAlign w:val="bottom"/>
            <w:tcBorders>
              <w:bottom w:val="single" w:sz="8" w:color="auto"/>
            </w:tcBorders>
            <w:gridSpan w:val="2"/>
            <w:shd w:val="clear" w:color="auto" w:fill="E5FFFF"/>
          </w:tcPr>
          <w:p>
            <w:pPr>
              <w:jc w:val="right"/>
              <w:ind w:right="120"/>
              <w:spacing w:after="0"/>
              <w:rPr>
                <w:sz w:val="20"/>
                <w:szCs w:val="20"/>
                <w:color w:val="auto"/>
              </w:rPr>
            </w:pPr>
            <w:r>
              <w:rPr>
                <w:rFonts w:ascii="Arial" w:cs="Arial" w:eastAsia="Arial" w:hAnsi="Arial"/>
                <w:sz w:val="18"/>
                <w:szCs w:val="18"/>
                <w:color w:val="auto"/>
              </w:rPr>
              <w:t>23</w:t>
            </w:r>
          </w:p>
        </w:tc>
        <w:tc>
          <w:tcPr>
            <w:tcW w:w="320" w:type="dxa"/>
            <w:vAlign w:val="bottom"/>
            <w:shd w:val="clear" w:color="auto" w:fill="E5FFFF"/>
          </w:tcPr>
          <w:p>
            <w:pPr>
              <w:spacing w:after="0"/>
              <w:rPr>
                <w:sz w:val="18"/>
                <w:szCs w:val="18"/>
                <w:color w:val="auto"/>
              </w:rPr>
            </w:pPr>
          </w:p>
        </w:tc>
        <w:tc>
          <w:tcPr>
            <w:tcW w:w="500" w:type="dxa"/>
            <w:vAlign w:val="bottom"/>
            <w:tcBorders>
              <w:bottom w:val="single" w:sz="8" w:color="auto"/>
            </w:tcBorders>
            <w:shd w:val="clear" w:color="auto" w:fill="E5FFFF"/>
          </w:tcPr>
          <w:p>
            <w:pPr>
              <w:spacing w:after="0"/>
              <w:rPr>
                <w:sz w:val="18"/>
                <w:szCs w:val="18"/>
                <w:color w:val="auto"/>
              </w:rPr>
            </w:pPr>
          </w:p>
        </w:tc>
        <w:tc>
          <w:tcPr>
            <w:tcW w:w="860" w:type="dxa"/>
            <w:vAlign w:val="bottom"/>
            <w:tcBorders>
              <w:bottom w:val="single" w:sz="8" w:color="auto"/>
            </w:tcBorders>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18</w:t>
            </w:r>
          </w:p>
        </w:tc>
      </w:tr>
      <w:tr>
        <w:trPr>
          <w:trHeight w:val="210"/>
        </w:trPr>
        <w:tc>
          <w:tcPr>
            <w:tcW w:w="4680" w:type="dxa"/>
            <w:vAlign w:val="bottom"/>
          </w:tcPr>
          <w:p>
            <w:pPr>
              <w:spacing w:after="0" w:line="197" w:lineRule="exact"/>
              <w:rPr>
                <w:sz w:val="20"/>
                <w:szCs w:val="20"/>
                <w:color w:val="auto"/>
              </w:rPr>
            </w:pPr>
            <w:r>
              <w:rPr>
                <w:rFonts w:ascii="Arial" w:cs="Arial" w:eastAsia="Arial" w:hAnsi="Arial"/>
                <w:sz w:val="18"/>
                <w:szCs w:val="18"/>
                <w:color w:val="auto"/>
              </w:rPr>
              <w:t>Comprehensive income attributable to Honeywell</w:t>
            </w: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1,227</w:t>
            </w:r>
          </w:p>
        </w:tc>
        <w:tc>
          <w:tcPr>
            <w:tcW w:w="8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1,116</w:t>
            </w:r>
          </w:p>
        </w:tc>
        <w:tc>
          <w:tcPr>
            <w:tcW w:w="8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2,721</w:t>
            </w:r>
          </w:p>
        </w:tc>
        <w:tc>
          <w:tcPr>
            <w:tcW w:w="320" w:type="dxa"/>
            <w:vAlign w:val="bottom"/>
          </w:tcPr>
          <w:p>
            <w:pPr>
              <w:spacing w:after="0"/>
              <w:rPr>
                <w:sz w:val="18"/>
                <w:szCs w:val="18"/>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2,591</w:t>
            </w:r>
          </w:p>
        </w:tc>
      </w:tr>
      <w:tr>
        <w:trPr>
          <w:trHeight w:val="20"/>
        </w:trPr>
        <w:tc>
          <w:tcPr>
            <w:tcW w:w="4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Notes to Consolidated Financial Statements are an integral part of this statement.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22"/>
          <w:szCs w:val="22"/>
          <w:b w:val="1"/>
          <w:bCs w:val="1"/>
          <w:color w:val="auto"/>
        </w:rPr>
        <w:t>Honeywell International Inc.</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jc w:val="right"/>
              <w:ind w:right="311"/>
              <w:spacing w:after="0"/>
              <w:rPr>
                <w:sz w:val="20"/>
                <w:szCs w:val="20"/>
                <w:color w:val="auto"/>
              </w:rPr>
            </w:pPr>
            <w:r>
              <w:rPr>
                <w:rFonts w:ascii="Arial" w:cs="Arial" w:eastAsia="Arial" w:hAnsi="Arial"/>
                <w:sz w:val="14"/>
                <w:szCs w:val="14"/>
                <w:b w:val="1"/>
                <w:bCs w:val="1"/>
                <w:color w:val="auto"/>
              </w:rPr>
              <w:t>June 30,</w:t>
            </w: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jc w:val="right"/>
              <w:ind w:right="111"/>
              <w:spacing w:after="0"/>
              <w:rPr>
                <w:sz w:val="20"/>
                <w:szCs w:val="20"/>
                <w:color w:val="auto"/>
              </w:rPr>
            </w:pPr>
            <w:r>
              <w:rPr>
                <w:rFonts w:ascii="Arial" w:cs="Arial" w:eastAsia="Arial" w:hAnsi="Arial"/>
                <w:sz w:val="14"/>
                <w:szCs w:val="14"/>
                <w:b w:val="1"/>
                <w:bCs w:val="1"/>
                <w:color w:val="auto"/>
              </w:rPr>
              <w:t>December 31,</w:t>
            </w:r>
          </w:p>
        </w:tc>
      </w:tr>
      <w:tr>
        <w:trPr>
          <w:trHeight w:val="175"/>
        </w:trPr>
        <w:tc>
          <w:tcPr>
            <w:tcW w:w="7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2018</w:t>
            </w:r>
          </w:p>
        </w:tc>
        <w:tc>
          <w:tcPr>
            <w:tcW w:w="3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2017</w:t>
            </w:r>
          </w:p>
        </w:tc>
      </w:tr>
      <w:tr>
        <w:trPr>
          <w:trHeight w:val="156"/>
        </w:trPr>
        <w:tc>
          <w:tcPr>
            <w:tcW w:w="72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20" w:type="dxa"/>
            <w:vAlign w:val="bottom"/>
            <w:gridSpan w:val="4"/>
          </w:tcPr>
          <w:p>
            <w:pPr>
              <w:jc w:val="right"/>
              <w:ind w:right="831"/>
              <w:spacing w:after="0" w:line="155" w:lineRule="exact"/>
              <w:rPr>
                <w:sz w:val="20"/>
                <w:szCs w:val="20"/>
                <w:color w:val="auto"/>
              </w:rPr>
            </w:pPr>
            <w:r>
              <w:rPr>
                <w:rFonts w:ascii="Arial" w:cs="Arial" w:eastAsia="Arial" w:hAnsi="Arial"/>
                <w:sz w:val="14"/>
                <w:szCs w:val="14"/>
                <w:b w:val="1"/>
                <w:bCs w:val="1"/>
                <w:color w:val="auto"/>
              </w:rPr>
              <w:t>(Dollars in millions)</w:t>
            </w:r>
          </w:p>
        </w:tc>
      </w:tr>
      <w:tr>
        <w:trPr>
          <w:trHeight w:val="203"/>
        </w:trPr>
        <w:tc>
          <w:tcPr>
            <w:tcW w:w="7260" w:type="dxa"/>
            <w:vAlign w:val="bottom"/>
            <w:shd w:val="clear" w:color="auto" w:fill="E5FFFF"/>
          </w:tcPr>
          <w:p>
            <w:pPr>
              <w:spacing w:after="0" w:line="202" w:lineRule="exact"/>
              <w:rPr>
                <w:sz w:val="20"/>
                <w:szCs w:val="20"/>
                <w:color w:val="auto"/>
              </w:rPr>
            </w:pPr>
            <w:r>
              <w:rPr>
                <w:rFonts w:ascii="Arial" w:cs="Arial" w:eastAsia="Arial" w:hAnsi="Arial"/>
                <w:sz w:val="18"/>
                <w:szCs w:val="18"/>
                <w:b w:val="1"/>
                <w:bCs w:val="1"/>
                <w:color w:val="auto"/>
              </w:rPr>
              <w:t>ASSETS</w:t>
            </w:r>
          </w:p>
        </w:tc>
        <w:tc>
          <w:tcPr>
            <w:tcW w:w="110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1140" w:type="dxa"/>
            <w:vAlign w:val="bottom"/>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1200" w:type="dxa"/>
            <w:vAlign w:val="bottom"/>
            <w:shd w:val="clear" w:color="auto" w:fill="E5FFFF"/>
          </w:tcPr>
          <w:p>
            <w:pPr>
              <w:spacing w:after="0"/>
              <w:rPr>
                <w:sz w:val="17"/>
                <w:szCs w:val="17"/>
                <w:color w:val="auto"/>
              </w:rPr>
            </w:pPr>
          </w:p>
        </w:tc>
      </w:tr>
      <w:tr>
        <w:trPr>
          <w:trHeight w:val="203"/>
        </w:trPr>
        <w:tc>
          <w:tcPr>
            <w:tcW w:w="7260" w:type="dxa"/>
            <w:vAlign w:val="bottom"/>
          </w:tcPr>
          <w:p>
            <w:pPr>
              <w:spacing w:after="0" w:line="202" w:lineRule="exact"/>
              <w:rPr>
                <w:sz w:val="20"/>
                <w:szCs w:val="20"/>
                <w:color w:val="auto"/>
              </w:rPr>
            </w:pPr>
            <w:r>
              <w:rPr>
                <w:rFonts w:ascii="Arial" w:cs="Arial" w:eastAsia="Arial" w:hAnsi="Arial"/>
                <w:sz w:val="18"/>
                <w:szCs w:val="18"/>
                <w:color w:val="auto"/>
              </w:rPr>
              <w:t>Current assets:</w:t>
            </w: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7260" w:type="dxa"/>
            <w:vAlign w:val="bottom"/>
            <w:shd w:val="clear" w:color="auto" w:fill="E5FFFF"/>
          </w:tcPr>
          <w:p>
            <w:pPr>
              <w:ind w:left="180"/>
              <w:spacing w:after="0" w:line="202" w:lineRule="exact"/>
              <w:rPr>
                <w:sz w:val="20"/>
                <w:szCs w:val="20"/>
                <w:color w:val="auto"/>
              </w:rPr>
            </w:pPr>
            <w:r>
              <w:rPr>
                <w:rFonts w:ascii="Arial" w:cs="Arial" w:eastAsia="Arial" w:hAnsi="Arial"/>
                <w:sz w:val="18"/>
                <w:szCs w:val="18"/>
                <w:color w:val="auto"/>
              </w:rPr>
              <w:t>Cash and cash equivalents</w:t>
            </w:r>
          </w:p>
        </w:tc>
        <w:tc>
          <w:tcPr>
            <w:tcW w:w="1340" w:type="dxa"/>
            <w:vAlign w:val="bottom"/>
            <w:gridSpan w:val="2"/>
            <w:shd w:val="clear" w:color="auto" w:fill="E5FF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140" w:type="dxa"/>
            <w:vAlign w:val="bottom"/>
            <w:shd w:val="clear" w:color="auto" w:fill="E5FFFF"/>
          </w:tcPr>
          <w:p>
            <w:pPr>
              <w:jc w:val="right"/>
              <w:ind w:right="31"/>
              <w:spacing w:after="0" w:line="202" w:lineRule="exact"/>
              <w:rPr>
                <w:sz w:val="20"/>
                <w:szCs w:val="20"/>
                <w:color w:val="auto"/>
              </w:rPr>
            </w:pPr>
            <w:r>
              <w:rPr>
                <w:rFonts w:ascii="Arial" w:cs="Arial" w:eastAsia="Arial" w:hAnsi="Arial"/>
                <w:sz w:val="18"/>
                <w:szCs w:val="18"/>
                <w:color w:val="auto"/>
              </w:rPr>
              <w:t>8,082</w:t>
            </w:r>
          </w:p>
        </w:tc>
        <w:tc>
          <w:tcPr>
            <w:tcW w:w="480" w:type="dxa"/>
            <w:vAlign w:val="bottom"/>
            <w:gridSpan w:val="2"/>
            <w:shd w:val="clear" w:color="auto" w:fill="E5FF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120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7,059</w:t>
            </w:r>
          </w:p>
        </w:tc>
      </w:tr>
      <w:tr>
        <w:trPr>
          <w:trHeight w:val="203"/>
        </w:trPr>
        <w:tc>
          <w:tcPr>
            <w:tcW w:w="7260" w:type="dxa"/>
            <w:vAlign w:val="bottom"/>
          </w:tcPr>
          <w:p>
            <w:pPr>
              <w:ind w:left="180"/>
              <w:spacing w:after="0" w:line="202" w:lineRule="exact"/>
              <w:rPr>
                <w:sz w:val="20"/>
                <w:szCs w:val="20"/>
                <w:color w:val="auto"/>
              </w:rPr>
            </w:pPr>
            <w:r>
              <w:rPr>
                <w:rFonts w:ascii="Arial" w:cs="Arial" w:eastAsia="Arial" w:hAnsi="Arial"/>
                <w:sz w:val="18"/>
                <w:szCs w:val="18"/>
                <w:color w:val="auto"/>
              </w:rPr>
              <w:t>Short-term investments</w:t>
            </w: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jc w:val="right"/>
              <w:ind w:right="31"/>
              <w:spacing w:after="0" w:line="202" w:lineRule="exact"/>
              <w:rPr>
                <w:sz w:val="20"/>
                <w:szCs w:val="20"/>
                <w:color w:val="auto"/>
              </w:rPr>
            </w:pPr>
            <w:r>
              <w:rPr>
                <w:rFonts w:ascii="Arial" w:cs="Arial" w:eastAsia="Arial" w:hAnsi="Arial"/>
                <w:sz w:val="18"/>
                <w:szCs w:val="18"/>
                <w:color w:val="auto"/>
              </w:rPr>
              <w:t>1,768</w:t>
            </w: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ind w:right="11"/>
              <w:spacing w:after="0" w:line="202" w:lineRule="exact"/>
              <w:rPr>
                <w:sz w:val="20"/>
                <w:szCs w:val="20"/>
                <w:color w:val="auto"/>
              </w:rPr>
            </w:pPr>
            <w:r>
              <w:rPr>
                <w:rFonts w:ascii="Arial" w:cs="Arial" w:eastAsia="Arial" w:hAnsi="Arial"/>
                <w:sz w:val="18"/>
                <w:szCs w:val="18"/>
                <w:color w:val="auto"/>
              </w:rPr>
              <w:t>3,758</w:t>
            </w:r>
          </w:p>
        </w:tc>
      </w:tr>
      <w:tr>
        <w:trPr>
          <w:trHeight w:val="203"/>
        </w:trPr>
        <w:tc>
          <w:tcPr>
            <w:tcW w:w="7260" w:type="dxa"/>
            <w:vAlign w:val="bottom"/>
            <w:shd w:val="clear" w:color="auto" w:fill="E5FFFF"/>
          </w:tcPr>
          <w:p>
            <w:pPr>
              <w:ind w:left="180"/>
              <w:spacing w:after="0" w:line="202" w:lineRule="exact"/>
              <w:rPr>
                <w:sz w:val="20"/>
                <w:szCs w:val="20"/>
                <w:color w:val="auto"/>
              </w:rPr>
            </w:pPr>
            <w:r>
              <w:rPr>
                <w:rFonts w:ascii="Arial" w:cs="Arial" w:eastAsia="Arial" w:hAnsi="Arial"/>
                <w:sz w:val="18"/>
                <w:szCs w:val="18"/>
                <w:color w:val="auto"/>
              </w:rPr>
              <w:t>Accounts receivable - net</w:t>
            </w:r>
          </w:p>
        </w:tc>
        <w:tc>
          <w:tcPr>
            <w:tcW w:w="110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1140" w:type="dxa"/>
            <w:vAlign w:val="bottom"/>
            <w:shd w:val="clear" w:color="auto" w:fill="E5FFFF"/>
          </w:tcPr>
          <w:p>
            <w:pPr>
              <w:jc w:val="right"/>
              <w:ind w:right="31"/>
              <w:spacing w:after="0" w:line="202" w:lineRule="exact"/>
              <w:rPr>
                <w:sz w:val="20"/>
                <w:szCs w:val="20"/>
                <w:color w:val="auto"/>
              </w:rPr>
            </w:pPr>
            <w:r>
              <w:rPr>
                <w:rFonts w:ascii="Arial" w:cs="Arial" w:eastAsia="Arial" w:hAnsi="Arial"/>
                <w:sz w:val="18"/>
                <w:szCs w:val="18"/>
                <w:color w:val="auto"/>
              </w:rPr>
              <w:t>8,600</w:t>
            </w:r>
          </w:p>
        </w:tc>
        <w:tc>
          <w:tcPr>
            <w:tcW w:w="32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120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8,866</w:t>
            </w:r>
          </w:p>
        </w:tc>
      </w:tr>
      <w:tr>
        <w:trPr>
          <w:trHeight w:val="203"/>
        </w:trPr>
        <w:tc>
          <w:tcPr>
            <w:tcW w:w="7260" w:type="dxa"/>
            <w:vAlign w:val="bottom"/>
          </w:tcPr>
          <w:p>
            <w:pPr>
              <w:ind w:left="180"/>
              <w:spacing w:after="0" w:line="202" w:lineRule="exact"/>
              <w:rPr>
                <w:sz w:val="20"/>
                <w:szCs w:val="20"/>
                <w:color w:val="auto"/>
              </w:rPr>
            </w:pPr>
            <w:r>
              <w:rPr>
                <w:rFonts w:ascii="Arial" w:cs="Arial" w:eastAsia="Arial" w:hAnsi="Arial"/>
                <w:sz w:val="18"/>
                <w:szCs w:val="18"/>
                <w:color w:val="auto"/>
              </w:rPr>
              <w:t>Inventories</w:t>
            </w: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jc w:val="right"/>
              <w:ind w:right="31"/>
              <w:spacing w:after="0" w:line="202" w:lineRule="exact"/>
              <w:rPr>
                <w:sz w:val="20"/>
                <w:szCs w:val="20"/>
                <w:color w:val="auto"/>
              </w:rPr>
            </w:pPr>
            <w:r>
              <w:rPr>
                <w:rFonts w:ascii="Arial" w:cs="Arial" w:eastAsia="Arial" w:hAnsi="Arial"/>
                <w:sz w:val="18"/>
                <w:szCs w:val="18"/>
                <w:color w:val="auto"/>
              </w:rPr>
              <w:t>4,792</w:t>
            </w: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ind w:right="11"/>
              <w:spacing w:after="0" w:line="202" w:lineRule="exact"/>
              <w:rPr>
                <w:sz w:val="20"/>
                <w:szCs w:val="20"/>
                <w:color w:val="auto"/>
              </w:rPr>
            </w:pPr>
            <w:r>
              <w:rPr>
                <w:rFonts w:ascii="Arial" w:cs="Arial" w:eastAsia="Arial" w:hAnsi="Arial"/>
                <w:sz w:val="18"/>
                <w:szCs w:val="18"/>
                <w:color w:val="auto"/>
              </w:rPr>
              <w:t>4,613</w:t>
            </w:r>
          </w:p>
        </w:tc>
      </w:tr>
      <w:tr>
        <w:trPr>
          <w:trHeight w:val="216"/>
        </w:trPr>
        <w:tc>
          <w:tcPr>
            <w:tcW w:w="7260" w:type="dxa"/>
            <w:vAlign w:val="bottom"/>
            <w:shd w:val="clear" w:color="auto" w:fill="E5FFFF"/>
          </w:tcPr>
          <w:p>
            <w:pPr>
              <w:ind w:left="180"/>
              <w:spacing w:after="0"/>
              <w:rPr>
                <w:sz w:val="20"/>
                <w:szCs w:val="20"/>
                <w:color w:val="auto"/>
              </w:rPr>
            </w:pPr>
            <w:r>
              <w:rPr>
                <w:rFonts w:ascii="Arial" w:cs="Arial" w:eastAsia="Arial" w:hAnsi="Arial"/>
                <w:sz w:val="18"/>
                <w:szCs w:val="18"/>
                <w:color w:val="auto"/>
              </w:rPr>
              <w:t>Other current assets</w:t>
            </w:r>
          </w:p>
        </w:tc>
        <w:tc>
          <w:tcPr>
            <w:tcW w:w="1100" w:type="dxa"/>
            <w:vAlign w:val="bottom"/>
            <w:shd w:val="clear" w:color="auto" w:fill="E5FFFF"/>
          </w:tcPr>
          <w:p>
            <w:pPr>
              <w:spacing w:after="0"/>
              <w:rPr>
                <w:sz w:val="18"/>
                <w:szCs w:val="18"/>
                <w:color w:val="auto"/>
              </w:rPr>
            </w:pPr>
          </w:p>
        </w:tc>
        <w:tc>
          <w:tcPr>
            <w:tcW w:w="240" w:type="dxa"/>
            <w:vAlign w:val="bottom"/>
            <w:tcBorders>
              <w:bottom w:val="single" w:sz="8" w:color="auto"/>
            </w:tcBorders>
            <w:shd w:val="clear" w:color="auto" w:fill="E5FFFF"/>
          </w:tcPr>
          <w:p>
            <w:pPr>
              <w:spacing w:after="0"/>
              <w:rPr>
                <w:sz w:val="18"/>
                <w:szCs w:val="18"/>
                <w:color w:val="auto"/>
              </w:rPr>
            </w:pPr>
          </w:p>
        </w:tc>
        <w:tc>
          <w:tcPr>
            <w:tcW w:w="1140" w:type="dxa"/>
            <w:vAlign w:val="bottom"/>
            <w:tcBorders>
              <w:bottom w:val="single" w:sz="8" w:color="auto"/>
            </w:tcBorders>
            <w:shd w:val="clear" w:color="auto" w:fill="E5FFFF"/>
          </w:tcPr>
          <w:p>
            <w:pPr>
              <w:jc w:val="right"/>
              <w:ind w:right="31"/>
              <w:spacing w:after="0"/>
              <w:rPr>
                <w:sz w:val="20"/>
                <w:szCs w:val="20"/>
                <w:color w:val="auto"/>
              </w:rPr>
            </w:pPr>
            <w:r>
              <w:rPr>
                <w:rFonts w:ascii="Arial" w:cs="Arial" w:eastAsia="Arial" w:hAnsi="Arial"/>
                <w:sz w:val="18"/>
                <w:szCs w:val="18"/>
                <w:color w:val="auto"/>
              </w:rPr>
              <w:t>1,537</w:t>
            </w:r>
          </w:p>
        </w:tc>
        <w:tc>
          <w:tcPr>
            <w:tcW w:w="320" w:type="dxa"/>
            <w:vAlign w:val="bottom"/>
            <w:shd w:val="clear" w:color="auto" w:fill="E5FFFF"/>
          </w:tcPr>
          <w:p>
            <w:pPr>
              <w:spacing w:after="0"/>
              <w:rPr>
                <w:sz w:val="18"/>
                <w:szCs w:val="18"/>
                <w:color w:val="auto"/>
              </w:rPr>
            </w:pPr>
          </w:p>
        </w:tc>
        <w:tc>
          <w:tcPr>
            <w:tcW w:w="160" w:type="dxa"/>
            <w:vAlign w:val="bottom"/>
            <w:tcBorders>
              <w:bottom w:val="single" w:sz="8" w:color="auto"/>
            </w:tcBorders>
            <w:shd w:val="clear" w:color="auto" w:fill="E5FFFF"/>
          </w:tcPr>
          <w:p>
            <w:pPr>
              <w:spacing w:after="0"/>
              <w:rPr>
                <w:sz w:val="18"/>
                <w:szCs w:val="18"/>
                <w:color w:val="auto"/>
              </w:rPr>
            </w:pPr>
          </w:p>
        </w:tc>
        <w:tc>
          <w:tcPr>
            <w:tcW w:w="1200" w:type="dxa"/>
            <w:vAlign w:val="bottom"/>
            <w:tcBorders>
              <w:bottom w:val="single" w:sz="8" w:color="auto"/>
            </w:tcBorders>
            <w:shd w:val="clear" w:color="auto" w:fill="E5FFFF"/>
          </w:tcPr>
          <w:p>
            <w:pPr>
              <w:jc w:val="right"/>
              <w:ind w:right="11"/>
              <w:spacing w:after="0"/>
              <w:rPr>
                <w:sz w:val="20"/>
                <w:szCs w:val="20"/>
                <w:color w:val="auto"/>
              </w:rPr>
            </w:pPr>
            <w:r>
              <w:rPr>
                <w:rFonts w:ascii="Arial" w:cs="Arial" w:eastAsia="Arial" w:hAnsi="Arial"/>
                <w:sz w:val="18"/>
                <w:szCs w:val="18"/>
                <w:color w:val="auto"/>
              </w:rPr>
              <w:t>1,706</w:t>
            </w:r>
          </w:p>
        </w:tc>
      </w:tr>
      <w:tr>
        <w:trPr>
          <w:trHeight w:val="196"/>
        </w:trPr>
        <w:tc>
          <w:tcPr>
            <w:tcW w:w="7260" w:type="dxa"/>
            <w:vAlign w:val="bottom"/>
          </w:tcPr>
          <w:p>
            <w:pPr>
              <w:ind w:left="360"/>
              <w:spacing w:after="0" w:line="196" w:lineRule="exact"/>
              <w:rPr>
                <w:sz w:val="20"/>
                <w:szCs w:val="20"/>
                <w:color w:val="auto"/>
              </w:rPr>
            </w:pPr>
            <w:r>
              <w:rPr>
                <w:rFonts w:ascii="Arial" w:cs="Arial" w:eastAsia="Arial" w:hAnsi="Arial"/>
                <w:sz w:val="18"/>
                <w:szCs w:val="18"/>
                <w:color w:val="auto"/>
              </w:rPr>
              <w:t>Total current assets</w:t>
            </w: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jc w:val="right"/>
              <w:ind w:right="31"/>
              <w:spacing w:after="0" w:line="196" w:lineRule="exact"/>
              <w:rPr>
                <w:sz w:val="20"/>
                <w:szCs w:val="20"/>
                <w:color w:val="auto"/>
              </w:rPr>
            </w:pPr>
            <w:r>
              <w:rPr>
                <w:rFonts w:ascii="Arial" w:cs="Arial" w:eastAsia="Arial" w:hAnsi="Arial"/>
                <w:sz w:val="18"/>
                <w:szCs w:val="18"/>
                <w:color w:val="auto"/>
              </w:rPr>
              <w:t>24,779</w:t>
            </w: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ind w:right="11"/>
              <w:spacing w:after="0" w:line="196" w:lineRule="exact"/>
              <w:rPr>
                <w:sz w:val="20"/>
                <w:szCs w:val="20"/>
                <w:color w:val="auto"/>
              </w:rPr>
            </w:pPr>
            <w:r>
              <w:rPr>
                <w:rFonts w:ascii="Arial" w:cs="Arial" w:eastAsia="Arial" w:hAnsi="Arial"/>
                <w:sz w:val="18"/>
                <w:szCs w:val="18"/>
                <w:color w:val="auto"/>
              </w:rPr>
              <w:t>26,002</w:t>
            </w:r>
          </w:p>
        </w:tc>
      </w:tr>
      <w:tr>
        <w:trPr>
          <w:trHeight w:val="203"/>
        </w:trPr>
        <w:tc>
          <w:tcPr>
            <w:tcW w:w="726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Investments and long-term receivables</w:t>
            </w:r>
          </w:p>
        </w:tc>
        <w:tc>
          <w:tcPr>
            <w:tcW w:w="110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1140" w:type="dxa"/>
            <w:vAlign w:val="bottom"/>
            <w:shd w:val="clear" w:color="auto" w:fill="E5FFFF"/>
          </w:tcPr>
          <w:p>
            <w:pPr>
              <w:jc w:val="right"/>
              <w:ind w:right="31"/>
              <w:spacing w:after="0" w:line="202" w:lineRule="exact"/>
              <w:rPr>
                <w:sz w:val="20"/>
                <w:szCs w:val="20"/>
                <w:color w:val="auto"/>
              </w:rPr>
            </w:pPr>
            <w:r>
              <w:rPr>
                <w:rFonts w:ascii="Arial" w:cs="Arial" w:eastAsia="Arial" w:hAnsi="Arial"/>
                <w:sz w:val="18"/>
                <w:szCs w:val="18"/>
                <w:color w:val="auto"/>
              </w:rPr>
              <w:t>897</w:t>
            </w:r>
          </w:p>
        </w:tc>
        <w:tc>
          <w:tcPr>
            <w:tcW w:w="32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120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667</w:t>
            </w:r>
          </w:p>
        </w:tc>
      </w:tr>
      <w:tr>
        <w:trPr>
          <w:trHeight w:val="203"/>
        </w:trPr>
        <w:tc>
          <w:tcPr>
            <w:tcW w:w="7260" w:type="dxa"/>
            <w:vAlign w:val="bottom"/>
          </w:tcPr>
          <w:p>
            <w:pPr>
              <w:spacing w:after="0" w:line="202" w:lineRule="exact"/>
              <w:rPr>
                <w:sz w:val="20"/>
                <w:szCs w:val="20"/>
                <w:color w:val="auto"/>
              </w:rPr>
            </w:pPr>
            <w:r>
              <w:rPr>
                <w:rFonts w:ascii="Arial" w:cs="Arial" w:eastAsia="Arial" w:hAnsi="Arial"/>
                <w:sz w:val="18"/>
                <w:szCs w:val="18"/>
                <w:color w:val="auto"/>
              </w:rPr>
              <w:t>Property, plant and equipment - net</w:t>
            </w: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jc w:val="right"/>
              <w:ind w:right="31"/>
              <w:spacing w:after="0" w:line="202" w:lineRule="exact"/>
              <w:rPr>
                <w:sz w:val="20"/>
                <w:szCs w:val="20"/>
                <w:color w:val="auto"/>
              </w:rPr>
            </w:pPr>
            <w:r>
              <w:rPr>
                <w:rFonts w:ascii="Arial" w:cs="Arial" w:eastAsia="Arial" w:hAnsi="Arial"/>
                <w:sz w:val="18"/>
                <w:szCs w:val="18"/>
                <w:color w:val="auto"/>
              </w:rPr>
              <w:t>5,968</w:t>
            </w: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ind w:right="11"/>
              <w:spacing w:after="0" w:line="202" w:lineRule="exact"/>
              <w:rPr>
                <w:sz w:val="20"/>
                <w:szCs w:val="20"/>
                <w:color w:val="auto"/>
              </w:rPr>
            </w:pPr>
            <w:r>
              <w:rPr>
                <w:rFonts w:ascii="Arial" w:cs="Arial" w:eastAsia="Arial" w:hAnsi="Arial"/>
                <w:sz w:val="18"/>
                <w:szCs w:val="18"/>
                <w:color w:val="auto"/>
              </w:rPr>
              <w:t>5,926</w:t>
            </w:r>
          </w:p>
        </w:tc>
      </w:tr>
      <w:tr>
        <w:trPr>
          <w:trHeight w:val="203"/>
        </w:trPr>
        <w:tc>
          <w:tcPr>
            <w:tcW w:w="726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Goodwill</w:t>
            </w:r>
          </w:p>
        </w:tc>
        <w:tc>
          <w:tcPr>
            <w:tcW w:w="110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1140" w:type="dxa"/>
            <w:vAlign w:val="bottom"/>
            <w:shd w:val="clear" w:color="auto" w:fill="E5FFFF"/>
          </w:tcPr>
          <w:p>
            <w:pPr>
              <w:jc w:val="right"/>
              <w:ind w:right="31"/>
              <w:spacing w:after="0" w:line="202" w:lineRule="exact"/>
              <w:rPr>
                <w:sz w:val="20"/>
                <w:szCs w:val="20"/>
                <w:color w:val="auto"/>
              </w:rPr>
            </w:pPr>
            <w:r>
              <w:rPr>
                <w:rFonts w:ascii="Arial" w:cs="Arial" w:eastAsia="Arial" w:hAnsi="Arial"/>
                <w:sz w:val="18"/>
                <w:szCs w:val="18"/>
                <w:color w:val="auto"/>
              </w:rPr>
              <w:t>18,137</w:t>
            </w:r>
          </w:p>
        </w:tc>
        <w:tc>
          <w:tcPr>
            <w:tcW w:w="32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120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18,277</w:t>
            </w:r>
          </w:p>
        </w:tc>
      </w:tr>
      <w:tr>
        <w:trPr>
          <w:trHeight w:val="203"/>
        </w:trPr>
        <w:tc>
          <w:tcPr>
            <w:tcW w:w="7260" w:type="dxa"/>
            <w:vAlign w:val="bottom"/>
          </w:tcPr>
          <w:p>
            <w:pPr>
              <w:spacing w:after="0" w:line="202" w:lineRule="exact"/>
              <w:rPr>
                <w:sz w:val="20"/>
                <w:szCs w:val="20"/>
                <w:color w:val="auto"/>
              </w:rPr>
            </w:pPr>
            <w:r>
              <w:rPr>
                <w:rFonts w:ascii="Arial" w:cs="Arial" w:eastAsia="Arial" w:hAnsi="Arial"/>
                <w:sz w:val="18"/>
                <w:szCs w:val="18"/>
                <w:color w:val="auto"/>
              </w:rPr>
              <w:t>Other intangible assets - net</w:t>
            </w: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jc w:val="right"/>
              <w:ind w:right="31"/>
              <w:spacing w:after="0" w:line="202" w:lineRule="exact"/>
              <w:rPr>
                <w:sz w:val="20"/>
                <w:szCs w:val="20"/>
                <w:color w:val="auto"/>
              </w:rPr>
            </w:pPr>
            <w:r>
              <w:rPr>
                <w:rFonts w:ascii="Arial" w:cs="Arial" w:eastAsia="Arial" w:hAnsi="Arial"/>
                <w:sz w:val="18"/>
                <w:szCs w:val="18"/>
                <w:color w:val="auto"/>
              </w:rPr>
              <w:t>4,261</w:t>
            </w: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ind w:right="11"/>
              <w:spacing w:after="0" w:line="202" w:lineRule="exact"/>
              <w:rPr>
                <w:sz w:val="20"/>
                <w:szCs w:val="20"/>
                <w:color w:val="auto"/>
              </w:rPr>
            </w:pPr>
            <w:r>
              <w:rPr>
                <w:rFonts w:ascii="Arial" w:cs="Arial" w:eastAsia="Arial" w:hAnsi="Arial"/>
                <w:sz w:val="18"/>
                <w:szCs w:val="18"/>
                <w:color w:val="auto"/>
              </w:rPr>
              <w:t>4,496</w:t>
            </w:r>
          </w:p>
        </w:tc>
      </w:tr>
      <w:tr>
        <w:trPr>
          <w:trHeight w:val="203"/>
        </w:trPr>
        <w:tc>
          <w:tcPr>
            <w:tcW w:w="726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Insurance recoveries for asbestos related liabilities</w:t>
            </w:r>
          </w:p>
        </w:tc>
        <w:tc>
          <w:tcPr>
            <w:tcW w:w="110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1140" w:type="dxa"/>
            <w:vAlign w:val="bottom"/>
            <w:shd w:val="clear" w:color="auto" w:fill="E5FFFF"/>
          </w:tcPr>
          <w:p>
            <w:pPr>
              <w:jc w:val="right"/>
              <w:ind w:right="31"/>
              <w:spacing w:after="0" w:line="202" w:lineRule="exact"/>
              <w:rPr>
                <w:sz w:val="20"/>
                <w:szCs w:val="20"/>
                <w:color w:val="auto"/>
              </w:rPr>
            </w:pPr>
            <w:r>
              <w:rPr>
                <w:rFonts w:ascii="Arial" w:cs="Arial" w:eastAsia="Arial" w:hAnsi="Arial"/>
                <w:sz w:val="18"/>
                <w:szCs w:val="18"/>
                <w:color w:val="auto"/>
              </w:rPr>
              <w:t>409</w:t>
            </w:r>
          </w:p>
        </w:tc>
        <w:tc>
          <w:tcPr>
            <w:tcW w:w="32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120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411</w:t>
            </w:r>
          </w:p>
        </w:tc>
      </w:tr>
      <w:tr>
        <w:trPr>
          <w:trHeight w:val="203"/>
        </w:trPr>
        <w:tc>
          <w:tcPr>
            <w:tcW w:w="7260" w:type="dxa"/>
            <w:vAlign w:val="bottom"/>
          </w:tcPr>
          <w:p>
            <w:pPr>
              <w:spacing w:after="0" w:line="202" w:lineRule="exact"/>
              <w:rPr>
                <w:sz w:val="20"/>
                <w:szCs w:val="20"/>
                <w:color w:val="auto"/>
              </w:rPr>
            </w:pPr>
            <w:r>
              <w:rPr>
                <w:rFonts w:ascii="Arial" w:cs="Arial" w:eastAsia="Arial" w:hAnsi="Arial"/>
                <w:sz w:val="18"/>
                <w:szCs w:val="18"/>
                <w:color w:val="auto"/>
              </w:rPr>
              <w:t>Deferred income taxes</w:t>
            </w: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jc w:val="right"/>
              <w:ind w:right="31"/>
              <w:spacing w:after="0" w:line="202" w:lineRule="exact"/>
              <w:rPr>
                <w:sz w:val="20"/>
                <w:szCs w:val="20"/>
                <w:color w:val="auto"/>
              </w:rPr>
            </w:pPr>
            <w:r>
              <w:rPr>
                <w:rFonts w:ascii="Arial" w:cs="Arial" w:eastAsia="Arial" w:hAnsi="Arial"/>
                <w:sz w:val="18"/>
                <w:szCs w:val="18"/>
                <w:color w:val="auto"/>
              </w:rPr>
              <w:t>355</w:t>
            </w: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ind w:right="11"/>
              <w:spacing w:after="0" w:line="202" w:lineRule="exact"/>
              <w:rPr>
                <w:sz w:val="20"/>
                <w:szCs w:val="20"/>
                <w:color w:val="auto"/>
              </w:rPr>
            </w:pPr>
            <w:r>
              <w:rPr>
                <w:rFonts w:ascii="Arial" w:cs="Arial" w:eastAsia="Arial" w:hAnsi="Arial"/>
                <w:sz w:val="18"/>
                <w:szCs w:val="18"/>
                <w:color w:val="auto"/>
              </w:rPr>
              <w:t>236</w:t>
            </w:r>
          </w:p>
        </w:tc>
      </w:tr>
      <w:tr>
        <w:trPr>
          <w:trHeight w:val="216"/>
        </w:trPr>
        <w:tc>
          <w:tcPr>
            <w:tcW w:w="7260" w:type="dxa"/>
            <w:vAlign w:val="bottom"/>
            <w:shd w:val="clear" w:color="auto" w:fill="E5FFFF"/>
          </w:tcPr>
          <w:p>
            <w:pPr>
              <w:spacing w:after="0"/>
              <w:rPr>
                <w:sz w:val="20"/>
                <w:szCs w:val="20"/>
                <w:color w:val="auto"/>
              </w:rPr>
            </w:pPr>
            <w:r>
              <w:rPr>
                <w:rFonts w:ascii="Arial" w:cs="Arial" w:eastAsia="Arial" w:hAnsi="Arial"/>
                <w:sz w:val="18"/>
                <w:szCs w:val="18"/>
                <w:color w:val="auto"/>
              </w:rPr>
              <w:t>Other assets</w:t>
            </w:r>
          </w:p>
        </w:tc>
        <w:tc>
          <w:tcPr>
            <w:tcW w:w="1100" w:type="dxa"/>
            <w:vAlign w:val="bottom"/>
            <w:shd w:val="clear" w:color="auto" w:fill="E5FFFF"/>
          </w:tcPr>
          <w:p>
            <w:pPr>
              <w:spacing w:after="0"/>
              <w:rPr>
                <w:sz w:val="18"/>
                <w:szCs w:val="18"/>
                <w:color w:val="auto"/>
              </w:rPr>
            </w:pPr>
          </w:p>
        </w:tc>
        <w:tc>
          <w:tcPr>
            <w:tcW w:w="240" w:type="dxa"/>
            <w:vAlign w:val="bottom"/>
            <w:tcBorders>
              <w:bottom w:val="single" w:sz="8" w:color="auto"/>
            </w:tcBorders>
            <w:shd w:val="clear" w:color="auto" w:fill="E5FFFF"/>
          </w:tcPr>
          <w:p>
            <w:pPr>
              <w:spacing w:after="0"/>
              <w:rPr>
                <w:sz w:val="18"/>
                <w:szCs w:val="18"/>
                <w:color w:val="auto"/>
              </w:rPr>
            </w:pPr>
          </w:p>
        </w:tc>
        <w:tc>
          <w:tcPr>
            <w:tcW w:w="1140" w:type="dxa"/>
            <w:vAlign w:val="bottom"/>
            <w:tcBorders>
              <w:bottom w:val="single" w:sz="8" w:color="auto"/>
            </w:tcBorders>
            <w:shd w:val="clear" w:color="auto" w:fill="E5FFFF"/>
          </w:tcPr>
          <w:p>
            <w:pPr>
              <w:jc w:val="right"/>
              <w:ind w:right="31"/>
              <w:spacing w:after="0"/>
              <w:rPr>
                <w:sz w:val="20"/>
                <w:szCs w:val="20"/>
                <w:color w:val="auto"/>
              </w:rPr>
            </w:pPr>
            <w:r>
              <w:rPr>
                <w:rFonts w:ascii="Arial" w:cs="Arial" w:eastAsia="Arial" w:hAnsi="Arial"/>
                <w:sz w:val="18"/>
                <w:szCs w:val="18"/>
                <w:color w:val="auto"/>
              </w:rPr>
              <w:t>5,054</w:t>
            </w:r>
          </w:p>
        </w:tc>
        <w:tc>
          <w:tcPr>
            <w:tcW w:w="320" w:type="dxa"/>
            <w:vAlign w:val="bottom"/>
            <w:shd w:val="clear" w:color="auto" w:fill="E5FFFF"/>
          </w:tcPr>
          <w:p>
            <w:pPr>
              <w:spacing w:after="0"/>
              <w:rPr>
                <w:sz w:val="18"/>
                <w:szCs w:val="18"/>
                <w:color w:val="auto"/>
              </w:rPr>
            </w:pPr>
          </w:p>
        </w:tc>
        <w:tc>
          <w:tcPr>
            <w:tcW w:w="160" w:type="dxa"/>
            <w:vAlign w:val="bottom"/>
            <w:tcBorders>
              <w:bottom w:val="single" w:sz="8" w:color="auto"/>
            </w:tcBorders>
            <w:shd w:val="clear" w:color="auto" w:fill="E5FFFF"/>
          </w:tcPr>
          <w:p>
            <w:pPr>
              <w:spacing w:after="0"/>
              <w:rPr>
                <w:sz w:val="18"/>
                <w:szCs w:val="18"/>
                <w:color w:val="auto"/>
              </w:rPr>
            </w:pPr>
          </w:p>
        </w:tc>
        <w:tc>
          <w:tcPr>
            <w:tcW w:w="1200" w:type="dxa"/>
            <w:vAlign w:val="bottom"/>
            <w:tcBorders>
              <w:bottom w:val="single" w:sz="8" w:color="auto"/>
            </w:tcBorders>
            <w:shd w:val="clear" w:color="auto" w:fill="E5FFFF"/>
          </w:tcPr>
          <w:p>
            <w:pPr>
              <w:jc w:val="right"/>
              <w:ind w:right="11"/>
              <w:spacing w:after="0"/>
              <w:rPr>
                <w:sz w:val="20"/>
                <w:szCs w:val="20"/>
                <w:color w:val="auto"/>
              </w:rPr>
            </w:pPr>
            <w:r>
              <w:rPr>
                <w:rFonts w:ascii="Arial" w:cs="Arial" w:eastAsia="Arial" w:hAnsi="Arial"/>
                <w:sz w:val="18"/>
                <w:szCs w:val="18"/>
                <w:color w:val="auto"/>
              </w:rPr>
              <w:t>3,372</w:t>
            </w:r>
          </w:p>
        </w:tc>
      </w:tr>
      <w:tr>
        <w:trPr>
          <w:trHeight w:val="250"/>
        </w:trPr>
        <w:tc>
          <w:tcPr>
            <w:tcW w:w="7260" w:type="dxa"/>
            <w:vAlign w:val="bottom"/>
          </w:tcPr>
          <w:p>
            <w:pPr>
              <w:ind w:left="180"/>
              <w:spacing w:after="0" w:line="197" w:lineRule="exact"/>
              <w:rPr>
                <w:sz w:val="20"/>
                <w:szCs w:val="20"/>
                <w:color w:val="auto"/>
              </w:rPr>
            </w:pPr>
            <w:r>
              <w:rPr>
                <w:rFonts w:ascii="Arial" w:cs="Arial" w:eastAsia="Arial" w:hAnsi="Arial"/>
                <w:sz w:val="18"/>
                <w:szCs w:val="18"/>
                <w:color w:val="auto"/>
              </w:rPr>
              <w:t>Total assets</w:t>
            </w: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59,860</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59,387</w:t>
            </w:r>
          </w:p>
        </w:tc>
      </w:tr>
      <w:tr>
        <w:trPr>
          <w:trHeight w:val="183"/>
        </w:trPr>
        <w:tc>
          <w:tcPr>
            <w:tcW w:w="7260" w:type="dxa"/>
            <w:vAlign w:val="bottom"/>
            <w:tcBorders>
              <w:top w:val="single" w:sz="8" w:color="E5FFFF"/>
            </w:tcBorders>
            <w:shd w:val="clear" w:color="auto" w:fill="E5FFFF"/>
          </w:tcPr>
          <w:p>
            <w:pPr>
              <w:spacing w:after="0" w:line="183" w:lineRule="exact"/>
              <w:rPr>
                <w:sz w:val="20"/>
                <w:szCs w:val="20"/>
                <w:color w:val="auto"/>
              </w:rPr>
            </w:pPr>
            <w:r>
              <w:rPr>
                <w:rFonts w:ascii="Arial" w:cs="Arial" w:eastAsia="Arial" w:hAnsi="Arial"/>
                <w:sz w:val="18"/>
                <w:szCs w:val="18"/>
                <w:b w:val="1"/>
                <w:bCs w:val="1"/>
                <w:color w:val="auto"/>
              </w:rPr>
              <w:t>LIABILITIES</w:t>
            </w:r>
          </w:p>
        </w:tc>
        <w:tc>
          <w:tcPr>
            <w:tcW w:w="1100" w:type="dxa"/>
            <w:vAlign w:val="bottom"/>
            <w:tcBorders>
              <w:top w:val="single" w:sz="8" w:color="E5FFFF"/>
            </w:tcBorders>
            <w:shd w:val="clear" w:color="auto" w:fill="E5FFFF"/>
          </w:tcPr>
          <w:p>
            <w:pPr>
              <w:spacing w:after="0"/>
              <w:rPr>
                <w:sz w:val="15"/>
                <w:szCs w:val="15"/>
                <w:color w:val="auto"/>
              </w:rPr>
            </w:pPr>
          </w:p>
        </w:tc>
        <w:tc>
          <w:tcPr>
            <w:tcW w:w="240" w:type="dxa"/>
            <w:vAlign w:val="bottom"/>
            <w:tcBorders>
              <w:top w:val="single" w:sz="8" w:color="auto"/>
            </w:tcBorders>
            <w:shd w:val="clear" w:color="auto" w:fill="E5FFFF"/>
          </w:tcPr>
          <w:p>
            <w:pPr>
              <w:spacing w:after="0"/>
              <w:rPr>
                <w:sz w:val="15"/>
                <w:szCs w:val="15"/>
                <w:color w:val="auto"/>
              </w:rPr>
            </w:pPr>
          </w:p>
        </w:tc>
        <w:tc>
          <w:tcPr>
            <w:tcW w:w="1140" w:type="dxa"/>
            <w:vAlign w:val="bottom"/>
            <w:tcBorders>
              <w:top w:val="single" w:sz="8" w:color="auto"/>
            </w:tcBorders>
            <w:shd w:val="clear" w:color="auto" w:fill="E5FFFF"/>
          </w:tcPr>
          <w:p>
            <w:pPr>
              <w:spacing w:after="0"/>
              <w:rPr>
                <w:sz w:val="15"/>
                <w:szCs w:val="15"/>
                <w:color w:val="auto"/>
              </w:rPr>
            </w:pPr>
          </w:p>
        </w:tc>
        <w:tc>
          <w:tcPr>
            <w:tcW w:w="320" w:type="dxa"/>
            <w:vAlign w:val="bottom"/>
            <w:tcBorders>
              <w:top w:val="single" w:sz="8" w:color="E5FFFF"/>
            </w:tcBorders>
            <w:shd w:val="clear" w:color="auto" w:fill="E5FFFF"/>
          </w:tcPr>
          <w:p>
            <w:pPr>
              <w:spacing w:after="0"/>
              <w:rPr>
                <w:sz w:val="15"/>
                <w:szCs w:val="15"/>
                <w:color w:val="auto"/>
              </w:rPr>
            </w:pPr>
          </w:p>
        </w:tc>
        <w:tc>
          <w:tcPr>
            <w:tcW w:w="160" w:type="dxa"/>
            <w:vAlign w:val="bottom"/>
            <w:tcBorders>
              <w:top w:val="single" w:sz="8" w:color="auto"/>
            </w:tcBorders>
            <w:shd w:val="clear" w:color="auto" w:fill="E5FFFF"/>
          </w:tcPr>
          <w:p>
            <w:pPr>
              <w:spacing w:after="0"/>
              <w:rPr>
                <w:sz w:val="15"/>
                <w:szCs w:val="15"/>
                <w:color w:val="auto"/>
              </w:rPr>
            </w:pPr>
          </w:p>
        </w:tc>
        <w:tc>
          <w:tcPr>
            <w:tcW w:w="1200" w:type="dxa"/>
            <w:vAlign w:val="bottom"/>
            <w:tcBorders>
              <w:top w:val="single" w:sz="8" w:color="auto"/>
            </w:tcBorders>
            <w:shd w:val="clear" w:color="auto" w:fill="E5FFFF"/>
          </w:tcPr>
          <w:p>
            <w:pPr>
              <w:spacing w:after="0"/>
              <w:rPr>
                <w:sz w:val="15"/>
                <w:szCs w:val="15"/>
                <w:color w:val="auto"/>
              </w:rPr>
            </w:pPr>
          </w:p>
        </w:tc>
      </w:tr>
      <w:tr>
        <w:trPr>
          <w:trHeight w:val="203"/>
        </w:trPr>
        <w:tc>
          <w:tcPr>
            <w:tcW w:w="7260" w:type="dxa"/>
            <w:vAlign w:val="bottom"/>
          </w:tcPr>
          <w:p>
            <w:pPr>
              <w:spacing w:after="0" w:line="202" w:lineRule="exact"/>
              <w:rPr>
                <w:sz w:val="20"/>
                <w:szCs w:val="20"/>
                <w:color w:val="auto"/>
              </w:rPr>
            </w:pPr>
            <w:r>
              <w:rPr>
                <w:rFonts w:ascii="Arial" w:cs="Arial" w:eastAsia="Arial" w:hAnsi="Arial"/>
                <w:sz w:val="18"/>
                <w:szCs w:val="18"/>
                <w:color w:val="auto"/>
              </w:rPr>
              <w:t>Current liabilities:</w:t>
            </w: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7260" w:type="dxa"/>
            <w:vAlign w:val="bottom"/>
            <w:shd w:val="clear" w:color="auto" w:fill="E5FFFF"/>
          </w:tcPr>
          <w:p>
            <w:pPr>
              <w:ind w:left="180"/>
              <w:spacing w:after="0" w:line="202" w:lineRule="exact"/>
              <w:rPr>
                <w:sz w:val="20"/>
                <w:szCs w:val="20"/>
                <w:color w:val="auto"/>
              </w:rPr>
            </w:pPr>
            <w:r>
              <w:rPr>
                <w:rFonts w:ascii="Arial" w:cs="Arial" w:eastAsia="Arial" w:hAnsi="Arial"/>
                <w:sz w:val="18"/>
                <w:szCs w:val="18"/>
                <w:color w:val="auto"/>
              </w:rPr>
              <w:t>Accounts payable</w:t>
            </w:r>
          </w:p>
        </w:tc>
        <w:tc>
          <w:tcPr>
            <w:tcW w:w="1340" w:type="dxa"/>
            <w:vAlign w:val="bottom"/>
            <w:gridSpan w:val="2"/>
            <w:shd w:val="clear" w:color="auto" w:fill="E5FF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140" w:type="dxa"/>
            <w:vAlign w:val="bottom"/>
            <w:shd w:val="clear" w:color="auto" w:fill="E5FFFF"/>
          </w:tcPr>
          <w:p>
            <w:pPr>
              <w:jc w:val="right"/>
              <w:ind w:right="31"/>
              <w:spacing w:after="0" w:line="202" w:lineRule="exact"/>
              <w:rPr>
                <w:sz w:val="20"/>
                <w:szCs w:val="20"/>
                <w:color w:val="auto"/>
              </w:rPr>
            </w:pPr>
            <w:r>
              <w:rPr>
                <w:rFonts w:ascii="Arial" w:cs="Arial" w:eastAsia="Arial" w:hAnsi="Arial"/>
                <w:sz w:val="18"/>
                <w:szCs w:val="18"/>
                <w:color w:val="auto"/>
              </w:rPr>
              <w:t>6,808</w:t>
            </w:r>
          </w:p>
        </w:tc>
        <w:tc>
          <w:tcPr>
            <w:tcW w:w="480" w:type="dxa"/>
            <w:vAlign w:val="bottom"/>
            <w:gridSpan w:val="2"/>
            <w:shd w:val="clear" w:color="auto" w:fill="E5FF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120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6,584</w:t>
            </w:r>
          </w:p>
        </w:tc>
      </w:tr>
      <w:tr>
        <w:trPr>
          <w:trHeight w:val="203"/>
        </w:trPr>
        <w:tc>
          <w:tcPr>
            <w:tcW w:w="7260" w:type="dxa"/>
            <w:vAlign w:val="bottom"/>
          </w:tcPr>
          <w:p>
            <w:pPr>
              <w:ind w:left="180"/>
              <w:spacing w:after="0" w:line="202" w:lineRule="exact"/>
              <w:rPr>
                <w:sz w:val="20"/>
                <w:szCs w:val="20"/>
                <w:color w:val="auto"/>
              </w:rPr>
            </w:pPr>
            <w:r>
              <w:rPr>
                <w:rFonts w:ascii="Arial" w:cs="Arial" w:eastAsia="Arial" w:hAnsi="Arial"/>
                <w:sz w:val="18"/>
                <w:szCs w:val="18"/>
                <w:color w:val="auto"/>
              </w:rPr>
              <w:t>Commercial paper and other short-term borrowings</w:t>
            </w: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jc w:val="right"/>
              <w:ind w:right="31"/>
              <w:spacing w:after="0" w:line="202" w:lineRule="exact"/>
              <w:rPr>
                <w:sz w:val="20"/>
                <w:szCs w:val="20"/>
                <w:color w:val="auto"/>
              </w:rPr>
            </w:pPr>
            <w:r>
              <w:rPr>
                <w:rFonts w:ascii="Arial" w:cs="Arial" w:eastAsia="Arial" w:hAnsi="Arial"/>
                <w:sz w:val="18"/>
                <w:szCs w:val="18"/>
                <w:color w:val="auto"/>
              </w:rPr>
              <w:t>4,447</w:t>
            </w: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ind w:right="11"/>
              <w:spacing w:after="0" w:line="202" w:lineRule="exact"/>
              <w:rPr>
                <w:sz w:val="20"/>
                <w:szCs w:val="20"/>
                <w:color w:val="auto"/>
              </w:rPr>
            </w:pPr>
            <w:r>
              <w:rPr>
                <w:rFonts w:ascii="Arial" w:cs="Arial" w:eastAsia="Arial" w:hAnsi="Arial"/>
                <w:sz w:val="18"/>
                <w:szCs w:val="18"/>
                <w:color w:val="auto"/>
              </w:rPr>
              <w:t>3,958</w:t>
            </w:r>
          </w:p>
        </w:tc>
      </w:tr>
      <w:tr>
        <w:trPr>
          <w:trHeight w:val="203"/>
        </w:trPr>
        <w:tc>
          <w:tcPr>
            <w:tcW w:w="7260" w:type="dxa"/>
            <w:vAlign w:val="bottom"/>
            <w:shd w:val="clear" w:color="auto" w:fill="E5FFFF"/>
          </w:tcPr>
          <w:p>
            <w:pPr>
              <w:ind w:left="180"/>
              <w:spacing w:after="0" w:line="202" w:lineRule="exact"/>
              <w:rPr>
                <w:sz w:val="20"/>
                <w:szCs w:val="20"/>
                <w:color w:val="auto"/>
              </w:rPr>
            </w:pPr>
            <w:r>
              <w:rPr>
                <w:rFonts w:ascii="Arial" w:cs="Arial" w:eastAsia="Arial" w:hAnsi="Arial"/>
                <w:sz w:val="18"/>
                <w:szCs w:val="18"/>
                <w:color w:val="auto"/>
              </w:rPr>
              <w:t>Current maturities of long-term debt</w:t>
            </w:r>
          </w:p>
        </w:tc>
        <w:tc>
          <w:tcPr>
            <w:tcW w:w="110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1140" w:type="dxa"/>
            <w:vAlign w:val="bottom"/>
            <w:shd w:val="clear" w:color="auto" w:fill="E5FFFF"/>
          </w:tcPr>
          <w:p>
            <w:pPr>
              <w:jc w:val="right"/>
              <w:ind w:right="31"/>
              <w:spacing w:after="0" w:line="202" w:lineRule="exact"/>
              <w:rPr>
                <w:sz w:val="20"/>
                <w:szCs w:val="20"/>
                <w:color w:val="auto"/>
              </w:rPr>
            </w:pPr>
            <w:r>
              <w:rPr>
                <w:rFonts w:ascii="Arial" w:cs="Arial" w:eastAsia="Arial" w:hAnsi="Arial"/>
                <w:sz w:val="18"/>
                <w:szCs w:val="18"/>
                <w:color w:val="auto"/>
              </w:rPr>
              <w:t>133</w:t>
            </w:r>
          </w:p>
        </w:tc>
        <w:tc>
          <w:tcPr>
            <w:tcW w:w="32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120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1,351</w:t>
            </w:r>
          </w:p>
        </w:tc>
      </w:tr>
      <w:tr>
        <w:trPr>
          <w:trHeight w:val="216"/>
        </w:trPr>
        <w:tc>
          <w:tcPr>
            <w:tcW w:w="7260" w:type="dxa"/>
            <w:vAlign w:val="bottom"/>
            <w:tcBorders>
              <w:bottom w:val="single" w:sz="8" w:color="E5FFFF"/>
            </w:tcBorders>
          </w:tcPr>
          <w:p>
            <w:pPr>
              <w:ind w:left="180"/>
              <w:spacing w:after="0"/>
              <w:rPr>
                <w:sz w:val="20"/>
                <w:szCs w:val="20"/>
                <w:color w:val="auto"/>
              </w:rPr>
            </w:pPr>
            <w:r>
              <w:rPr>
                <w:rFonts w:ascii="Arial" w:cs="Arial" w:eastAsia="Arial" w:hAnsi="Arial"/>
                <w:sz w:val="18"/>
                <w:szCs w:val="18"/>
                <w:color w:val="auto"/>
              </w:rPr>
              <w:t>Accrued liabilities</w:t>
            </w:r>
          </w:p>
        </w:tc>
        <w:tc>
          <w:tcPr>
            <w:tcW w:w="1100" w:type="dxa"/>
            <w:vAlign w:val="bottom"/>
            <w:tcBorders>
              <w:bottom w:val="single" w:sz="8" w:color="E5FF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6,630</w:t>
            </w:r>
          </w:p>
        </w:tc>
        <w:tc>
          <w:tcPr>
            <w:tcW w:w="320" w:type="dxa"/>
            <w:vAlign w:val="bottom"/>
            <w:tcBorders>
              <w:bottom w:val="single" w:sz="8" w:color="E5FF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6,968</w:t>
            </w:r>
          </w:p>
        </w:tc>
      </w:tr>
      <w:tr>
        <w:trPr>
          <w:trHeight w:val="196"/>
        </w:trPr>
        <w:tc>
          <w:tcPr>
            <w:tcW w:w="7260" w:type="dxa"/>
            <w:vAlign w:val="bottom"/>
            <w:shd w:val="clear" w:color="auto" w:fill="E5FFFF"/>
          </w:tcPr>
          <w:p>
            <w:pPr>
              <w:ind w:left="360"/>
              <w:spacing w:after="0" w:line="196" w:lineRule="exact"/>
              <w:rPr>
                <w:sz w:val="20"/>
                <w:szCs w:val="20"/>
                <w:color w:val="auto"/>
              </w:rPr>
            </w:pPr>
            <w:r>
              <w:rPr>
                <w:rFonts w:ascii="Arial" w:cs="Arial" w:eastAsia="Arial" w:hAnsi="Arial"/>
                <w:sz w:val="18"/>
                <w:szCs w:val="18"/>
                <w:color w:val="auto"/>
              </w:rPr>
              <w:t>Total current liabilities</w:t>
            </w:r>
          </w:p>
        </w:tc>
        <w:tc>
          <w:tcPr>
            <w:tcW w:w="110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1140" w:type="dxa"/>
            <w:vAlign w:val="bottom"/>
            <w:shd w:val="clear" w:color="auto" w:fill="E5FFFF"/>
          </w:tcPr>
          <w:p>
            <w:pPr>
              <w:jc w:val="right"/>
              <w:ind w:right="31"/>
              <w:spacing w:after="0" w:line="196" w:lineRule="exact"/>
              <w:rPr>
                <w:sz w:val="20"/>
                <w:szCs w:val="20"/>
                <w:color w:val="auto"/>
              </w:rPr>
            </w:pPr>
            <w:r>
              <w:rPr>
                <w:rFonts w:ascii="Arial" w:cs="Arial" w:eastAsia="Arial" w:hAnsi="Arial"/>
                <w:sz w:val="18"/>
                <w:szCs w:val="18"/>
                <w:color w:val="auto"/>
              </w:rPr>
              <w:t>18,018</w:t>
            </w:r>
          </w:p>
        </w:tc>
        <w:tc>
          <w:tcPr>
            <w:tcW w:w="32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1200" w:type="dxa"/>
            <w:vAlign w:val="bottom"/>
            <w:shd w:val="clear" w:color="auto" w:fill="E5FFFF"/>
          </w:tcPr>
          <w:p>
            <w:pPr>
              <w:jc w:val="right"/>
              <w:ind w:right="11"/>
              <w:spacing w:after="0" w:line="196" w:lineRule="exact"/>
              <w:rPr>
                <w:sz w:val="20"/>
                <w:szCs w:val="20"/>
                <w:color w:val="auto"/>
              </w:rPr>
            </w:pPr>
            <w:r>
              <w:rPr>
                <w:rFonts w:ascii="Arial" w:cs="Arial" w:eastAsia="Arial" w:hAnsi="Arial"/>
                <w:sz w:val="18"/>
                <w:szCs w:val="18"/>
                <w:color w:val="auto"/>
              </w:rPr>
              <w:t>18,861</w:t>
            </w:r>
          </w:p>
        </w:tc>
      </w:tr>
      <w:tr>
        <w:trPr>
          <w:trHeight w:val="203"/>
        </w:trPr>
        <w:tc>
          <w:tcPr>
            <w:tcW w:w="7260" w:type="dxa"/>
            <w:vAlign w:val="bottom"/>
          </w:tcPr>
          <w:p>
            <w:pPr>
              <w:spacing w:after="0" w:line="202" w:lineRule="exact"/>
              <w:rPr>
                <w:sz w:val="20"/>
                <w:szCs w:val="20"/>
                <w:color w:val="auto"/>
              </w:rPr>
            </w:pPr>
            <w:r>
              <w:rPr>
                <w:rFonts w:ascii="Arial" w:cs="Arial" w:eastAsia="Arial" w:hAnsi="Arial"/>
                <w:sz w:val="18"/>
                <w:szCs w:val="18"/>
                <w:color w:val="auto"/>
              </w:rPr>
              <w:t>Long-term debt</w:t>
            </w: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jc w:val="right"/>
              <w:ind w:right="31"/>
              <w:spacing w:after="0" w:line="202" w:lineRule="exact"/>
              <w:rPr>
                <w:sz w:val="20"/>
                <w:szCs w:val="20"/>
                <w:color w:val="auto"/>
              </w:rPr>
            </w:pPr>
            <w:r>
              <w:rPr>
                <w:rFonts w:ascii="Arial" w:cs="Arial" w:eastAsia="Arial" w:hAnsi="Arial"/>
                <w:sz w:val="18"/>
                <w:szCs w:val="18"/>
                <w:color w:val="auto"/>
              </w:rPr>
              <w:t>12,504</w:t>
            </w: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ind w:right="11"/>
              <w:spacing w:after="0" w:line="202" w:lineRule="exact"/>
              <w:rPr>
                <w:sz w:val="20"/>
                <w:szCs w:val="20"/>
                <w:color w:val="auto"/>
              </w:rPr>
            </w:pPr>
            <w:r>
              <w:rPr>
                <w:rFonts w:ascii="Arial" w:cs="Arial" w:eastAsia="Arial" w:hAnsi="Arial"/>
                <w:sz w:val="18"/>
                <w:szCs w:val="18"/>
                <w:color w:val="auto"/>
              </w:rPr>
              <w:t>12,573</w:t>
            </w:r>
          </w:p>
        </w:tc>
      </w:tr>
      <w:tr>
        <w:trPr>
          <w:trHeight w:val="203"/>
        </w:trPr>
        <w:tc>
          <w:tcPr>
            <w:tcW w:w="726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Deferred income taxes</w:t>
            </w:r>
          </w:p>
        </w:tc>
        <w:tc>
          <w:tcPr>
            <w:tcW w:w="110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1140" w:type="dxa"/>
            <w:vAlign w:val="bottom"/>
            <w:shd w:val="clear" w:color="auto" w:fill="E5FFFF"/>
          </w:tcPr>
          <w:p>
            <w:pPr>
              <w:jc w:val="right"/>
              <w:ind w:right="31"/>
              <w:spacing w:after="0" w:line="202" w:lineRule="exact"/>
              <w:rPr>
                <w:sz w:val="20"/>
                <w:szCs w:val="20"/>
                <w:color w:val="auto"/>
              </w:rPr>
            </w:pPr>
            <w:r>
              <w:rPr>
                <w:rFonts w:ascii="Arial" w:cs="Arial" w:eastAsia="Arial" w:hAnsi="Arial"/>
                <w:sz w:val="18"/>
                <w:szCs w:val="18"/>
                <w:color w:val="auto"/>
              </w:rPr>
              <w:t>2,751</w:t>
            </w:r>
          </w:p>
        </w:tc>
        <w:tc>
          <w:tcPr>
            <w:tcW w:w="32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120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2,894</w:t>
            </w:r>
          </w:p>
        </w:tc>
      </w:tr>
      <w:tr>
        <w:trPr>
          <w:trHeight w:val="203"/>
        </w:trPr>
        <w:tc>
          <w:tcPr>
            <w:tcW w:w="7260" w:type="dxa"/>
            <w:vAlign w:val="bottom"/>
          </w:tcPr>
          <w:p>
            <w:pPr>
              <w:spacing w:after="0" w:line="202" w:lineRule="exact"/>
              <w:rPr>
                <w:sz w:val="20"/>
                <w:szCs w:val="20"/>
                <w:color w:val="auto"/>
              </w:rPr>
            </w:pPr>
            <w:r>
              <w:rPr>
                <w:rFonts w:ascii="Arial" w:cs="Arial" w:eastAsia="Arial" w:hAnsi="Arial"/>
                <w:sz w:val="18"/>
                <w:szCs w:val="18"/>
                <w:color w:val="auto"/>
              </w:rPr>
              <w:t>Postretirement benefit obligations other than pensions</w:t>
            </w: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jc w:val="right"/>
              <w:ind w:right="31"/>
              <w:spacing w:after="0" w:line="202" w:lineRule="exact"/>
              <w:rPr>
                <w:sz w:val="20"/>
                <w:szCs w:val="20"/>
                <w:color w:val="auto"/>
              </w:rPr>
            </w:pPr>
            <w:r>
              <w:rPr>
                <w:rFonts w:ascii="Arial" w:cs="Arial" w:eastAsia="Arial" w:hAnsi="Arial"/>
                <w:sz w:val="18"/>
                <w:szCs w:val="18"/>
                <w:color w:val="auto"/>
              </w:rPr>
              <w:t>497</w:t>
            </w: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ind w:right="11"/>
              <w:spacing w:after="0" w:line="202" w:lineRule="exact"/>
              <w:rPr>
                <w:sz w:val="20"/>
                <w:szCs w:val="20"/>
                <w:color w:val="auto"/>
              </w:rPr>
            </w:pPr>
            <w:r>
              <w:rPr>
                <w:rFonts w:ascii="Arial" w:cs="Arial" w:eastAsia="Arial" w:hAnsi="Arial"/>
                <w:sz w:val="18"/>
                <w:szCs w:val="18"/>
                <w:color w:val="auto"/>
              </w:rPr>
              <w:t>512</w:t>
            </w:r>
          </w:p>
        </w:tc>
      </w:tr>
      <w:tr>
        <w:trPr>
          <w:trHeight w:val="203"/>
        </w:trPr>
        <w:tc>
          <w:tcPr>
            <w:tcW w:w="726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Asbestos related liabilities</w:t>
            </w:r>
          </w:p>
        </w:tc>
        <w:tc>
          <w:tcPr>
            <w:tcW w:w="110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1140" w:type="dxa"/>
            <w:vAlign w:val="bottom"/>
            <w:shd w:val="clear" w:color="auto" w:fill="E5FFFF"/>
          </w:tcPr>
          <w:p>
            <w:pPr>
              <w:jc w:val="right"/>
              <w:ind w:right="31"/>
              <w:spacing w:after="0" w:line="202" w:lineRule="exact"/>
              <w:rPr>
                <w:sz w:val="20"/>
                <w:szCs w:val="20"/>
                <w:color w:val="auto"/>
              </w:rPr>
            </w:pPr>
            <w:r>
              <w:rPr>
                <w:rFonts w:ascii="Arial" w:cs="Arial" w:eastAsia="Arial" w:hAnsi="Arial"/>
                <w:sz w:val="18"/>
                <w:szCs w:val="18"/>
                <w:color w:val="auto"/>
              </w:rPr>
              <w:t>1,178</w:t>
            </w:r>
          </w:p>
        </w:tc>
        <w:tc>
          <w:tcPr>
            <w:tcW w:w="32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120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1,173</w:t>
            </w:r>
          </w:p>
        </w:tc>
      </w:tr>
      <w:tr>
        <w:trPr>
          <w:trHeight w:val="203"/>
        </w:trPr>
        <w:tc>
          <w:tcPr>
            <w:tcW w:w="7260" w:type="dxa"/>
            <w:vAlign w:val="bottom"/>
          </w:tcPr>
          <w:p>
            <w:pPr>
              <w:spacing w:after="0" w:line="202" w:lineRule="exact"/>
              <w:rPr>
                <w:sz w:val="20"/>
                <w:szCs w:val="20"/>
                <w:color w:val="auto"/>
              </w:rPr>
            </w:pPr>
            <w:r>
              <w:rPr>
                <w:rFonts w:ascii="Arial" w:cs="Arial" w:eastAsia="Arial" w:hAnsi="Arial"/>
                <w:sz w:val="18"/>
                <w:szCs w:val="18"/>
                <w:color w:val="auto"/>
              </w:rPr>
              <w:t>Other liabilities</w:t>
            </w: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jc w:val="right"/>
              <w:ind w:right="31"/>
              <w:spacing w:after="0" w:line="202" w:lineRule="exact"/>
              <w:rPr>
                <w:sz w:val="20"/>
                <w:szCs w:val="20"/>
                <w:color w:val="auto"/>
              </w:rPr>
            </w:pPr>
            <w:r>
              <w:rPr>
                <w:rFonts w:ascii="Arial" w:cs="Arial" w:eastAsia="Arial" w:hAnsi="Arial"/>
                <w:sz w:val="18"/>
                <w:szCs w:val="18"/>
                <w:color w:val="auto"/>
              </w:rPr>
              <w:t>7,134</w:t>
            </w: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ind w:right="11"/>
              <w:spacing w:after="0" w:line="202" w:lineRule="exact"/>
              <w:rPr>
                <w:sz w:val="20"/>
                <w:szCs w:val="20"/>
                <w:color w:val="auto"/>
              </w:rPr>
            </w:pPr>
            <w:r>
              <w:rPr>
                <w:rFonts w:ascii="Arial" w:cs="Arial" w:eastAsia="Arial" w:hAnsi="Arial"/>
                <w:sz w:val="18"/>
                <w:szCs w:val="18"/>
                <w:color w:val="auto"/>
              </w:rPr>
              <w:t>5,930</w:t>
            </w:r>
          </w:p>
        </w:tc>
      </w:tr>
      <w:tr>
        <w:trPr>
          <w:trHeight w:val="203"/>
        </w:trPr>
        <w:tc>
          <w:tcPr>
            <w:tcW w:w="726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Redeemable noncontrolling interest</w:t>
            </w:r>
          </w:p>
        </w:tc>
        <w:tc>
          <w:tcPr>
            <w:tcW w:w="110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1140" w:type="dxa"/>
            <w:vAlign w:val="bottom"/>
            <w:shd w:val="clear" w:color="auto" w:fill="E5FFFF"/>
          </w:tcPr>
          <w:p>
            <w:pPr>
              <w:jc w:val="right"/>
              <w:ind w:right="31"/>
              <w:spacing w:after="0" w:line="202" w:lineRule="exact"/>
              <w:rPr>
                <w:sz w:val="20"/>
                <w:szCs w:val="20"/>
                <w:color w:val="auto"/>
              </w:rPr>
            </w:pPr>
            <w:r>
              <w:rPr>
                <w:rFonts w:ascii="Arial" w:cs="Arial" w:eastAsia="Arial" w:hAnsi="Arial"/>
                <w:sz w:val="18"/>
                <w:szCs w:val="18"/>
                <w:color w:val="auto"/>
              </w:rPr>
              <w:t>5</w:t>
            </w:r>
          </w:p>
        </w:tc>
        <w:tc>
          <w:tcPr>
            <w:tcW w:w="32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120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5</w:t>
            </w:r>
          </w:p>
        </w:tc>
      </w:tr>
      <w:tr>
        <w:trPr>
          <w:trHeight w:val="203"/>
        </w:trPr>
        <w:tc>
          <w:tcPr>
            <w:tcW w:w="7260" w:type="dxa"/>
            <w:vAlign w:val="bottom"/>
          </w:tcPr>
          <w:p>
            <w:pPr>
              <w:spacing w:after="0" w:line="202" w:lineRule="exact"/>
              <w:rPr>
                <w:sz w:val="20"/>
                <w:szCs w:val="20"/>
                <w:color w:val="auto"/>
              </w:rPr>
            </w:pPr>
            <w:r>
              <w:rPr>
                <w:rFonts w:ascii="Arial" w:cs="Arial" w:eastAsia="Arial" w:hAnsi="Arial"/>
                <w:sz w:val="18"/>
                <w:szCs w:val="18"/>
                <w:b w:val="1"/>
                <w:bCs w:val="1"/>
                <w:color w:val="auto"/>
              </w:rPr>
              <w:t>SHAREOWNERS’ EQUITY</w:t>
            </w: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726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Capital - common stock issued</w:t>
            </w:r>
          </w:p>
        </w:tc>
        <w:tc>
          <w:tcPr>
            <w:tcW w:w="110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1140" w:type="dxa"/>
            <w:vAlign w:val="bottom"/>
            <w:shd w:val="clear" w:color="auto" w:fill="E5FFFF"/>
          </w:tcPr>
          <w:p>
            <w:pPr>
              <w:jc w:val="right"/>
              <w:ind w:right="31"/>
              <w:spacing w:after="0" w:line="202" w:lineRule="exact"/>
              <w:rPr>
                <w:sz w:val="20"/>
                <w:szCs w:val="20"/>
                <w:color w:val="auto"/>
              </w:rPr>
            </w:pPr>
            <w:r>
              <w:rPr>
                <w:rFonts w:ascii="Arial" w:cs="Arial" w:eastAsia="Arial" w:hAnsi="Arial"/>
                <w:sz w:val="18"/>
                <w:szCs w:val="18"/>
                <w:color w:val="auto"/>
              </w:rPr>
              <w:t>958</w:t>
            </w:r>
          </w:p>
        </w:tc>
        <w:tc>
          <w:tcPr>
            <w:tcW w:w="32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120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958</w:t>
            </w:r>
          </w:p>
        </w:tc>
      </w:tr>
      <w:tr>
        <w:trPr>
          <w:trHeight w:val="203"/>
        </w:trPr>
        <w:tc>
          <w:tcPr>
            <w:tcW w:w="7260" w:type="dxa"/>
            <w:vAlign w:val="bottom"/>
          </w:tcPr>
          <w:p>
            <w:pPr>
              <w:ind w:left="600"/>
              <w:spacing w:after="0" w:line="202" w:lineRule="exact"/>
              <w:rPr>
                <w:sz w:val="20"/>
                <w:szCs w:val="20"/>
                <w:color w:val="auto"/>
              </w:rPr>
            </w:pPr>
            <w:r>
              <w:rPr>
                <w:rFonts w:ascii="Arial" w:cs="Arial" w:eastAsia="Arial" w:hAnsi="Arial"/>
                <w:sz w:val="18"/>
                <w:szCs w:val="18"/>
                <w:color w:val="auto"/>
              </w:rPr>
              <w:t>- additional paid-in capital</w:t>
            </w: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jc w:val="right"/>
              <w:ind w:right="31"/>
              <w:spacing w:after="0" w:line="202" w:lineRule="exact"/>
              <w:rPr>
                <w:sz w:val="20"/>
                <w:szCs w:val="20"/>
                <w:color w:val="auto"/>
              </w:rPr>
            </w:pPr>
            <w:r>
              <w:rPr>
                <w:rFonts w:ascii="Arial" w:cs="Arial" w:eastAsia="Arial" w:hAnsi="Arial"/>
                <w:sz w:val="18"/>
                <w:szCs w:val="18"/>
                <w:color w:val="auto"/>
              </w:rPr>
              <w:t>6,317</w:t>
            </w: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ind w:right="11"/>
              <w:spacing w:after="0" w:line="202" w:lineRule="exact"/>
              <w:rPr>
                <w:sz w:val="20"/>
                <w:szCs w:val="20"/>
                <w:color w:val="auto"/>
              </w:rPr>
            </w:pPr>
            <w:r>
              <w:rPr>
                <w:rFonts w:ascii="Arial" w:cs="Arial" w:eastAsia="Arial" w:hAnsi="Arial"/>
                <w:sz w:val="18"/>
                <w:szCs w:val="18"/>
                <w:color w:val="auto"/>
              </w:rPr>
              <w:t>6,212</w:t>
            </w:r>
          </w:p>
        </w:tc>
      </w:tr>
      <w:tr>
        <w:trPr>
          <w:trHeight w:val="203"/>
        </w:trPr>
        <w:tc>
          <w:tcPr>
            <w:tcW w:w="726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Common stock held in treasury, at cost</w:t>
            </w:r>
          </w:p>
        </w:tc>
        <w:tc>
          <w:tcPr>
            <w:tcW w:w="110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114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(17,557)</w:t>
            </w:r>
          </w:p>
        </w:tc>
        <w:tc>
          <w:tcPr>
            <w:tcW w:w="32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120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(15,914)</w:t>
            </w:r>
          </w:p>
        </w:tc>
      </w:tr>
      <w:tr>
        <w:trPr>
          <w:trHeight w:val="203"/>
        </w:trPr>
        <w:tc>
          <w:tcPr>
            <w:tcW w:w="7260" w:type="dxa"/>
            <w:vAlign w:val="bottom"/>
          </w:tcPr>
          <w:p>
            <w:pPr>
              <w:spacing w:after="0" w:line="202" w:lineRule="exact"/>
              <w:rPr>
                <w:sz w:val="20"/>
                <w:szCs w:val="20"/>
                <w:color w:val="auto"/>
              </w:rPr>
            </w:pPr>
            <w:r>
              <w:rPr>
                <w:rFonts w:ascii="Arial" w:cs="Arial" w:eastAsia="Arial" w:hAnsi="Arial"/>
                <w:sz w:val="18"/>
                <w:szCs w:val="18"/>
                <w:color w:val="auto"/>
              </w:rPr>
              <w:t>Accumulated other comprehensive loss</w:t>
            </w: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(2,222)</w:t>
            </w: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(2,235)</w:t>
            </w:r>
          </w:p>
        </w:tc>
      </w:tr>
      <w:tr>
        <w:trPr>
          <w:trHeight w:val="216"/>
        </w:trPr>
        <w:tc>
          <w:tcPr>
            <w:tcW w:w="7260" w:type="dxa"/>
            <w:vAlign w:val="bottom"/>
            <w:shd w:val="clear" w:color="auto" w:fill="E5FFFF"/>
          </w:tcPr>
          <w:p>
            <w:pPr>
              <w:spacing w:after="0"/>
              <w:rPr>
                <w:sz w:val="20"/>
                <w:szCs w:val="20"/>
                <w:color w:val="auto"/>
              </w:rPr>
            </w:pPr>
            <w:r>
              <w:rPr>
                <w:rFonts w:ascii="Arial" w:cs="Arial" w:eastAsia="Arial" w:hAnsi="Arial"/>
                <w:sz w:val="18"/>
                <w:szCs w:val="18"/>
                <w:color w:val="auto"/>
              </w:rPr>
              <w:t>Retained earnings</w:t>
            </w:r>
          </w:p>
        </w:tc>
        <w:tc>
          <w:tcPr>
            <w:tcW w:w="1100" w:type="dxa"/>
            <w:vAlign w:val="bottom"/>
            <w:shd w:val="clear" w:color="auto" w:fill="E5FFFF"/>
          </w:tcPr>
          <w:p>
            <w:pPr>
              <w:spacing w:after="0"/>
              <w:rPr>
                <w:sz w:val="18"/>
                <w:szCs w:val="18"/>
                <w:color w:val="auto"/>
              </w:rPr>
            </w:pPr>
          </w:p>
        </w:tc>
        <w:tc>
          <w:tcPr>
            <w:tcW w:w="240" w:type="dxa"/>
            <w:vAlign w:val="bottom"/>
            <w:tcBorders>
              <w:bottom w:val="single" w:sz="8" w:color="auto"/>
            </w:tcBorders>
            <w:shd w:val="clear" w:color="auto" w:fill="E5FFFF"/>
          </w:tcPr>
          <w:p>
            <w:pPr>
              <w:spacing w:after="0"/>
              <w:rPr>
                <w:sz w:val="18"/>
                <w:szCs w:val="18"/>
                <w:color w:val="auto"/>
              </w:rPr>
            </w:pPr>
          </w:p>
        </w:tc>
        <w:tc>
          <w:tcPr>
            <w:tcW w:w="1140" w:type="dxa"/>
            <w:vAlign w:val="bottom"/>
            <w:tcBorders>
              <w:bottom w:val="single" w:sz="8" w:color="auto"/>
            </w:tcBorders>
            <w:shd w:val="clear" w:color="auto" w:fill="E5FFFF"/>
          </w:tcPr>
          <w:p>
            <w:pPr>
              <w:jc w:val="right"/>
              <w:ind w:right="31"/>
              <w:spacing w:after="0"/>
              <w:rPr>
                <w:sz w:val="20"/>
                <w:szCs w:val="20"/>
                <w:color w:val="auto"/>
              </w:rPr>
            </w:pPr>
            <w:r>
              <w:rPr>
                <w:rFonts w:ascii="Arial" w:cs="Arial" w:eastAsia="Arial" w:hAnsi="Arial"/>
                <w:sz w:val="18"/>
                <w:szCs w:val="18"/>
                <w:color w:val="auto"/>
              </w:rPr>
              <w:t>30,104</w:t>
            </w:r>
          </w:p>
        </w:tc>
        <w:tc>
          <w:tcPr>
            <w:tcW w:w="320" w:type="dxa"/>
            <w:vAlign w:val="bottom"/>
            <w:shd w:val="clear" w:color="auto" w:fill="E5FFFF"/>
          </w:tcPr>
          <w:p>
            <w:pPr>
              <w:spacing w:after="0"/>
              <w:rPr>
                <w:sz w:val="18"/>
                <w:szCs w:val="18"/>
                <w:color w:val="auto"/>
              </w:rPr>
            </w:pPr>
          </w:p>
        </w:tc>
        <w:tc>
          <w:tcPr>
            <w:tcW w:w="160" w:type="dxa"/>
            <w:vAlign w:val="bottom"/>
            <w:tcBorders>
              <w:bottom w:val="single" w:sz="8" w:color="auto"/>
            </w:tcBorders>
            <w:shd w:val="clear" w:color="auto" w:fill="E5FFFF"/>
          </w:tcPr>
          <w:p>
            <w:pPr>
              <w:spacing w:after="0"/>
              <w:rPr>
                <w:sz w:val="18"/>
                <w:szCs w:val="18"/>
                <w:color w:val="auto"/>
              </w:rPr>
            </w:pPr>
          </w:p>
        </w:tc>
        <w:tc>
          <w:tcPr>
            <w:tcW w:w="1200" w:type="dxa"/>
            <w:vAlign w:val="bottom"/>
            <w:tcBorders>
              <w:bottom w:val="single" w:sz="8" w:color="auto"/>
            </w:tcBorders>
            <w:shd w:val="clear" w:color="auto" w:fill="E5FFFF"/>
          </w:tcPr>
          <w:p>
            <w:pPr>
              <w:jc w:val="right"/>
              <w:ind w:right="11"/>
              <w:spacing w:after="0"/>
              <w:rPr>
                <w:sz w:val="20"/>
                <w:szCs w:val="20"/>
                <w:color w:val="auto"/>
              </w:rPr>
            </w:pPr>
            <w:r>
              <w:rPr>
                <w:rFonts w:ascii="Arial" w:cs="Arial" w:eastAsia="Arial" w:hAnsi="Arial"/>
                <w:sz w:val="18"/>
                <w:szCs w:val="18"/>
                <w:color w:val="auto"/>
              </w:rPr>
              <w:t>28,255</w:t>
            </w:r>
          </w:p>
        </w:tc>
      </w:tr>
      <w:tr>
        <w:trPr>
          <w:trHeight w:val="196"/>
        </w:trPr>
        <w:tc>
          <w:tcPr>
            <w:tcW w:w="7260" w:type="dxa"/>
            <w:vAlign w:val="bottom"/>
          </w:tcPr>
          <w:p>
            <w:pPr>
              <w:ind w:left="180"/>
              <w:spacing w:after="0" w:line="196" w:lineRule="exact"/>
              <w:rPr>
                <w:sz w:val="20"/>
                <w:szCs w:val="20"/>
                <w:color w:val="auto"/>
              </w:rPr>
            </w:pPr>
            <w:r>
              <w:rPr>
                <w:rFonts w:ascii="Arial" w:cs="Arial" w:eastAsia="Arial" w:hAnsi="Arial"/>
                <w:sz w:val="18"/>
                <w:szCs w:val="18"/>
                <w:color w:val="auto"/>
              </w:rPr>
              <w:t>Total Honeywell shareowners’ equity</w:t>
            </w: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jc w:val="right"/>
              <w:ind w:right="31"/>
              <w:spacing w:after="0" w:line="196" w:lineRule="exact"/>
              <w:rPr>
                <w:sz w:val="20"/>
                <w:szCs w:val="20"/>
                <w:color w:val="auto"/>
              </w:rPr>
            </w:pPr>
            <w:r>
              <w:rPr>
                <w:rFonts w:ascii="Arial" w:cs="Arial" w:eastAsia="Arial" w:hAnsi="Arial"/>
                <w:sz w:val="18"/>
                <w:szCs w:val="18"/>
                <w:color w:val="auto"/>
              </w:rPr>
              <w:t>17,600</w:t>
            </w: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ind w:right="11"/>
              <w:spacing w:after="0" w:line="196" w:lineRule="exact"/>
              <w:rPr>
                <w:sz w:val="20"/>
                <w:szCs w:val="20"/>
                <w:color w:val="auto"/>
              </w:rPr>
            </w:pPr>
            <w:r>
              <w:rPr>
                <w:rFonts w:ascii="Arial" w:cs="Arial" w:eastAsia="Arial" w:hAnsi="Arial"/>
                <w:sz w:val="18"/>
                <w:szCs w:val="18"/>
                <w:color w:val="auto"/>
              </w:rPr>
              <w:t>17,276</w:t>
            </w:r>
          </w:p>
        </w:tc>
      </w:tr>
      <w:tr>
        <w:trPr>
          <w:trHeight w:val="216"/>
        </w:trPr>
        <w:tc>
          <w:tcPr>
            <w:tcW w:w="7260" w:type="dxa"/>
            <w:vAlign w:val="bottom"/>
            <w:shd w:val="clear" w:color="auto" w:fill="E5FFFF"/>
          </w:tcPr>
          <w:p>
            <w:pPr>
              <w:spacing w:after="0"/>
              <w:rPr>
                <w:sz w:val="20"/>
                <w:szCs w:val="20"/>
                <w:color w:val="auto"/>
              </w:rPr>
            </w:pPr>
            <w:r>
              <w:rPr>
                <w:rFonts w:ascii="Arial" w:cs="Arial" w:eastAsia="Arial" w:hAnsi="Arial"/>
                <w:sz w:val="18"/>
                <w:szCs w:val="18"/>
                <w:color w:val="auto"/>
              </w:rPr>
              <w:t>Noncontrolling interest</w:t>
            </w:r>
          </w:p>
        </w:tc>
        <w:tc>
          <w:tcPr>
            <w:tcW w:w="1100" w:type="dxa"/>
            <w:vAlign w:val="bottom"/>
            <w:shd w:val="clear" w:color="auto" w:fill="E5FFFF"/>
          </w:tcPr>
          <w:p>
            <w:pPr>
              <w:spacing w:after="0"/>
              <w:rPr>
                <w:sz w:val="18"/>
                <w:szCs w:val="18"/>
                <w:color w:val="auto"/>
              </w:rPr>
            </w:pPr>
          </w:p>
        </w:tc>
        <w:tc>
          <w:tcPr>
            <w:tcW w:w="240" w:type="dxa"/>
            <w:vAlign w:val="bottom"/>
            <w:tcBorders>
              <w:bottom w:val="single" w:sz="8" w:color="auto"/>
            </w:tcBorders>
            <w:shd w:val="clear" w:color="auto" w:fill="E5FFFF"/>
          </w:tcPr>
          <w:p>
            <w:pPr>
              <w:spacing w:after="0"/>
              <w:rPr>
                <w:sz w:val="18"/>
                <w:szCs w:val="18"/>
                <w:color w:val="auto"/>
              </w:rPr>
            </w:pPr>
          </w:p>
        </w:tc>
        <w:tc>
          <w:tcPr>
            <w:tcW w:w="1140" w:type="dxa"/>
            <w:vAlign w:val="bottom"/>
            <w:tcBorders>
              <w:bottom w:val="single" w:sz="8" w:color="auto"/>
            </w:tcBorders>
            <w:shd w:val="clear" w:color="auto" w:fill="E5FFFF"/>
          </w:tcPr>
          <w:p>
            <w:pPr>
              <w:jc w:val="right"/>
              <w:ind w:right="31"/>
              <w:spacing w:after="0"/>
              <w:rPr>
                <w:sz w:val="20"/>
                <w:szCs w:val="20"/>
                <w:color w:val="auto"/>
              </w:rPr>
            </w:pPr>
            <w:r>
              <w:rPr>
                <w:rFonts w:ascii="Arial" w:cs="Arial" w:eastAsia="Arial" w:hAnsi="Arial"/>
                <w:sz w:val="18"/>
                <w:szCs w:val="18"/>
                <w:color w:val="auto"/>
              </w:rPr>
              <w:t>173</w:t>
            </w:r>
          </w:p>
        </w:tc>
        <w:tc>
          <w:tcPr>
            <w:tcW w:w="320" w:type="dxa"/>
            <w:vAlign w:val="bottom"/>
            <w:shd w:val="clear" w:color="auto" w:fill="E5FFFF"/>
          </w:tcPr>
          <w:p>
            <w:pPr>
              <w:spacing w:after="0"/>
              <w:rPr>
                <w:sz w:val="18"/>
                <w:szCs w:val="18"/>
                <w:color w:val="auto"/>
              </w:rPr>
            </w:pPr>
          </w:p>
        </w:tc>
        <w:tc>
          <w:tcPr>
            <w:tcW w:w="160" w:type="dxa"/>
            <w:vAlign w:val="bottom"/>
            <w:tcBorders>
              <w:bottom w:val="single" w:sz="8" w:color="auto"/>
            </w:tcBorders>
            <w:shd w:val="clear" w:color="auto" w:fill="E5FFFF"/>
          </w:tcPr>
          <w:p>
            <w:pPr>
              <w:spacing w:after="0"/>
              <w:rPr>
                <w:sz w:val="18"/>
                <w:szCs w:val="18"/>
                <w:color w:val="auto"/>
              </w:rPr>
            </w:pPr>
          </w:p>
        </w:tc>
        <w:tc>
          <w:tcPr>
            <w:tcW w:w="1200" w:type="dxa"/>
            <w:vAlign w:val="bottom"/>
            <w:tcBorders>
              <w:bottom w:val="single" w:sz="8" w:color="auto"/>
            </w:tcBorders>
            <w:shd w:val="clear" w:color="auto" w:fill="E5FFFF"/>
          </w:tcPr>
          <w:p>
            <w:pPr>
              <w:jc w:val="right"/>
              <w:ind w:right="11"/>
              <w:spacing w:after="0"/>
              <w:rPr>
                <w:sz w:val="20"/>
                <w:szCs w:val="20"/>
                <w:color w:val="auto"/>
              </w:rPr>
            </w:pPr>
            <w:r>
              <w:rPr>
                <w:rFonts w:ascii="Arial" w:cs="Arial" w:eastAsia="Arial" w:hAnsi="Arial"/>
                <w:sz w:val="18"/>
                <w:szCs w:val="18"/>
                <w:color w:val="auto"/>
              </w:rPr>
              <w:t>163</w:t>
            </w:r>
          </w:p>
        </w:tc>
      </w:tr>
      <w:tr>
        <w:trPr>
          <w:trHeight w:val="196"/>
        </w:trPr>
        <w:tc>
          <w:tcPr>
            <w:tcW w:w="7260" w:type="dxa"/>
            <w:vAlign w:val="bottom"/>
            <w:tcBorders>
              <w:bottom w:val="single" w:sz="8" w:color="E5FFFF"/>
            </w:tcBorders>
          </w:tcPr>
          <w:p>
            <w:pPr>
              <w:ind w:left="180"/>
              <w:spacing w:after="0" w:line="196" w:lineRule="exact"/>
              <w:rPr>
                <w:sz w:val="20"/>
                <w:szCs w:val="20"/>
                <w:color w:val="auto"/>
              </w:rPr>
            </w:pPr>
            <w:r>
              <w:rPr>
                <w:rFonts w:ascii="Arial" w:cs="Arial" w:eastAsia="Arial" w:hAnsi="Arial"/>
                <w:sz w:val="18"/>
                <w:szCs w:val="18"/>
                <w:color w:val="auto"/>
              </w:rPr>
              <w:t>Total shareowners’ equity</w:t>
            </w:r>
          </w:p>
        </w:tc>
        <w:tc>
          <w:tcPr>
            <w:tcW w:w="1100" w:type="dxa"/>
            <w:vAlign w:val="bottom"/>
            <w:tcBorders>
              <w:bottom w:val="single" w:sz="8" w:color="E5FF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31"/>
              <w:spacing w:after="0" w:line="196" w:lineRule="exact"/>
              <w:rPr>
                <w:sz w:val="20"/>
                <w:szCs w:val="20"/>
                <w:color w:val="auto"/>
              </w:rPr>
            </w:pPr>
            <w:r>
              <w:rPr>
                <w:rFonts w:ascii="Arial" w:cs="Arial" w:eastAsia="Arial" w:hAnsi="Arial"/>
                <w:sz w:val="18"/>
                <w:szCs w:val="18"/>
                <w:color w:val="auto"/>
              </w:rPr>
              <w:t>17,773</w:t>
            </w:r>
          </w:p>
        </w:tc>
        <w:tc>
          <w:tcPr>
            <w:tcW w:w="320" w:type="dxa"/>
            <w:vAlign w:val="bottom"/>
            <w:tcBorders>
              <w:bottom w:val="single" w:sz="8" w:color="E5FF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11"/>
              <w:spacing w:after="0" w:line="196" w:lineRule="exact"/>
              <w:rPr>
                <w:sz w:val="20"/>
                <w:szCs w:val="20"/>
                <w:color w:val="auto"/>
              </w:rPr>
            </w:pPr>
            <w:r>
              <w:rPr>
                <w:rFonts w:ascii="Arial" w:cs="Arial" w:eastAsia="Arial" w:hAnsi="Arial"/>
                <w:sz w:val="18"/>
                <w:szCs w:val="18"/>
                <w:color w:val="auto"/>
              </w:rPr>
              <w:t>17,439</w:t>
            </w:r>
          </w:p>
        </w:tc>
      </w:tr>
      <w:tr>
        <w:trPr>
          <w:trHeight w:val="210"/>
        </w:trPr>
        <w:tc>
          <w:tcPr>
            <w:tcW w:w="7260" w:type="dxa"/>
            <w:vAlign w:val="bottom"/>
            <w:shd w:val="clear" w:color="auto" w:fill="E5FFFF"/>
          </w:tcPr>
          <w:p>
            <w:pPr>
              <w:ind w:left="180"/>
              <w:spacing w:after="0" w:line="197" w:lineRule="exact"/>
              <w:rPr>
                <w:sz w:val="20"/>
                <w:szCs w:val="20"/>
                <w:color w:val="auto"/>
              </w:rPr>
            </w:pPr>
            <w:r>
              <w:rPr>
                <w:rFonts w:ascii="Arial" w:cs="Arial" w:eastAsia="Arial" w:hAnsi="Arial"/>
                <w:sz w:val="18"/>
                <w:szCs w:val="18"/>
                <w:color w:val="auto"/>
              </w:rPr>
              <w:t>Total liabilities, redeemable noncontrolling interest and shareowners’ equity</w:t>
            </w:r>
          </w:p>
        </w:tc>
        <w:tc>
          <w:tcPr>
            <w:tcW w:w="1340" w:type="dxa"/>
            <w:vAlign w:val="bottom"/>
            <w:gridSpan w:val="2"/>
            <w:shd w:val="clear" w:color="auto" w:fill="E5FFFF"/>
          </w:tcPr>
          <w:p>
            <w:pPr>
              <w:jc w:val="right"/>
              <w:ind w:right="1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E5FFFF"/>
          </w:tcPr>
          <w:p>
            <w:pPr>
              <w:jc w:val="right"/>
              <w:ind w:right="31"/>
              <w:spacing w:after="0"/>
              <w:rPr>
                <w:sz w:val="20"/>
                <w:szCs w:val="20"/>
                <w:color w:val="auto"/>
              </w:rPr>
            </w:pPr>
            <w:r>
              <w:rPr>
                <w:rFonts w:ascii="Arial" w:cs="Arial" w:eastAsia="Arial" w:hAnsi="Arial"/>
                <w:sz w:val="18"/>
                <w:szCs w:val="18"/>
                <w:color w:val="auto"/>
              </w:rPr>
              <w:t>59,860</w:t>
            </w:r>
          </w:p>
        </w:tc>
        <w:tc>
          <w:tcPr>
            <w:tcW w:w="480" w:type="dxa"/>
            <w:vAlign w:val="bottom"/>
            <w:gridSpan w:val="2"/>
            <w:shd w:val="clear" w:color="auto" w:fill="E5FF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shd w:val="clear" w:color="auto" w:fill="E5FFFF"/>
          </w:tcPr>
          <w:p>
            <w:pPr>
              <w:jc w:val="right"/>
              <w:ind w:right="11"/>
              <w:spacing w:after="0"/>
              <w:rPr>
                <w:sz w:val="20"/>
                <w:szCs w:val="20"/>
                <w:color w:val="auto"/>
              </w:rPr>
            </w:pPr>
            <w:r>
              <w:rPr>
                <w:rFonts w:ascii="Arial" w:cs="Arial" w:eastAsia="Arial" w:hAnsi="Arial"/>
                <w:sz w:val="18"/>
                <w:szCs w:val="18"/>
                <w:color w:val="auto"/>
              </w:rPr>
              <w:t>59,387</w:t>
            </w:r>
          </w:p>
        </w:tc>
      </w:tr>
      <w:tr>
        <w:trPr>
          <w:trHeight w:val="20"/>
        </w:trPr>
        <w:tc>
          <w:tcPr>
            <w:tcW w:w="7260" w:type="dxa"/>
            <w:vAlign w:val="bottom"/>
            <w:tcBorders>
              <w:top w:val="single" w:sz="8" w:color="E5FFFF"/>
            </w:tcBorders>
          </w:tcPr>
          <w:p>
            <w:pPr>
              <w:spacing w:after="0" w:line="20" w:lineRule="exact"/>
              <w:rPr>
                <w:sz w:val="1"/>
                <w:szCs w:val="1"/>
                <w:color w:val="auto"/>
              </w:rPr>
            </w:pPr>
          </w:p>
        </w:tc>
        <w:tc>
          <w:tcPr>
            <w:tcW w:w="1100" w:type="dxa"/>
            <w:vAlign w:val="bottom"/>
            <w:tcBorders>
              <w:top w:val="single" w:sz="8" w:color="E5FF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E5FF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Notes to Consolidated Financial Statements are an integral part of this statement.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22"/>
          <w:szCs w:val="22"/>
          <w:b w:val="1"/>
          <w:bCs w:val="1"/>
          <w:color w:val="auto"/>
        </w:rPr>
        <w:t>Honeywell International Inc.</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Cash Flows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80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80" w:type="dxa"/>
            <w:vAlign w:val="bottom"/>
            <w:gridSpan w:val="4"/>
          </w:tcPr>
          <w:p>
            <w:pPr>
              <w:jc w:val="right"/>
              <w:ind w:right="20"/>
              <w:spacing w:after="0"/>
              <w:rPr>
                <w:sz w:val="20"/>
                <w:szCs w:val="20"/>
                <w:color w:val="auto"/>
              </w:rPr>
            </w:pPr>
            <w:r>
              <w:rPr>
                <w:rFonts w:ascii="Arial" w:cs="Arial" w:eastAsia="Arial" w:hAnsi="Arial"/>
                <w:sz w:val="14"/>
                <w:szCs w:val="14"/>
                <w:b w:val="1"/>
                <w:bCs w:val="1"/>
                <w:color w:val="auto"/>
              </w:rPr>
              <w:t>Six Months Ended</w:t>
            </w: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5"/>
        </w:trPr>
        <w:tc>
          <w:tcPr>
            <w:tcW w:w="80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gridSpan w:val="4"/>
          </w:tcPr>
          <w:p>
            <w:pPr>
              <w:jc w:val="right"/>
              <w:ind w:right="360"/>
              <w:spacing w:after="0"/>
              <w:rPr>
                <w:sz w:val="20"/>
                <w:szCs w:val="20"/>
                <w:color w:val="auto"/>
              </w:rPr>
            </w:pPr>
            <w:r>
              <w:rPr>
                <w:rFonts w:ascii="Arial" w:cs="Arial" w:eastAsia="Arial" w:hAnsi="Arial"/>
                <w:sz w:val="14"/>
                <w:szCs w:val="14"/>
                <w:b w:val="1"/>
                <w:bCs w:val="1"/>
                <w:color w:val="auto"/>
              </w:rPr>
              <w:t>June 30,</w:t>
            </w:r>
          </w:p>
        </w:tc>
        <w:tc>
          <w:tcPr>
            <w:tcW w:w="7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r>
      <w:tr>
        <w:trPr>
          <w:trHeight w:val="169"/>
        </w:trPr>
        <w:tc>
          <w:tcPr>
            <w:tcW w:w="80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330"/>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14"/>
                <w:szCs w:val="14"/>
                <w:color w:val="auto"/>
              </w:rPr>
            </w:pPr>
          </w:p>
        </w:tc>
      </w:tr>
      <w:tr>
        <w:trPr>
          <w:trHeight w:val="156"/>
        </w:trPr>
        <w:tc>
          <w:tcPr>
            <w:tcW w:w="80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80" w:type="dxa"/>
            <w:vAlign w:val="bottom"/>
            <w:gridSpan w:val="4"/>
          </w:tcPr>
          <w:p>
            <w:pPr>
              <w:jc w:val="right"/>
              <w:ind w:right="40"/>
              <w:spacing w:after="0" w:line="155" w:lineRule="exact"/>
              <w:rPr>
                <w:sz w:val="20"/>
                <w:szCs w:val="20"/>
                <w:color w:val="auto"/>
              </w:rPr>
            </w:pPr>
            <w:r>
              <w:rPr>
                <w:rFonts w:ascii="Arial" w:cs="Arial" w:eastAsia="Arial" w:hAnsi="Arial"/>
                <w:sz w:val="14"/>
                <w:szCs w:val="14"/>
                <w:b w:val="1"/>
                <w:bCs w:val="1"/>
                <w:color w:val="auto"/>
              </w:rPr>
              <w:t>(Dollars in millions)</w:t>
            </w: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03"/>
        </w:trPr>
        <w:tc>
          <w:tcPr>
            <w:tcW w:w="8080" w:type="dxa"/>
            <w:vAlign w:val="bottom"/>
            <w:shd w:val="clear" w:color="auto" w:fill="E5FFFF"/>
          </w:tcPr>
          <w:p>
            <w:pPr>
              <w:spacing w:after="0" w:line="202" w:lineRule="exact"/>
              <w:rPr>
                <w:sz w:val="20"/>
                <w:szCs w:val="20"/>
                <w:color w:val="auto"/>
              </w:rPr>
            </w:pPr>
            <w:r>
              <w:rPr>
                <w:rFonts w:ascii="Arial" w:cs="Arial" w:eastAsia="Arial" w:hAnsi="Arial"/>
                <w:sz w:val="18"/>
                <w:szCs w:val="18"/>
                <w:b w:val="1"/>
                <w:bCs w:val="1"/>
                <w:color w:val="auto"/>
              </w:rPr>
              <w:t>Cash flows from operating activities:</w:t>
            </w:r>
          </w:p>
        </w:tc>
        <w:tc>
          <w:tcPr>
            <w:tcW w:w="28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96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480" w:type="dxa"/>
            <w:vAlign w:val="bottom"/>
            <w:shd w:val="clear" w:color="auto" w:fill="E5FFFF"/>
          </w:tcPr>
          <w:p>
            <w:pPr>
              <w:spacing w:after="0"/>
              <w:rPr>
                <w:sz w:val="17"/>
                <w:szCs w:val="17"/>
                <w:color w:val="auto"/>
              </w:rPr>
            </w:pPr>
          </w:p>
        </w:tc>
        <w:tc>
          <w:tcPr>
            <w:tcW w:w="78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r>
      <w:tr>
        <w:trPr>
          <w:trHeight w:val="203"/>
        </w:trPr>
        <w:tc>
          <w:tcPr>
            <w:tcW w:w="8080" w:type="dxa"/>
            <w:vAlign w:val="bottom"/>
          </w:tcPr>
          <w:p>
            <w:pPr>
              <w:ind w:left="180"/>
              <w:spacing w:after="0" w:line="202" w:lineRule="exact"/>
              <w:rPr>
                <w:sz w:val="20"/>
                <w:szCs w:val="20"/>
                <w:color w:val="auto"/>
              </w:rPr>
            </w:pPr>
            <w:r>
              <w:rPr>
                <w:rFonts w:ascii="Arial" w:cs="Arial" w:eastAsia="Arial" w:hAnsi="Arial"/>
                <w:sz w:val="18"/>
                <w:szCs w:val="18"/>
                <w:color w:val="auto"/>
              </w:rPr>
              <w:t>Net income</w:t>
            </w:r>
          </w:p>
        </w:tc>
        <w:tc>
          <w:tcPr>
            <w:tcW w:w="58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2,731</w:t>
            </w:r>
          </w:p>
        </w:tc>
        <w:tc>
          <w:tcPr>
            <w:tcW w:w="80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2,732</w:t>
            </w:r>
          </w:p>
        </w:tc>
      </w:tr>
      <w:tr>
        <w:trPr>
          <w:trHeight w:val="216"/>
        </w:trPr>
        <w:tc>
          <w:tcPr>
            <w:tcW w:w="8080" w:type="dxa"/>
            <w:vAlign w:val="bottom"/>
            <w:shd w:val="clear" w:color="auto" w:fill="E5FFFF"/>
          </w:tcPr>
          <w:p>
            <w:pPr>
              <w:ind w:left="180"/>
              <w:spacing w:after="0"/>
              <w:rPr>
                <w:sz w:val="20"/>
                <w:szCs w:val="20"/>
                <w:color w:val="auto"/>
              </w:rPr>
            </w:pPr>
            <w:r>
              <w:rPr>
                <w:rFonts w:ascii="Arial" w:cs="Arial" w:eastAsia="Arial" w:hAnsi="Arial"/>
                <w:sz w:val="18"/>
                <w:szCs w:val="18"/>
                <w:color w:val="auto"/>
              </w:rPr>
              <w:t>Less: Net income attributable to the noncontrolling interest</w:t>
            </w:r>
          </w:p>
        </w:tc>
        <w:tc>
          <w:tcPr>
            <w:tcW w:w="280" w:type="dxa"/>
            <w:vAlign w:val="bottom"/>
            <w:shd w:val="clear" w:color="auto" w:fill="E5FFFF"/>
          </w:tcPr>
          <w:p>
            <w:pPr>
              <w:spacing w:after="0"/>
              <w:rPr>
                <w:sz w:val="18"/>
                <w:szCs w:val="18"/>
                <w:color w:val="auto"/>
              </w:rPr>
            </w:pPr>
          </w:p>
        </w:tc>
        <w:tc>
          <w:tcPr>
            <w:tcW w:w="300" w:type="dxa"/>
            <w:vAlign w:val="bottom"/>
            <w:tcBorders>
              <w:bottom w:val="single" w:sz="8" w:color="auto"/>
            </w:tcBorders>
            <w:shd w:val="clear" w:color="auto" w:fill="E5FFFF"/>
          </w:tcPr>
          <w:p>
            <w:pPr>
              <w:spacing w:after="0"/>
              <w:rPr>
                <w:sz w:val="18"/>
                <w:szCs w:val="18"/>
                <w:color w:val="auto"/>
              </w:rPr>
            </w:pPr>
          </w:p>
        </w:tc>
        <w:tc>
          <w:tcPr>
            <w:tcW w:w="1080" w:type="dxa"/>
            <w:vAlign w:val="bottom"/>
            <w:tcBorders>
              <w:bottom w:val="single" w:sz="8" w:color="auto"/>
            </w:tcBorders>
            <w:gridSpan w:val="2"/>
            <w:shd w:val="clear" w:color="auto" w:fill="E5FFFF"/>
          </w:tcPr>
          <w:p>
            <w:pPr>
              <w:jc w:val="right"/>
              <w:ind w:right="120"/>
              <w:spacing w:after="0"/>
              <w:rPr>
                <w:sz w:val="20"/>
                <w:szCs w:val="20"/>
                <w:color w:val="auto"/>
              </w:rPr>
            </w:pPr>
            <w:r>
              <w:rPr>
                <w:rFonts w:ascii="Arial" w:cs="Arial" w:eastAsia="Arial" w:hAnsi="Arial"/>
                <w:sz w:val="18"/>
                <w:szCs w:val="18"/>
                <w:color w:val="auto"/>
              </w:rPr>
              <w:t>26</w:t>
            </w:r>
          </w:p>
        </w:tc>
        <w:tc>
          <w:tcPr>
            <w:tcW w:w="320" w:type="dxa"/>
            <w:vAlign w:val="bottom"/>
            <w:shd w:val="clear" w:color="auto" w:fill="E5FFFF"/>
          </w:tcPr>
          <w:p>
            <w:pPr>
              <w:spacing w:after="0"/>
              <w:rPr>
                <w:sz w:val="18"/>
                <w:szCs w:val="18"/>
                <w:color w:val="auto"/>
              </w:rPr>
            </w:pPr>
          </w:p>
        </w:tc>
        <w:tc>
          <w:tcPr>
            <w:tcW w:w="480" w:type="dxa"/>
            <w:vAlign w:val="bottom"/>
            <w:tcBorders>
              <w:bottom w:val="single" w:sz="8" w:color="auto"/>
            </w:tcBorders>
            <w:shd w:val="clear" w:color="auto" w:fill="E5FFFF"/>
          </w:tcPr>
          <w:p>
            <w:pPr>
              <w:spacing w:after="0"/>
              <w:rPr>
                <w:sz w:val="18"/>
                <w:szCs w:val="18"/>
                <w:color w:val="auto"/>
              </w:rPr>
            </w:pPr>
          </w:p>
        </w:tc>
        <w:tc>
          <w:tcPr>
            <w:tcW w:w="880" w:type="dxa"/>
            <w:vAlign w:val="bottom"/>
            <w:tcBorders>
              <w:bottom w:val="single" w:sz="8" w:color="auto"/>
            </w:tcBorders>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14</w:t>
            </w:r>
          </w:p>
        </w:tc>
      </w:tr>
      <w:tr>
        <w:trPr>
          <w:trHeight w:val="196"/>
        </w:trPr>
        <w:tc>
          <w:tcPr>
            <w:tcW w:w="8080" w:type="dxa"/>
            <w:vAlign w:val="bottom"/>
          </w:tcPr>
          <w:p>
            <w:pPr>
              <w:ind w:left="180"/>
              <w:spacing w:after="0" w:line="196" w:lineRule="exact"/>
              <w:rPr>
                <w:sz w:val="20"/>
                <w:szCs w:val="20"/>
                <w:color w:val="auto"/>
              </w:rPr>
            </w:pPr>
            <w:r>
              <w:rPr>
                <w:rFonts w:ascii="Arial" w:cs="Arial" w:eastAsia="Arial" w:hAnsi="Arial"/>
                <w:sz w:val="18"/>
                <w:szCs w:val="18"/>
                <w:color w:val="auto"/>
              </w:rPr>
              <w:t>Net income attributable to Honeywell</w:t>
            </w: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rPr>
              <w:t>2,705</w:t>
            </w: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2,718</w:t>
            </w:r>
          </w:p>
        </w:tc>
      </w:tr>
      <w:tr>
        <w:trPr>
          <w:trHeight w:val="202"/>
        </w:trPr>
        <w:tc>
          <w:tcPr>
            <w:tcW w:w="8080" w:type="dxa"/>
            <w:vAlign w:val="bottom"/>
            <w:shd w:val="clear" w:color="auto" w:fill="E5FFFF"/>
          </w:tcPr>
          <w:p>
            <w:pPr>
              <w:ind w:left="180"/>
              <w:spacing w:after="0" w:line="201" w:lineRule="exact"/>
              <w:rPr>
                <w:sz w:val="20"/>
                <w:szCs w:val="20"/>
                <w:color w:val="auto"/>
              </w:rPr>
            </w:pPr>
            <w:r>
              <w:rPr>
                <w:rFonts w:ascii="Arial" w:cs="Arial" w:eastAsia="Arial" w:hAnsi="Arial"/>
                <w:sz w:val="18"/>
                <w:szCs w:val="18"/>
                <w:color w:val="auto"/>
              </w:rPr>
              <w:t>Adjustments to reconcile net income attributable to Honeywell to net cash provided by operating</w:t>
            </w:r>
          </w:p>
        </w:tc>
        <w:tc>
          <w:tcPr>
            <w:tcW w:w="28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96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480" w:type="dxa"/>
            <w:vAlign w:val="bottom"/>
            <w:shd w:val="clear" w:color="auto" w:fill="E5FFFF"/>
          </w:tcPr>
          <w:p>
            <w:pPr>
              <w:spacing w:after="0"/>
              <w:rPr>
                <w:sz w:val="17"/>
                <w:szCs w:val="17"/>
                <w:color w:val="auto"/>
              </w:rPr>
            </w:pPr>
          </w:p>
        </w:tc>
        <w:tc>
          <w:tcPr>
            <w:tcW w:w="78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r>
      <w:tr>
        <w:trPr>
          <w:trHeight w:val="203"/>
        </w:trPr>
        <w:tc>
          <w:tcPr>
            <w:tcW w:w="8080" w:type="dxa"/>
            <w:vAlign w:val="bottom"/>
            <w:shd w:val="clear" w:color="auto" w:fill="E5FFFF"/>
          </w:tcPr>
          <w:p>
            <w:pPr>
              <w:ind w:left="180"/>
              <w:spacing w:after="0" w:line="203" w:lineRule="exact"/>
              <w:rPr>
                <w:sz w:val="20"/>
                <w:szCs w:val="20"/>
                <w:color w:val="auto"/>
              </w:rPr>
            </w:pPr>
            <w:r>
              <w:rPr>
                <w:rFonts w:ascii="Arial" w:cs="Arial" w:eastAsia="Arial" w:hAnsi="Arial"/>
                <w:sz w:val="18"/>
                <w:szCs w:val="18"/>
                <w:color w:val="auto"/>
              </w:rPr>
              <w:t>activities:</w:t>
            </w:r>
          </w:p>
        </w:tc>
        <w:tc>
          <w:tcPr>
            <w:tcW w:w="28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96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480" w:type="dxa"/>
            <w:vAlign w:val="bottom"/>
            <w:shd w:val="clear" w:color="auto" w:fill="E5FFFF"/>
          </w:tcPr>
          <w:p>
            <w:pPr>
              <w:spacing w:after="0"/>
              <w:rPr>
                <w:sz w:val="17"/>
                <w:szCs w:val="17"/>
                <w:color w:val="auto"/>
              </w:rPr>
            </w:pPr>
          </w:p>
        </w:tc>
        <w:tc>
          <w:tcPr>
            <w:tcW w:w="78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r>
      <w:tr>
        <w:trPr>
          <w:trHeight w:val="203"/>
        </w:trPr>
        <w:tc>
          <w:tcPr>
            <w:tcW w:w="8080" w:type="dxa"/>
            <w:vAlign w:val="bottom"/>
          </w:tcPr>
          <w:p>
            <w:pPr>
              <w:ind w:left="360"/>
              <w:spacing w:after="0" w:line="202" w:lineRule="exact"/>
              <w:rPr>
                <w:sz w:val="20"/>
                <w:szCs w:val="20"/>
                <w:color w:val="auto"/>
              </w:rPr>
            </w:pPr>
            <w:r>
              <w:rPr>
                <w:rFonts w:ascii="Arial" w:cs="Arial" w:eastAsia="Arial" w:hAnsi="Arial"/>
                <w:sz w:val="18"/>
                <w:szCs w:val="18"/>
                <w:color w:val="auto"/>
              </w:rPr>
              <w:t>Depreciation</w:t>
            </w: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372</w:t>
            </w: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354</w:t>
            </w:r>
          </w:p>
        </w:tc>
      </w:tr>
      <w:tr>
        <w:trPr>
          <w:trHeight w:val="203"/>
        </w:trPr>
        <w:tc>
          <w:tcPr>
            <w:tcW w:w="8080" w:type="dxa"/>
            <w:vAlign w:val="bottom"/>
            <w:shd w:val="clear" w:color="auto" w:fill="E5FFFF"/>
          </w:tcPr>
          <w:p>
            <w:pPr>
              <w:ind w:left="360"/>
              <w:spacing w:after="0" w:line="202" w:lineRule="exact"/>
              <w:rPr>
                <w:sz w:val="20"/>
                <w:szCs w:val="20"/>
                <w:color w:val="auto"/>
              </w:rPr>
            </w:pPr>
            <w:r>
              <w:rPr>
                <w:rFonts w:ascii="Arial" w:cs="Arial" w:eastAsia="Arial" w:hAnsi="Arial"/>
                <w:sz w:val="18"/>
                <w:szCs w:val="18"/>
                <w:color w:val="auto"/>
              </w:rPr>
              <w:t>Amortization</w:t>
            </w:r>
          </w:p>
        </w:tc>
        <w:tc>
          <w:tcPr>
            <w:tcW w:w="28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1080" w:type="dxa"/>
            <w:vAlign w:val="bottom"/>
            <w:gridSpan w:val="2"/>
            <w:shd w:val="clear" w:color="auto" w:fill="E5FFFF"/>
          </w:tcPr>
          <w:p>
            <w:pPr>
              <w:jc w:val="right"/>
              <w:ind w:right="120"/>
              <w:spacing w:after="0" w:line="202" w:lineRule="exact"/>
              <w:rPr>
                <w:sz w:val="20"/>
                <w:szCs w:val="20"/>
                <w:color w:val="auto"/>
              </w:rPr>
            </w:pPr>
            <w:r>
              <w:rPr>
                <w:rFonts w:ascii="Arial" w:cs="Arial" w:eastAsia="Arial" w:hAnsi="Arial"/>
                <w:sz w:val="18"/>
                <w:szCs w:val="18"/>
                <w:color w:val="auto"/>
              </w:rPr>
              <w:t>204</w:t>
            </w:r>
          </w:p>
        </w:tc>
        <w:tc>
          <w:tcPr>
            <w:tcW w:w="320" w:type="dxa"/>
            <w:vAlign w:val="bottom"/>
            <w:shd w:val="clear" w:color="auto" w:fill="E5FFFF"/>
          </w:tcPr>
          <w:p>
            <w:pPr>
              <w:spacing w:after="0"/>
              <w:rPr>
                <w:sz w:val="17"/>
                <w:szCs w:val="17"/>
                <w:color w:val="auto"/>
              </w:rPr>
            </w:pPr>
          </w:p>
        </w:tc>
        <w:tc>
          <w:tcPr>
            <w:tcW w:w="480" w:type="dxa"/>
            <w:vAlign w:val="bottom"/>
            <w:shd w:val="clear" w:color="auto" w:fill="E5FFFF"/>
          </w:tcPr>
          <w:p>
            <w:pPr>
              <w:spacing w:after="0"/>
              <w:rPr>
                <w:sz w:val="17"/>
                <w:szCs w:val="17"/>
                <w:color w:val="auto"/>
              </w:rPr>
            </w:pPr>
          </w:p>
        </w:tc>
        <w:tc>
          <w:tcPr>
            <w:tcW w:w="880" w:type="dxa"/>
            <w:vAlign w:val="bottom"/>
            <w:gridSpan w:val="2"/>
            <w:shd w:val="clear" w:color="auto" w:fill="E5FFFF"/>
          </w:tcPr>
          <w:p>
            <w:pPr>
              <w:jc w:val="right"/>
              <w:ind w:right="100"/>
              <w:spacing w:after="0" w:line="202" w:lineRule="exact"/>
              <w:rPr>
                <w:sz w:val="20"/>
                <w:szCs w:val="20"/>
                <w:color w:val="auto"/>
              </w:rPr>
            </w:pPr>
            <w:r>
              <w:rPr>
                <w:rFonts w:ascii="Arial" w:cs="Arial" w:eastAsia="Arial" w:hAnsi="Arial"/>
                <w:sz w:val="18"/>
                <w:szCs w:val="18"/>
                <w:color w:val="auto"/>
              </w:rPr>
              <w:t>193</w:t>
            </w:r>
          </w:p>
        </w:tc>
      </w:tr>
      <w:tr>
        <w:trPr>
          <w:trHeight w:val="203"/>
        </w:trPr>
        <w:tc>
          <w:tcPr>
            <w:tcW w:w="8080" w:type="dxa"/>
            <w:vAlign w:val="bottom"/>
          </w:tcPr>
          <w:p>
            <w:pPr>
              <w:ind w:left="360"/>
              <w:spacing w:after="0" w:line="202" w:lineRule="exact"/>
              <w:rPr>
                <w:sz w:val="20"/>
                <w:szCs w:val="20"/>
                <w:color w:val="auto"/>
              </w:rPr>
            </w:pPr>
            <w:r>
              <w:rPr>
                <w:rFonts w:ascii="Arial" w:cs="Arial" w:eastAsia="Arial" w:hAnsi="Arial"/>
                <w:sz w:val="18"/>
                <w:szCs w:val="18"/>
                <w:color w:val="auto"/>
              </w:rPr>
              <w:t>Repositioning and other charges</w:t>
            </w: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458</w:t>
            </w: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353</w:t>
            </w:r>
          </w:p>
        </w:tc>
      </w:tr>
      <w:tr>
        <w:trPr>
          <w:trHeight w:val="203"/>
        </w:trPr>
        <w:tc>
          <w:tcPr>
            <w:tcW w:w="8080" w:type="dxa"/>
            <w:vAlign w:val="bottom"/>
            <w:shd w:val="clear" w:color="auto" w:fill="E5FFFF"/>
          </w:tcPr>
          <w:p>
            <w:pPr>
              <w:ind w:left="360"/>
              <w:spacing w:after="0" w:line="202" w:lineRule="exact"/>
              <w:rPr>
                <w:sz w:val="20"/>
                <w:szCs w:val="20"/>
                <w:color w:val="auto"/>
              </w:rPr>
            </w:pPr>
            <w:r>
              <w:rPr>
                <w:rFonts w:ascii="Arial" w:cs="Arial" w:eastAsia="Arial" w:hAnsi="Arial"/>
                <w:sz w:val="18"/>
                <w:szCs w:val="18"/>
                <w:color w:val="auto"/>
              </w:rPr>
              <w:t>Net payments for repositioning and other charges</w:t>
            </w:r>
          </w:p>
        </w:tc>
        <w:tc>
          <w:tcPr>
            <w:tcW w:w="28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1080" w:type="dxa"/>
            <w:vAlign w:val="bottom"/>
            <w:gridSpan w:val="2"/>
            <w:shd w:val="clear" w:color="auto" w:fill="E5FFFF"/>
          </w:tcPr>
          <w:p>
            <w:pPr>
              <w:jc w:val="right"/>
              <w:ind w:right="60"/>
              <w:spacing w:after="0" w:line="202" w:lineRule="exact"/>
              <w:rPr>
                <w:sz w:val="20"/>
                <w:szCs w:val="20"/>
                <w:color w:val="auto"/>
              </w:rPr>
            </w:pPr>
            <w:r>
              <w:rPr>
                <w:rFonts w:ascii="Arial" w:cs="Arial" w:eastAsia="Arial" w:hAnsi="Arial"/>
                <w:sz w:val="18"/>
                <w:szCs w:val="18"/>
                <w:color w:val="auto"/>
              </w:rPr>
              <w:t>(328)</w:t>
            </w:r>
          </w:p>
        </w:tc>
        <w:tc>
          <w:tcPr>
            <w:tcW w:w="320" w:type="dxa"/>
            <w:vAlign w:val="bottom"/>
            <w:shd w:val="clear" w:color="auto" w:fill="E5FFFF"/>
          </w:tcPr>
          <w:p>
            <w:pPr>
              <w:spacing w:after="0"/>
              <w:rPr>
                <w:sz w:val="17"/>
                <w:szCs w:val="17"/>
                <w:color w:val="auto"/>
              </w:rPr>
            </w:pPr>
          </w:p>
        </w:tc>
        <w:tc>
          <w:tcPr>
            <w:tcW w:w="480" w:type="dxa"/>
            <w:vAlign w:val="bottom"/>
            <w:shd w:val="clear" w:color="auto" w:fill="E5FFFF"/>
          </w:tcPr>
          <w:p>
            <w:pPr>
              <w:spacing w:after="0"/>
              <w:rPr>
                <w:sz w:val="17"/>
                <w:szCs w:val="17"/>
                <w:color w:val="auto"/>
              </w:rPr>
            </w:pPr>
          </w:p>
        </w:tc>
        <w:tc>
          <w:tcPr>
            <w:tcW w:w="880" w:type="dxa"/>
            <w:vAlign w:val="bottom"/>
            <w:gridSpan w:val="2"/>
            <w:shd w:val="clear" w:color="auto" w:fill="E5FFFF"/>
          </w:tcPr>
          <w:p>
            <w:pPr>
              <w:jc w:val="right"/>
              <w:ind w:right="40"/>
              <w:spacing w:after="0" w:line="202" w:lineRule="exact"/>
              <w:rPr>
                <w:sz w:val="20"/>
                <w:szCs w:val="20"/>
                <w:color w:val="auto"/>
              </w:rPr>
            </w:pPr>
            <w:r>
              <w:rPr>
                <w:rFonts w:ascii="Arial" w:cs="Arial" w:eastAsia="Arial" w:hAnsi="Arial"/>
                <w:sz w:val="18"/>
                <w:szCs w:val="18"/>
                <w:color w:val="auto"/>
              </w:rPr>
              <w:t>(264)</w:t>
            </w:r>
          </w:p>
        </w:tc>
      </w:tr>
      <w:tr>
        <w:trPr>
          <w:trHeight w:val="203"/>
        </w:trPr>
        <w:tc>
          <w:tcPr>
            <w:tcW w:w="8080" w:type="dxa"/>
            <w:vAlign w:val="bottom"/>
          </w:tcPr>
          <w:p>
            <w:pPr>
              <w:ind w:left="360"/>
              <w:spacing w:after="0" w:line="202" w:lineRule="exact"/>
              <w:rPr>
                <w:sz w:val="20"/>
                <w:szCs w:val="20"/>
                <w:color w:val="auto"/>
              </w:rPr>
            </w:pPr>
            <w:r>
              <w:rPr>
                <w:rFonts w:ascii="Arial" w:cs="Arial" w:eastAsia="Arial" w:hAnsi="Arial"/>
                <w:sz w:val="18"/>
                <w:szCs w:val="18"/>
                <w:color w:val="auto"/>
              </w:rPr>
              <w:t>Pension and other postretirement income</w:t>
            </w: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(510)</w:t>
            </w: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(373)</w:t>
            </w:r>
          </w:p>
        </w:tc>
      </w:tr>
      <w:tr>
        <w:trPr>
          <w:trHeight w:val="203"/>
        </w:trPr>
        <w:tc>
          <w:tcPr>
            <w:tcW w:w="8080" w:type="dxa"/>
            <w:vAlign w:val="bottom"/>
            <w:shd w:val="clear" w:color="auto" w:fill="E5FFFF"/>
          </w:tcPr>
          <w:p>
            <w:pPr>
              <w:ind w:left="360"/>
              <w:spacing w:after="0" w:line="202" w:lineRule="exact"/>
              <w:rPr>
                <w:sz w:val="20"/>
                <w:szCs w:val="20"/>
                <w:color w:val="auto"/>
              </w:rPr>
            </w:pPr>
            <w:r>
              <w:rPr>
                <w:rFonts w:ascii="Arial" w:cs="Arial" w:eastAsia="Arial" w:hAnsi="Arial"/>
                <w:sz w:val="18"/>
                <w:szCs w:val="18"/>
                <w:color w:val="auto"/>
              </w:rPr>
              <w:t>Pension and other postretirement benefit payments</w:t>
            </w:r>
          </w:p>
        </w:tc>
        <w:tc>
          <w:tcPr>
            <w:tcW w:w="28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1080" w:type="dxa"/>
            <w:vAlign w:val="bottom"/>
            <w:gridSpan w:val="2"/>
            <w:shd w:val="clear" w:color="auto" w:fill="E5FFFF"/>
          </w:tcPr>
          <w:p>
            <w:pPr>
              <w:jc w:val="right"/>
              <w:ind w:right="60"/>
              <w:spacing w:after="0" w:line="202" w:lineRule="exact"/>
              <w:rPr>
                <w:sz w:val="20"/>
                <w:szCs w:val="20"/>
                <w:color w:val="auto"/>
              </w:rPr>
            </w:pPr>
            <w:r>
              <w:rPr>
                <w:rFonts w:ascii="Arial" w:cs="Arial" w:eastAsia="Arial" w:hAnsi="Arial"/>
                <w:sz w:val="18"/>
                <w:szCs w:val="18"/>
                <w:color w:val="auto"/>
              </w:rPr>
              <w:t>(44)</w:t>
            </w:r>
          </w:p>
        </w:tc>
        <w:tc>
          <w:tcPr>
            <w:tcW w:w="320" w:type="dxa"/>
            <w:vAlign w:val="bottom"/>
            <w:shd w:val="clear" w:color="auto" w:fill="E5FFFF"/>
          </w:tcPr>
          <w:p>
            <w:pPr>
              <w:spacing w:after="0"/>
              <w:rPr>
                <w:sz w:val="17"/>
                <w:szCs w:val="17"/>
                <w:color w:val="auto"/>
              </w:rPr>
            </w:pPr>
          </w:p>
        </w:tc>
        <w:tc>
          <w:tcPr>
            <w:tcW w:w="480" w:type="dxa"/>
            <w:vAlign w:val="bottom"/>
            <w:shd w:val="clear" w:color="auto" w:fill="E5FFFF"/>
          </w:tcPr>
          <w:p>
            <w:pPr>
              <w:spacing w:after="0"/>
              <w:rPr>
                <w:sz w:val="17"/>
                <w:szCs w:val="17"/>
                <w:color w:val="auto"/>
              </w:rPr>
            </w:pPr>
          </w:p>
        </w:tc>
        <w:tc>
          <w:tcPr>
            <w:tcW w:w="880" w:type="dxa"/>
            <w:vAlign w:val="bottom"/>
            <w:gridSpan w:val="2"/>
            <w:shd w:val="clear" w:color="auto" w:fill="E5FFFF"/>
          </w:tcPr>
          <w:p>
            <w:pPr>
              <w:jc w:val="right"/>
              <w:ind w:right="40"/>
              <w:spacing w:after="0" w:line="202" w:lineRule="exact"/>
              <w:rPr>
                <w:sz w:val="20"/>
                <w:szCs w:val="20"/>
                <w:color w:val="auto"/>
              </w:rPr>
            </w:pPr>
            <w:r>
              <w:rPr>
                <w:rFonts w:ascii="Arial" w:cs="Arial" w:eastAsia="Arial" w:hAnsi="Arial"/>
                <w:sz w:val="18"/>
                <w:szCs w:val="18"/>
                <w:color w:val="auto"/>
              </w:rPr>
              <w:t>(47)</w:t>
            </w:r>
          </w:p>
        </w:tc>
      </w:tr>
      <w:tr>
        <w:trPr>
          <w:trHeight w:val="203"/>
        </w:trPr>
        <w:tc>
          <w:tcPr>
            <w:tcW w:w="8080" w:type="dxa"/>
            <w:vAlign w:val="bottom"/>
          </w:tcPr>
          <w:p>
            <w:pPr>
              <w:ind w:left="360"/>
              <w:spacing w:after="0" w:line="202" w:lineRule="exact"/>
              <w:rPr>
                <w:sz w:val="20"/>
                <w:szCs w:val="20"/>
                <w:color w:val="auto"/>
              </w:rPr>
            </w:pPr>
            <w:r>
              <w:rPr>
                <w:rFonts w:ascii="Arial" w:cs="Arial" w:eastAsia="Arial" w:hAnsi="Arial"/>
                <w:sz w:val="18"/>
                <w:szCs w:val="18"/>
                <w:color w:val="auto"/>
              </w:rPr>
              <w:t>Stock compensation expense</w:t>
            </w: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90</w:t>
            </w: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94</w:t>
            </w:r>
          </w:p>
        </w:tc>
      </w:tr>
      <w:tr>
        <w:trPr>
          <w:trHeight w:val="203"/>
        </w:trPr>
        <w:tc>
          <w:tcPr>
            <w:tcW w:w="8080" w:type="dxa"/>
            <w:vAlign w:val="bottom"/>
            <w:shd w:val="clear" w:color="auto" w:fill="E5FFFF"/>
          </w:tcPr>
          <w:p>
            <w:pPr>
              <w:ind w:left="360"/>
              <w:spacing w:after="0" w:line="202" w:lineRule="exact"/>
              <w:rPr>
                <w:sz w:val="20"/>
                <w:szCs w:val="20"/>
                <w:color w:val="auto"/>
              </w:rPr>
            </w:pPr>
            <w:r>
              <w:rPr>
                <w:rFonts w:ascii="Arial" w:cs="Arial" w:eastAsia="Arial" w:hAnsi="Arial"/>
                <w:sz w:val="18"/>
                <w:szCs w:val="18"/>
                <w:color w:val="auto"/>
              </w:rPr>
              <w:t>Deferred income taxes</w:t>
            </w:r>
          </w:p>
        </w:tc>
        <w:tc>
          <w:tcPr>
            <w:tcW w:w="28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1080" w:type="dxa"/>
            <w:vAlign w:val="bottom"/>
            <w:gridSpan w:val="2"/>
            <w:shd w:val="clear" w:color="auto" w:fill="E5FFFF"/>
          </w:tcPr>
          <w:p>
            <w:pPr>
              <w:jc w:val="right"/>
              <w:ind w:right="120"/>
              <w:spacing w:after="0" w:line="202" w:lineRule="exact"/>
              <w:rPr>
                <w:sz w:val="20"/>
                <w:szCs w:val="20"/>
                <w:color w:val="auto"/>
              </w:rPr>
            </w:pPr>
            <w:r>
              <w:rPr>
                <w:rFonts w:ascii="Arial" w:cs="Arial" w:eastAsia="Arial" w:hAnsi="Arial"/>
                <w:sz w:val="18"/>
                <w:szCs w:val="18"/>
                <w:color w:val="auto"/>
              </w:rPr>
              <w:t>114</w:t>
            </w:r>
          </w:p>
        </w:tc>
        <w:tc>
          <w:tcPr>
            <w:tcW w:w="320" w:type="dxa"/>
            <w:vAlign w:val="bottom"/>
            <w:shd w:val="clear" w:color="auto" w:fill="E5FFFF"/>
          </w:tcPr>
          <w:p>
            <w:pPr>
              <w:spacing w:after="0"/>
              <w:rPr>
                <w:sz w:val="17"/>
                <w:szCs w:val="17"/>
                <w:color w:val="auto"/>
              </w:rPr>
            </w:pPr>
          </w:p>
        </w:tc>
        <w:tc>
          <w:tcPr>
            <w:tcW w:w="480" w:type="dxa"/>
            <w:vAlign w:val="bottom"/>
            <w:shd w:val="clear" w:color="auto" w:fill="E5FFFF"/>
          </w:tcPr>
          <w:p>
            <w:pPr>
              <w:spacing w:after="0"/>
              <w:rPr>
                <w:sz w:val="17"/>
                <w:szCs w:val="17"/>
                <w:color w:val="auto"/>
              </w:rPr>
            </w:pPr>
          </w:p>
        </w:tc>
        <w:tc>
          <w:tcPr>
            <w:tcW w:w="880" w:type="dxa"/>
            <w:vAlign w:val="bottom"/>
            <w:gridSpan w:val="2"/>
            <w:shd w:val="clear" w:color="auto" w:fill="E5FFFF"/>
          </w:tcPr>
          <w:p>
            <w:pPr>
              <w:jc w:val="right"/>
              <w:ind w:right="40"/>
              <w:spacing w:after="0" w:line="202" w:lineRule="exact"/>
              <w:rPr>
                <w:sz w:val="20"/>
                <w:szCs w:val="20"/>
                <w:color w:val="auto"/>
              </w:rPr>
            </w:pPr>
            <w:r>
              <w:rPr>
                <w:rFonts w:ascii="Arial" w:cs="Arial" w:eastAsia="Arial" w:hAnsi="Arial"/>
                <w:sz w:val="18"/>
                <w:szCs w:val="18"/>
                <w:color w:val="auto"/>
              </w:rPr>
              <w:t>(92)</w:t>
            </w:r>
          </w:p>
        </w:tc>
      </w:tr>
      <w:tr>
        <w:trPr>
          <w:trHeight w:val="203"/>
        </w:trPr>
        <w:tc>
          <w:tcPr>
            <w:tcW w:w="8080" w:type="dxa"/>
            <w:vAlign w:val="bottom"/>
          </w:tcPr>
          <w:p>
            <w:pPr>
              <w:ind w:left="360"/>
              <w:spacing w:after="0" w:line="202" w:lineRule="exact"/>
              <w:rPr>
                <w:sz w:val="20"/>
                <w:szCs w:val="20"/>
                <w:color w:val="auto"/>
              </w:rPr>
            </w:pPr>
            <w:r>
              <w:rPr>
                <w:rFonts w:ascii="Arial" w:cs="Arial" w:eastAsia="Arial" w:hAnsi="Arial"/>
                <w:sz w:val="18"/>
                <w:szCs w:val="18"/>
                <w:color w:val="auto"/>
              </w:rPr>
              <w:t>Other</w:t>
            </w: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78</w:t>
            </w: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(8)</w:t>
            </w:r>
          </w:p>
        </w:tc>
      </w:tr>
      <w:tr>
        <w:trPr>
          <w:trHeight w:val="203"/>
        </w:trPr>
        <w:tc>
          <w:tcPr>
            <w:tcW w:w="8080" w:type="dxa"/>
            <w:vAlign w:val="bottom"/>
            <w:shd w:val="clear" w:color="auto" w:fill="E5FFFF"/>
          </w:tcPr>
          <w:p>
            <w:pPr>
              <w:ind w:left="360"/>
              <w:spacing w:after="0" w:line="202" w:lineRule="exact"/>
              <w:rPr>
                <w:sz w:val="20"/>
                <w:szCs w:val="20"/>
                <w:color w:val="auto"/>
              </w:rPr>
            </w:pPr>
            <w:r>
              <w:rPr>
                <w:rFonts w:ascii="Arial" w:cs="Arial" w:eastAsia="Arial" w:hAnsi="Arial"/>
                <w:sz w:val="18"/>
                <w:szCs w:val="18"/>
                <w:color w:val="auto"/>
              </w:rPr>
              <w:t>Changes in assets and liabilities, net of the effects of acquisitions and divestitures:</w:t>
            </w:r>
          </w:p>
        </w:tc>
        <w:tc>
          <w:tcPr>
            <w:tcW w:w="28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96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480" w:type="dxa"/>
            <w:vAlign w:val="bottom"/>
            <w:shd w:val="clear" w:color="auto" w:fill="E5FFFF"/>
          </w:tcPr>
          <w:p>
            <w:pPr>
              <w:spacing w:after="0"/>
              <w:rPr>
                <w:sz w:val="17"/>
                <w:szCs w:val="17"/>
                <w:color w:val="auto"/>
              </w:rPr>
            </w:pPr>
          </w:p>
        </w:tc>
        <w:tc>
          <w:tcPr>
            <w:tcW w:w="78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r>
      <w:tr>
        <w:trPr>
          <w:trHeight w:val="203"/>
        </w:trPr>
        <w:tc>
          <w:tcPr>
            <w:tcW w:w="8080" w:type="dxa"/>
            <w:vAlign w:val="bottom"/>
          </w:tcPr>
          <w:p>
            <w:pPr>
              <w:ind w:left="540"/>
              <w:spacing w:after="0" w:line="202" w:lineRule="exact"/>
              <w:rPr>
                <w:sz w:val="20"/>
                <w:szCs w:val="20"/>
                <w:color w:val="auto"/>
              </w:rPr>
            </w:pPr>
            <w:r>
              <w:rPr>
                <w:rFonts w:ascii="Arial" w:cs="Arial" w:eastAsia="Arial" w:hAnsi="Arial"/>
                <w:sz w:val="18"/>
                <w:szCs w:val="18"/>
                <w:color w:val="auto"/>
              </w:rPr>
              <w:t>Accounts receivable</w:t>
            </w: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97</w:t>
            </w: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(276)</w:t>
            </w:r>
          </w:p>
        </w:tc>
      </w:tr>
      <w:tr>
        <w:trPr>
          <w:trHeight w:val="203"/>
        </w:trPr>
        <w:tc>
          <w:tcPr>
            <w:tcW w:w="8080" w:type="dxa"/>
            <w:vAlign w:val="bottom"/>
            <w:shd w:val="clear" w:color="auto" w:fill="E5FFFF"/>
          </w:tcPr>
          <w:p>
            <w:pPr>
              <w:ind w:left="540"/>
              <w:spacing w:after="0" w:line="202" w:lineRule="exact"/>
              <w:rPr>
                <w:sz w:val="20"/>
                <w:szCs w:val="20"/>
                <w:color w:val="auto"/>
              </w:rPr>
            </w:pPr>
            <w:r>
              <w:rPr>
                <w:rFonts w:ascii="Arial" w:cs="Arial" w:eastAsia="Arial" w:hAnsi="Arial"/>
                <w:sz w:val="18"/>
                <w:szCs w:val="18"/>
                <w:color w:val="auto"/>
              </w:rPr>
              <w:t>Inventories</w:t>
            </w:r>
          </w:p>
        </w:tc>
        <w:tc>
          <w:tcPr>
            <w:tcW w:w="28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1080" w:type="dxa"/>
            <w:vAlign w:val="bottom"/>
            <w:gridSpan w:val="2"/>
            <w:shd w:val="clear" w:color="auto" w:fill="E5FFFF"/>
          </w:tcPr>
          <w:p>
            <w:pPr>
              <w:jc w:val="right"/>
              <w:ind w:right="60"/>
              <w:spacing w:after="0" w:line="202" w:lineRule="exact"/>
              <w:rPr>
                <w:sz w:val="20"/>
                <w:szCs w:val="20"/>
                <w:color w:val="auto"/>
              </w:rPr>
            </w:pPr>
            <w:r>
              <w:rPr>
                <w:rFonts w:ascii="Arial" w:cs="Arial" w:eastAsia="Arial" w:hAnsi="Arial"/>
                <w:sz w:val="18"/>
                <w:szCs w:val="18"/>
                <w:color w:val="auto"/>
              </w:rPr>
              <w:t>(189)</w:t>
            </w:r>
          </w:p>
        </w:tc>
        <w:tc>
          <w:tcPr>
            <w:tcW w:w="320" w:type="dxa"/>
            <w:vAlign w:val="bottom"/>
            <w:shd w:val="clear" w:color="auto" w:fill="E5FFFF"/>
          </w:tcPr>
          <w:p>
            <w:pPr>
              <w:spacing w:after="0"/>
              <w:rPr>
                <w:sz w:val="17"/>
                <w:szCs w:val="17"/>
                <w:color w:val="auto"/>
              </w:rPr>
            </w:pPr>
          </w:p>
        </w:tc>
        <w:tc>
          <w:tcPr>
            <w:tcW w:w="480" w:type="dxa"/>
            <w:vAlign w:val="bottom"/>
            <w:shd w:val="clear" w:color="auto" w:fill="E5FFFF"/>
          </w:tcPr>
          <w:p>
            <w:pPr>
              <w:spacing w:after="0"/>
              <w:rPr>
                <w:sz w:val="17"/>
                <w:szCs w:val="17"/>
                <w:color w:val="auto"/>
              </w:rPr>
            </w:pPr>
          </w:p>
        </w:tc>
        <w:tc>
          <w:tcPr>
            <w:tcW w:w="880" w:type="dxa"/>
            <w:vAlign w:val="bottom"/>
            <w:gridSpan w:val="2"/>
            <w:shd w:val="clear" w:color="auto" w:fill="E5FFFF"/>
          </w:tcPr>
          <w:p>
            <w:pPr>
              <w:jc w:val="right"/>
              <w:ind w:right="40"/>
              <w:spacing w:after="0" w:line="202" w:lineRule="exact"/>
              <w:rPr>
                <w:sz w:val="20"/>
                <w:szCs w:val="20"/>
                <w:color w:val="auto"/>
              </w:rPr>
            </w:pPr>
            <w:r>
              <w:rPr>
                <w:rFonts w:ascii="Arial" w:cs="Arial" w:eastAsia="Arial" w:hAnsi="Arial"/>
                <w:sz w:val="18"/>
                <w:szCs w:val="18"/>
                <w:color w:val="auto"/>
              </w:rPr>
              <w:t>(298)</w:t>
            </w:r>
          </w:p>
        </w:tc>
      </w:tr>
      <w:tr>
        <w:trPr>
          <w:trHeight w:val="203"/>
        </w:trPr>
        <w:tc>
          <w:tcPr>
            <w:tcW w:w="8080" w:type="dxa"/>
            <w:vAlign w:val="bottom"/>
          </w:tcPr>
          <w:p>
            <w:pPr>
              <w:ind w:left="540"/>
              <w:spacing w:after="0" w:line="202" w:lineRule="exact"/>
              <w:rPr>
                <w:sz w:val="20"/>
                <w:szCs w:val="20"/>
                <w:color w:val="auto"/>
              </w:rPr>
            </w:pPr>
            <w:r>
              <w:rPr>
                <w:rFonts w:ascii="Arial" w:cs="Arial" w:eastAsia="Arial" w:hAnsi="Arial"/>
                <w:sz w:val="18"/>
                <w:szCs w:val="18"/>
                <w:color w:val="auto"/>
              </w:rPr>
              <w:t>Other current assets</w:t>
            </w: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174</w:t>
            </w: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(3)</w:t>
            </w:r>
          </w:p>
        </w:tc>
      </w:tr>
      <w:tr>
        <w:trPr>
          <w:trHeight w:val="203"/>
        </w:trPr>
        <w:tc>
          <w:tcPr>
            <w:tcW w:w="8080" w:type="dxa"/>
            <w:vAlign w:val="bottom"/>
            <w:shd w:val="clear" w:color="auto" w:fill="E5FFFF"/>
          </w:tcPr>
          <w:p>
            <w:pPr>
              <w:ind w:left="540"/>
              <w:spacing w:after="0" w:line="202" w:lineRule="exact"/>
              <w:rPr>
                <w:sz w:val="20"/>
                <w:szCs w:val="20"/>
                <w:color w:val="auto"/>
              </w:rPr>
            </w:pPr>
            <w:r>
              <w:rPr>
                <w:rFonts w:ascii="Arial" w:cs="Arial" w:eastAsia="Arial" w:hAnsi="Arial"/>
                <w:sz w:val="18"/>
                <w:szCs w:val="18"/>
                <w:color w:val="auto"/>
              </w:rPr>
              <w:t>Accounts payable</w:t>
            </w:r>
          </w:p>
        </w:tc>
        <w:tc>
          <w:tcPr>
            <w:tcW w:w="28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1080" w:type="dxa"/>
            <w:vAlign w:val="bottom"/>
            <w:gridSpan w:val="2"/>
            <w:shd w:val="clear" w:color="auto" w:fill="E5FFFF"/>
          </w:tcPr>
          <w:p>
            <w:pPr>
              <w:jc w:val="right"/>
              <w:ind w:right="120"/>
              <w:spacing w:after="0" w:line="202" w:lineRule="exact"/>
              <w:rPr>
                <w:sz w:val="20"/>
                <w:szCs w:val="20"/>
                <w:color w:val="auto"/>
              </w:rPr>
            </w:pPr>
            <w:r>
              <w:rPr>
                <w:rFonts w:ascii="Arial" w:cs="Arial" w:eastAsia="Arial" w:hAnsi="Arial"/>
                <w:sz w:val="18"/>
                <w:szCs w:val="18"/>
                <w:color w:val="auto"/>
              </w:rPr>
              <w:t>224</w:t>
            </w:r>
          </w:p>
        </w:tc>
        <w:tc>
          <w:tcPr>
            <w:tcW w:w="320" w:type="dxa"/>
            <w:vAlign w:val="bottom"/>
            <w:shd w:val="clear" w:color="auto" w:fill="E5FFFF"/>
          </w:tcPr>
          <w:p>
            <w:pPr>
              <w:spacing w:after="0"/>
              <w:rPr>
                <w:sz w:val="17"/>
                <w:szCs w:val="17"/>
                <w:color w:val="auto"/>
              </w:rPr>
            </w:pPr>
          </w:p>
        </w:tc>
        <w:tc>
          <w:tcPr>
            <w:tcW w:w="480" w:type="dxa"/>
            <w:vAlign w:val="bottom"/>
            <w:shd w:val="clear" w:color="auto" w:fill="E5FFFF"/>
          </w:tcPr>
          <w:p>
            <w:pPr>
              <w:spacing w:after="0"/>
              <w:rPr>
                <w:sz w:val="17"/>
                <w:szCs w:val="17"/>
                <w:color w:val="auto"/>
              </w:rPr>
            </w:pPr>
          </w:p>
        </w:tc>
        <w:tc>
          <w:tcPr>
            <w:tcW w:w="880" w:type="dxa"/>
            <w:vAlign w:val="bottom"/>
            <w:gridSpan w:val="2"/>
            <w:shd w:val="clear" w:color="auto" w:fill="E5FFFF"/>
          </w:tcPr>
          <w:p>
            <w:pPr>
              <w:jc w:val="right"/>
              <w:ind w:right="100"/>
              <w:spacing w:after="0" w:line="202" w:lineRule="exact"/>
              <w:rPr>
                <w:sz w:val="20"/>
                <w:szCs w:val="20"/>
                <w:color w:val="auto"/>
              </w:rPr>
            </w:pPr>
            <w:r>
              <w:rPr>
                <w:rFonts w:ascii="Arial" w:cs="Arial" w:eastAsia="Arial" w:hAnsi="Arial"/>
                <w:sz w:val="18"/>
                <w:szCs w:val="18"/>
                <w:color w:val="auto"/>
              </w:rPr>
              <w:t>314</w:t>
            </w:r>
          </w:p>
        </w:tc>
      </w:tr>
      <w:tr>
        <w:trPr>
          <w:trHeight w:val="216"/>
        </w:trPr>
        <w:tc>
          <w:tcPr>
            <w:tcW w:w="8080" w:type="dxa"/>
            <w:vAlign w:val="bottom"/>
            <w:tcBorders>
              <w:bottom w:val="single" w:sz="8" w:color="E5FFFF"/>
            </w:tcBorders>
          </w:tcPr>
          <w:p>
            <w:pPr>
              <w:ind w:left="540"/>
              <w:spacing w:after="0"/>
              <w:rPr>
                <w:sz w:val="20"/>
                <w:szCs w:val="20"/>
                <w:color w:val="auto"/>
              </w:rPr>
            </w:pPr>
            <w:r>
              <w:rPr>
                <w:rFonts w:ascii="Arial" w:cs="Arial" w:eastAsia="Arial" w:hAnsi="Arial"/>
                <w:sz w:val="18"/>
                <w:szCs w:val="18"/>
                <w:color w:val="auto"/>
              </w:rPr>
              <w:t>Accrued liabilities</w:t>
            </w:r>
          </w:p>
        </w:tc>
        <w:tc>
          <w:tcPr>
            <w:tcW w:w="280" w:type="dxa"/>
            <w:vAlign w:val="bottom"/>
            <w:tcBorders>
              <w:bottom w:val="single" w:sz="8" w:color="E5FF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(448)</w:t>
            </w:r>
          </w:p>
        </w:tc>
        <w:tc>
          <w:tcPr>
            <w:tcW w:w="320" w:type="dxa"/>
            <w:vAlign w:val="bottom"/>
            <w:tcBorders>
              <w:bottom w:val="single" w:sz="8" w:color="E5FF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(278)</w:t>
            </w:r>
          </w:p>
        </w:tc>
      </w:tr>
      <w:tr>
        <w:trPr>
          <w:trHeight w:val="196"/>
        </w:trPr>
        <w:tc>
          <w:tcPr>
            <w:tcW w:w="8080" w:type="dxa"/>
            <w:vAlign w:val="bottom"/>
            <w:shd w:val="clear" w:color="auto" w:fill="E5FFFF"/>
          </w:tcPr>
          <w:p>
            <w:pPr>
              <w:spacing w:after="0" w:line="196" w:lineRule="exact"/>
              <w:rPr>
                <w:sz w:val="20"/>
                <w:szCs w:val="20"/>
                <w:color w:val="auto"/>
              </w:rPr>
            </w:pPr>
            <w:r>
              <w:rPr>
                <w:rFonts w:ascii="Arial" w:cs="Arial" w:eastAsia="Arial" w:hAnsi="Arial"/>
                <w:sz w:val="18"/>
                <w:szCs w:val="18"/>
                <w:color w:val="auto"/>
              </w:rPr>
              <w:t>Net cash provided by operating activities</w:t>
            </w:r>
          </w:p>
        </w:tc>
        <w:tc>
          <w:tcPr>
            <w:tcW w:w="280" w:type="dxa"/>
            <w:vAlign w:val="bottom"/>
            <w:shd w:val="clear" w:color="auto" w:fill="E5FFFF"/>
          </w:tcPr>
          <w:p>
            <w:pPr>
              <w:spacing w:after="0"/>
              <w:rPr>
                <w:sz w:val="17"/>
                <w:szCs w:val="17"/>
                <w:color w:val="auto"/>
              </w:rPr>
            </w:pPr>
          </w:p>
        </w:tc>
        <w:tc>
          <w:tcPr>
            <w:tcW w:w="300" w:type="dxa"/>
            <w:vAlign w:val="bottom"/>
            <w:tcBorders>
              <w:bottom w:val="single" w:sz="8" w:color="auto"/>
            </w:tcBorders>
            <w:shd w:val="clear" w:color="auto" w:fill="E5FFFF"/>
          </w:tcPr>
          <w:p>
            <w:pPr>
              <w:spacing w:after="0"/>
              <w:rPr>
                <w:sz w:val="17"/>
                <w:szCs w:val="17"/>
                <w:color w:val="auto"/>
              </w:rPr>
            </w:pPr>
          </w:p>
        </w:tc>
        <w:tc>
          <w:tcPr>
            <w:tcW w:w="1080" w:type="dxa"/>
            <w:vAlign w:val="bottom"/>
            <w:tcBorders>
              <w:bottom w:val="single" w:sz="8" w:color="auto"/>
            </w:tcBorders>
            <w:gridSpan w:val="2"/>
            <w:shd w:val="clear" w:color="auto" w:fill="E5FFFF"/>
          </w:tcPr>
          <w:p>
            <w:pPr>
              <w:jc w:val="right"/>
              <w:ind w:right="120"/>
              <w:spacing w:after="0" w:line="196" w:lineRule="exact"/>
              <w:rPr>
                <w:sz w:val="20"/>
                <w:szCs w:val="20"/>
                <w:color w:val="auto"/>
              </w:rPr>
            </w:pPr>
            <w:r>
              <w:rPr>
                <w:rFonts w:ascii="Arial" w:cs="Arial" w:eastAsia="Arial" w:hAnsi="Arial"/>
                <w:sz w:val="18"/>
                <w:szCs w:val="18"/>
                <w:color w:val="auto"/>
              </w:rPr>
              <w:t>2,997</w:t>
            </w:r>
          </w:p>
        </w:tc>
        <w:tc>
          <w:tcPr>
            <w:tcW w:w="320" w:type="dxa"/>
            <w:vAlign w:val="bottom"/>
            <w:shd w:val="clear" w:color="auto" w:fill="E5FFFF"/>
          </w:tcPr>
          <w:p>
            <w:pPr>
              <w:spacing w:after="0"/>
              <w:rPr>
                <w:sz w:val="17"/>
                <w:szCs w:val="17"/>
                <w:color w:val="auto"/>
              </w:rPr>
            </w:pPr>
          </w:p>
        </w:tc>
        <w:tc>
          <w:tcPr>
            <w:tcW w:w="480" w:type="dxa"/>
            <w:vAlign w:val="bottom"/>
            <w:tcBorders>
              <w:bottom w:val="single" w:sz="8" w:color="auto"/>
            </w:tcBorders>
            <w:shd w:val="clear" w:color="auto" w:fill="E5FFFF"/>
          </w:tcPr>
          <w:p>
            <w:pPr>
              <w:spacing w:after="0"/>
              <w:rPr>
                <w:sz w:val="17"/>
                <w:szCs w:val="17"/>
                <w:color w:val="auto"/>
              </w:rPr>
            </w:pPr>
          </w:p>
        </w:tc>
        <w:tc>
          <w:tcPr>
            <w:tcW w:w="880" w:type="dxa"/>
            <w:vAlign w:val="bottom"/>
            <w:tcBorders>
              <w:bottom w:val="single" w:sz="8" w:color="auto"/>
            </w:tcBorders>
            <w:gridSpan w:val="2"/>
            <w:shd w:val="clear" w:color="auto" w:fill="E5FFFF"/>
          </w:tcPr>
          <w:p>
            <w:pPr>
              <w:jc w:val="right"/>
              <w:ind w:right="100"/>
              <w:spacing w:after="0" w:line="196" w:lineRule="exact"/>
              <w:rPr>
                <w:sz w:val="20"/>
                <w:szCs w:val="20"/>
                <w:color w:val="auto"/>
              </w:rPr>
            </w:pPr>
            <w:r>
              <w:rPr>
                <w:rFonts w:ascii="Arial" w:cs="Arial" w:eastAsia="Arial" w:hAnsi="Arial"/>
                <w:sz w:val="18"/>
                <w:szCs w:val="18"/>
                <w:color w:val="auto"/>
              </w:rPr>
              <w:t>2,387</w:t>
            </w:r>
          </w:p>
        </w:tc>
      </w:tr>
      <w:tr>
        <w:trPr>
          <w:trHeight w:val="196"/>
        </w:trPr>
        <w:tc>
          <w:tcPr>
            <w:tcW w:w="8080" w:type="dxa"/>
            <w:vAlign w:val="bottom"/>
          </w:tcPr>
          <w:p>
            <w:pPr>
              <w:spacing w:after="0" w:line="196" w:lineRule="exact"/>
              <w:rPr>
                <w:sz w:val="20"/>
                <w:szCs w:val="20"/>
                <w:color w:val="auto"/>
              </w:rPr>
            </w:pPr>
            <w:r>
              <w:rPr>
                <w:rFonts w:ascii="Arial" w:cs="Arial" w:eastAsia="Arial" w:hAnsi="Arial"/>
                <w:sz w:val="18"/>
                <w:szCs w:val="18"/>
                <w:b w:val="1"/>
                <w:bCs w:val="1"/>
                <w:color w:val="auto"/>
              </w:rPr>
              <w:t>Cash flows from investing activities:</w:t>
            </w: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8080" w:type="dxa"/>
            <w:vAlign w:val="bottom"/>
            <w:shd w:val="clear" w:color="auto" w:fill="E5FFFF"/>
          </w:tcPr>
          <w:p>
            <w:pPr>
              <w:ind w:left="180"/>
              <w:spacing w:after="0" w:line="202" w:lineRule="exact"/>
              <w:rPr>
                <w:sz w:val="20"/>
                <w:szCs w:val="20"/>
                <w:color w:val="auto"/>
              </w:rPr>
            </w:pPr>
            <w:r>
              <w:rPr>
                <w:rFonts w:ascii="Arial" w:cs="Arial" w:eastAsia="Arial" w:hAnsi="Arial"/>
                <w:sz w:val="18"/>
                <w:szCs w:val="18"/>
                <w:color w:val="auto"/>
              </w:rPr>
              <w:t>Expenditures for property, plant and equipment</w:t>
            </w:r>
          </w:p>
        </w:tc>
        <w:tc>
          <w:tcPr>
            <w:tcW w:w="28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1080" w:type="dxa"/>
            <w:vAlign w:val="bottom"/>
            <w:gridSpan w:val="2"/>
            <w:shd w:val="clear" w:color="auto" w:fill="E5FFFF"/>
          </w:tcPr>
          <w:p>
            <w:pPr>
              <w:jc w:val="right"/>
              <w:ind w:right="60"/>
              <w:spacing w:after="0" w:line="202" w:lineRule="exact"/>
              <w:rPr>
                <w:sz w:val="20"/>
                <w:szCs w:val="20"/>
                <w:color w:val="auto"/>
              </w:rPr>
            </w:pPr>
            <w:r>
              <w:rPr>
                <w:rFonts w:ascii="Arial" w:cs="Arial" w:eastAsia="Arial" w:hAnsi="Arial"/>
                <w:sz w:val="18"/>
                <w:szCs w:val="18"/>
                <w:color w:val="auto"/>
              </w:rPr>
              <w:t>(339)</w:t>
            </w:r>
          </w:p>
        </w:tc>
        <w:tc>
          <w:tcPr>
            <w:tcW w:w="320" w:type="dxa"/>
            <w:vAlign w:val="bottom"/>
            <w:shd w:val="clear" w:color="auto" w:fill="E5FFFF"/>
          </w:tcPr>
          <w:p>
            <w:pPr>
              <w:spacing w:after="0"/>
              <w:rPr>
                <w:sz w:val="17"/>
                <w:szCs w:val="17"/>
                <w:color w:val="auto"/>
              </w:rPr>
            </w:pPr>
          </w:p>
        </w:tc>
        <w:tc>
          <w:tcPr>
            <w:tcW w:w="480" w:type="dxa"/>
            <w:vAlign w:val="bottom"/>
            <w:shd w:val="clear" w:color="auto" w:fill="E5FFFF"/>
          </w:tcPr>
          <w:p>
            <w:pPr>
              <w:spacing w:after="0"/>
              <w:rPr>
                <w:sz w:val="17"/>
                <w:szCs w:val="17"/>
                <w:color w:val="auto"/>
              </w:rPr>
            </w:pPr>
          </w:p>
        </w:tc>
        <w:tc>
          <w:tcPr>
            <w:tcW w:w="880" w:type="dxa"/>
            <w:vAlign w:val="bottom"/>
            <w:gridSpan w:val="2"/>
            <w:shd w:val="clear" w:color="auto" w:fill="E5FFFF"/>
          </w:tcPr>
          <w:p>
            <w:pPr>
              <w:jc w:val="right"/>
              <w:ind w:right="40"/>
              <w:spacing w:after="0" w:line="202" w:lineRule="exact"/>
              <w:rPr>
                <w:sz w:val="20"/>
                <w:szCs w:val="20"/>
                <w:color w:val="auto"/>
              </w:rPr>
            </w:pPr>
            <w:r>
              <w:rPr>
                <w:rFonts w:ascii="Arial" w:cs="Arial" w:eastAsia="Arial" w:hAnsi="Arial"/>
                <w:sz w:val="18"/>
                <w:szCs w:val="18"/>
                <w:color w:val="auto"/>
              </w:rPr>
              <w:t>(401)</w:t>
            </w:r>
          </w:p>
        </w:tc>
      </w:tr>
      <w:tr>
        <w:trPr>
          <w:trHeight w:val="203"/>
        </w:trPr>
        <w:tc>
          <w:tcPr>
            <w:tcW w:w="8080" w:type="dxa"/>
            <w:vAlign w:val="bottom"/>
          </w:tcPr>
          <w:p>
            <w:pPr>
              <w:ind w:left="180"/>
              <w:spacing w:after="0" w:line="202" w:lineRule="exact"/>
              <w:rPr>
                <w:sz w:val="20"/>
                <w:szCs w:val="20"/>
                <w:color w:val="auto"/>
              </w:rPr>
            </w:pPr>
            <w:r>
              <w:rPr>
                <w:rFonts w:ascii="Arial" w:cs="Arial" w:eastAsia="Arial" w:hAnsi="Arial"/>
                <w:sz w:val="18"/>
                <w:szCs w:val="18"/>
                <w:color w:val="auto"/>
              </w:rPr>
              <w:t>Proceeds from disposals of property, plant and equipment</w:t>
            </w: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3</w:t>
            </w: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25</w:t>
            </w:r>
          </w:p>
        </w:tc>
      </w:tr>
      <w:tr>
        <w:trPr>
          <w:trHeight w:val="203"/>
        </w:trPr>
        <w:tc>
          <w:tcPr>
            <w:tcW w:w="8080" w:type="dxa"/>
            <w:vAlign w:val="bottom"/>
            <w:shd w:val="clear" w:color="auto" w:fill="E5FFFF"/>
          </w:tcPr>
          <w:p>
            <w:pPr>
              <w:ind w:left="180"/>
              <w:spacing w:after="0" w:line="202" w:lineRule="exact"/>
              <w:rPr>
                <w:sz w:val="20"/>
                <w:szCs w:val="20"/>
                <w:color w:val="auto"/>
              </w:rPr>
            </w:pPr>
            <w:r>
              <w:rPr>
                <w:rFonts w:ascii="Arial" w:cs="Arial" w:eastAsia="Arial" w:hAnsi="Arial"/>
                <w:sz w:val="18"/>
                <w:szCs w:val="18"/>
                <w:color w:val="auto"/>
              </w:rPr>
              <w:t>Increase in investments</w:t>
            </w:r>
          </w:p>
        </w:tc>
        <w:tc>
          <w:tcPr>
            <w:tcW w:w="28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1080" w:type="dxa"/>
            <w:vAlign w:val="bottom"/>
            <w:gridSpan w:val="2"/>
            <w:shd w:val="clear" w:color="auto" w:fill="E5FFFF"/>
          </w:tcPr>
          <w:p>
            <w:pPr>
              <w:jc w:val="right"/>
              <w:ind w:right="60"/>
              <w:spacing w:after="0" w:line="202" w:lineRule="exact"/>
              <w:rPr>
                <w:sz w:val="20"/>
                <w:szCs w:val="20"/>
                <w:color w:val="auto"/>
              </w:rPr>
            </w:pPr>
            <w:r>
              <w:rPr>
                <w:rFonts w:ascii="Arial" w:cs="Arial" w:eastAsia="Arial" w:hAnsi="Arial"/>
                <w:sz w:val="18"/>
                <w:szCs w:val="18"/>
                <w:color w:val="auto"/>
              </w:rPr>
              <w:t>(1,787)</w:t>
            </w:r>
          </w:p>
        </w:tc>
        <w:tc>
          <w:tcPr>
            <w:tcW w:w="320" w:type="dxa"/>
            <w:vAlign w:val="bottom"/>
            <w:shd w:val="clear" w:color="auto" w:fill="E5FFFF"/>
          </w:tcPr>
          <w:p>
            <w:pPr>
              <w:spacing w:after="0"/>
              <w:rPr>
                <w:sz w:val="17"/>
                <w:szCs w:val="17"/>
                <w:color w:val="auto"/>
              </w:rPr>
            </w:pPr>
          </w:p>
        </w:tc>
        <w:tc>
          <w:tcPr>
            <w:tcW w:w="480" w:type="dxa"/>
            <w:vAlign w:val="bottom"/>
            <w:shd w:val="clear" w:color="auto" w:fill="E5FFFF"/>
          </w:tcPr>
          <w:p>
            <w:pPr>
              <w:spacing w:after="0"/>
              <w:rPr>
                <w:sz w:val="17"/>
                <w:szCs w:val="17"/>
                <w:color w:val="auto"/>
              </w:rPr>
            </w:pPr>
          </w:p>
        </w:tc>
        <w:tc>
          <w:tcPr>
            <w:tcW w:w="880" w:type="dxa"/>
            <w:vAlign w:val="bottom"/>
            <w:gridSpan w:val="2"/>
            <w:shd w:val="clear" w:color="auto" w:fill="E5FFFF"/>
          </w:tcPr>
          <w:p>
            <w:pPr>
              <w:jc w:val="right"/>
              <w:ind w:right="40"/>
              <w:spacing w:after="0" w:line="202" w:lineRule="exact"/>
              <w:rPr>
                <w:sz w:val="20"/>
                <w:szCs w:val="20"/>
                <w:color w:val="auto"/>
              </w:rPr>
            </w:pPr>
            <w:r>
              <w:rPr>
                <w:rFonts w:ascii="Arial" w:cs="Arial" w:eastAsia="Arial" w:hAnsi="Arial"/>
                <w:sz w:val="18"/>
                <w:szCs w:val="18"/>
                <w:color w:val="auto"/>
              </w:rPr>
              <w:t>(2,329)</w:t>
            </w:r>
          </w:p>
        </w:tc>
      </w:tr>
      <w:tr>
        <w:trPr>
          <w:trHeight w:val="203"/>
        </w:trPr>
        <w:tc>
          <w:tcPr>
            <w:tcW w:w="8080" w:type="dxa"/>
            <w:vAlign w:val="bottom"/>
          </w:tcPr>
          <w:p>
            <w:pPr>
              <w:ind w:left="180"/>
              <w:spacing w:after="0" w:line="202" w:lineRule="exact"/>
              <w:rPr>
                <w:sz w:val="20"/>
                <w:szCs w:val="20"/>
                <w:color w:val="auto"/>
              </w:rPr>
            </w:pPr>
            <w:r>
              <w:rPr>
                <w:rFonts w:ascii="Arial" w:cs="Arial" w:eastAsia="Arial" w:hAnsi="Arial"/>
                <w:sz w:val="18"/>
                <w:szCs w:val="18"/>
                <w:color w:val="auto"/>
              </w:rPr>
              <w:t>Decrease in investments</w:t>
            </w: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3,508</w:t>
            </w: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1,841</w:t>
            </w:r>
          </w:p>
        </w:tc>
      </w:tr>
      <w:tr>
        <w:trPr>
          <w:trHeight w:val="203"/>
        </w:trPr>
        <w:tc>
          <w:tcPr>
            <w:tcW w:w="8080" w:type="dxa"/>
            <w:vAlign w:val="bottom"/>
            <w:shd w:val="clear" w:color="auto" w:fill="E5FFFF"/>
          </w:tcPr>
          <w:p>
            <w:pPr>
              <w:ind w:left="180"/>
              <w:spacing w:after="0" w:line="202" w:lineRule="exact"/>
              <w:rPr>
                <w:sz w:val="20"/>
                <w:szCs w:val="20"/>
                <w:color w:val="auto"/>
              </w:rPr>
            </w:pPr>
            <w:r>
              <w:rPr>
                <w:rFonts w:ascii="Arial" w:cs="Arial" w:eastAsia="Arial" w:hAnsi="Arial"/>
                <w:sz w:val="18"/>
                <w:szCs w:val="18"/>
                <w:color w:val="auto"/>
              </w:rPr>
              <w:t>Cash paid for acquisitions, net of cash acquired</w:t>
            </w:r>
          </w:p>
        </w:tc>
        <w:tc>
          <w:tcPr>
            <w:tcW w:w="28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1080" w:type="dxa"/>
            <w:vAlign w:val="bottom"/>
            <w:gridSpan w:val="2"/>
            <w:shd w:val="clear" w:color="auto" w:fill="E5FF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320" w:type="dxa"/>
            <w:vAlign w:val="bottom"/>
            <w:shd w:val="clear" w:color="auto" w:fill="E5FFFF"/>
          </w:tcPr>
          <w:p>
            <w:pPr>
              <w:spacing w:after="0"/>
              <w:rPr>
                <w:sz w:val="17"/>
                <w:szCs w:val="17"/>
                <w:color w:val="auto"/>
              </w:rPr>
            </w:pPr>
          </w:p>
        </w:tc>
        <w:tc>
          <w:tcPr>
            <w:tcW w:w="480" w:type="dxa"/>
            <w:vAlign w:val="bottom"/>
            <w:shd w:val="clear" w:color="auto" w:fill="E5FFFF"/>
          </w:tcPr>
          <w:p>
            <w:pPr>
              <w:spacing w:after="0"/>
              <w:rPr>
                <w:sz w:val="17"/>
                <w:szCs w:val="17"/>
                <w:color w:val="auto"/>
              </w:rPr>
            </w:pPr>
          </w:p>
        </w:tc>
        <w:tc>
          <w:tcPr>
            <w:tcW w:w="880" w:type="dxa"/>
            <w:vAlign w:val="bottom"/>
            <w:gridSpan w:val="2"/>
            <w:shd w:val="clear" w:color="auto" w:fill="E5FFFF"/>
          </w:tcPr>
          <w:p>
            <w:pPr>
              <w:jc w:val="right"/>
              <w:ind w:right="40"/>
              <w:spacing w:after="0" w:line="202" w:lineRule="exact"/>
              <w:rPr>
                <w:sz w:val="20"/>
                <w:szCs w:val="20"/>
                <w:color w:val="auto"/>
              </w:rPr>
            </w:pPr>
            <w:r>
              <w:rPr>
                <w:rFonts w:ascii="Arial" w:cs="Arial" w:eastAsia="Arial" w:hAnsi="Arial"/>
                <w:sz w:val="18"/>
                <w:szCs w:val="18"/>
                <w:color w:val="auto"/>
              </w:rPr>
              <w:t>(15)</w:t>
            </w:r>
          </w:p>
        </w:tc>
      </w:tr>
      <w:tr>
        <w:trPr>
          <w:trHeight w:val="216"/>
        </w:trPr>
        <w:tc>
          <w:tcPr>
            <w:tcW w:w="8080" w:type="dxa"/>
            <w:vAlign w:val="bottom"/>
            <w:tcBorders>
              <w:bottom w:val="single" w:sz="8" w:color="E5FFFF"/>
            </w:tcBorders>
          </w:tcPr>
          <w:p>
            <w:pPr>
              <w:ind w:left="18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E5FF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220</w:t>
            </w:r>
          </w:p>
        </w:tc>
        <w:tc>
          <w:tcPr>
            <w:tcW w:w="320" w:type="dxa"/>
            <w:vAlign w:val="bottom"/>
            <w:tcBorders>
              <w:bottom w:val="single" w:sz="8" w:color="E5FF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(113)</w:t>
            </w:r>
          </w:p>
        </w:tc>
      </w:tr>
      <w:tr>
        <w:trPr>
          <w:trHeight w:val="196"/>
        </w:trPr>
        <w:tc>
          <w:tcPr>
            <w:tcW w:w="8080" w:type="dxa"/>
            <w:vAlign w:val="bottom"/>
            <w:shd w:val="clear" w:color="auto" w:fill="E5FFFF"/>
          </w:tcPr>
          <w:p>
            <w:pPr>
              <w:spacing w:after="0" w:line="196" w:lineRule="exact"/>
              <w:rPr>
                <w:sz w:val="20"/>
                <w:szCs w:val="20"/>
                <w:color w:val="auto"/>
              </w:rPr>
            </w:pPr>
            <w:r>
              <w:rPr>
                <w:rFonts w:ascii="Arial" w:cs="Arial" w:eastAsia="Arial" w:hAnsi="Arial"/>
                <w:sz w:val="18"/>
                <w:szCs w:val="18"/>
                <w:color w:val="auto"/>
              </w:rPr>
              <w:t>Net cash provided by (used for) investing activities</w:t>
            </w:r>
          </w:p>
        </w:tc>
        <w:tc>
          <w:tcPr>
            <w:tcW w:w="280" w:type="dxa"/>
            <w:vAlign w:val="bottom"/>
            <w:shd w:val="clear" w:color="auto" w:fill="E5FFFF"/>
          </w:tcPr>
          <w:p>
            <w:pPr>
              <w:spacing w:after="0"/>
              <w:rPr>
                <w:sz w:val="17"/>
                <w:szCs w:val="17"/>
                <w:color w:val="auto"/>
              </w:rPr>
            </w:pPr>
          </w:p>
        </w:tc>
        <w:tc>
          <w:tcPr>
            <w:tcW w:w="300" w:type="dxa"/>
            <w:vAlign w:val="bottom"/>
            <w:tcBorders>
              <w:bottom w:val="single" w:sz="8" w:color="auto"/>
            </w:tcBorders>
            <w:shd w:val="clear" w:color="auto" w:fill="E5FFFF"/>
          </w:tcPr>
          <w:p>
            <w:pPr>
              <w:spacing w:after="0"/>
              <w:rPr>
                <w:sz w:val="17"/>
                <w:szCs w:val="17"/>
                <w:color w:val="auto"/>
              </w:rPr>
            </w:pPr>
          </w:p>
        </w:tc>
        <w:tc>
          <w:tcPr>
            <w:tcW w:w="1080" w:type="dxa"/>
            <w:vAlign w:val="bottom"/>
            <w:tcBorders>
              <w:bottom w:val="single" w:sz="8" w:color="auto"/>
            </w:tcBorders>
            <w:gridSpan w:val="2"/>
            <w:shd w:val="clear" w:color="auto" w:fill="E5FFFF"/>
          </w:tcPr>
          <w:p>
            <w:pPr>
              <w:jc w:val="right"/>
              <w:ind w:right="120"/>
              <w:spacing w:after="0" w:line="196" w:lineRule="exact"/>
              <w:rPr>
                <w:sz w:val="20"/>
                <w:szCs w:val="20"/>
                <w:color w:val="auto"/>
              </w:rPr>
            </w:pPr>
            <w:r>
              <w:rPr>
                <w:rFonts w:ascii="Arial" w:cs="Arial" w:eastAsia="Arial" w:hAnsi="Arial"/>
                <w:sz w:val="18"/>
                <w:szCs w:val="18"/>
                <w:color w:val="auto"/>
              </w:rPr>
              <w:t>1,605</w:t>
            </w:r>
          </w:p>
        </w:tc>
        <w:tc>
          <w:tcPr>
            <w:tcW w:w="320" w:type="dxa"/>
            <w:vAlign w:val="bottom"/>
            <w:shd w:val="clear" w:color="auto" w:fill="E5FFFF"/>
          </w:tcPr>
          <w:p>
            <w:pPr>
              <w:spacing w:after="0"/>
              <w:rPr>
                <w:sz w:val="17"/>
                <w:szCs w:val="17"/>
                <w:color w:val="auto"/>
              </w:rPr>
            </w:pPr>
          </w:p>
        </w:tc>
        <w:tc>
          <w:tcPr>
            <w:tcW w:w="480" w:type="dxa"/>
            <w:vAlign w:val="bottom"/>
            <w:tcBorders>
              <w:bottom w:val="single" w:sz="8" w:color="auto"/>
            </w:tcBorders>
            <w:shd w:val="clear" w:color="auto" w:fill="E5FFFF"/>
          </w:tcPr>
          <w:p>
            <w:pPr>
              <w:spacing w:after="0"/>
              <w:rPr>
                <w:sz w:val="17"/>
                <w:szCs w:val="17"/>
                <w:color w:val="auto"/>
              </w:rPr>
            </w:pPr>
          </w:p>
        </w:tc>
        <w:tc>
          <w:tcPr>
            <w:tcW w:w="880" w:type="dxa"/>
            <w:vAlign w:val="bottom"/>
            <w:tcBorders>
              <w:bottom w:val="single" w:sz="8" w:color="auto"/>
            </w:tcBorders>
            <w:gridSpan w:val="2"/>
            <w:shd w:val="clear" w:color="auto" w:fill="E5FFFF"/>
          </w:tcPr>
          <w:p>
            <w:pPr>
              <w:jc w:val="right"/>
              <w:ind w:right="40"/>
              <w:spacing w:after="0" w:line="196" w:lineRule="exact"/>
              <w:rPr>
                <w:sz w:val="20"/>
                <w:szCs w:val="20"/>
                <w:color w:val="auto"/>
              </w:rPr>
            </w:pPr>
            <w:r>
              <w:rPr>
                <w:rFonts w:ascii="Arial" w:cs="Arial" w:eastAsia="Arial" w:hAnsi="Arial"/>
                <w:sz w:val="18"/>
                <w:szCs w:val="18"/>
                <w:color w:val="auto"/>
              </w:rPr>
              <w:t>(992)</w:t>
            </w:r>
          </w:p>
        </w:tc>
      </w:tr>
      <w:tr>
        <w:trPr>
          <w:trHeight w:val="196"/>
        </w:trPr>
        <w:tc>
          <w:tcPr>
            <w:tcW w:w="8080" w:type="dxa"/>
            <w:vAlign w:val="bottom"/>
          </w:tcPr>
          <w:p>
            <w:pPr>
              <w:spacing w:after="0" w:line="196" w:lineRule="exact"/>
              <w:rPr>
                <w:sz w:val="20"/>
                <w:szCs w:val="20"/>
                <w:color w:val="auto"/>
              </w:rPr>
            </w:pPr>
            <w:r>
              <w:rPr>
                <w:rFonts w:ascii="Arial" w:cs="Arial" w:eastAsia="Arial" w:hAnsi="Arial"/>
                <w:sz w:val="18"/>
                <w:szCs w:val="18"/>
                <w:b w:val="1"/>
                <w:bCs w:val="1"/>
                <w:color w:val="auto"/>
              </w:rPr>
              <w:t>Cash flows from financing activities:</w:t>
            </w: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8080" w:type="dxa"/>
            <w:vAlign w:val="bottom"/>
            <w:shd w:val="clear" w:color="auto" w:fill="E5FFFF"/>
          </w:tcPr>
          <w:p>
            <w:pPr>
              <w:ind w:left="180"/>
              <w:spacing w:after="0" w:line="202" w:lineRule="exact"/>
              <w:rPr>
                <w:sz w:val="20"/>
                <w:szCs w:val="20"/>
                <w:color w:val="auto"/>
              </w:rPr>
            </w:pPr>
            <w:r>
              <w:rPr>
                <w:rFonts w:ascii="Arial" w:cs="Arial" w:eastAsia="Arial" w:hAnsi="Arial"/>
                <w:sz w:val="18"/>
                <w:szCs w:val="18"/>
                <w:color w:val="auto"/>
              </w:rPr>
              <w:t>Proceeds from issuance of commercial paper and other short-term borrowings</w:t>
            </w:r>
          </w:p>
        </w:tc>
        <w:tc>
          <w:tcPr>
            <w:tcW w:w="28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1080" w:type="dxa"/>
            <w:vAlign w:val="bottom"/>
            <w:gridSpan w:val="2"/>
            <w:shd w:val="clear" w:color="auto" w:fill="E5FFFF"/>
          </w:tcPr>
          <w:p>
            <w:pPr>
              <w:jc w:val="right"/>
              <w:ind w:right="120"/>
              <w:spacing w:after="0" w:line="202" w:lineRule="exact"/>
              <w:rPr>
                <w:sz w:val="20"/>
                <w:szCs w:val="20"/>
                <w:color w:val="auto"/>
              </w:rPr>
            </w:pPr>
            <w:r>
              <w:rPr>
                <w:rFonts w:ascii="Arial" w:cs="Arial" w:eastAsia="Arial" w:hAnsi="Arial"/>
                <w:sz w:val="18"/>
                <w:szCs w:val="18"/>
                <w:color w:val="auto"/>
              </w:rPr>
              <w:t>12,749</w:t>
            </w:r>
          </w:p>
        </w:tc>
        <w:tc>
          <w:tcPr>
            <w:tcW w:w="320" w:type="dxa"/>
            <w:vAlign w:val="bottom"/>
            <w:shd w:val="clear" w:color="auto" w:fill="E5FFFF"/>
          </w:tcPr>
          <w:p>
            <w:pPr>
              <w:spacing w:after="0"/>
              <w:rPr>
                <w:sz w:val="17"/>
                <w:szCs w:val="17"/>
                <w:color w:val="auto"/>
              </w:rPr>
            </w:pPr>
          </w:p>
        </w:tc>
        <w:tc>
          <w:tcPr>
            <w:tcW w:w="480" w:type="dxa"/>
            <w:vAlign w:val="bottom"/>
            <w:shd w:val="clear" w:color="auto" w:fill="E5FFFF"/>
          </w:tcPr>
          <w:p>
            <w:pPr>
              <w:spacing w:after="0"/>
              <w:rPr>
                <w:sz w:val="17"/>
                <w:szCs w:val="17"/>
                <w:color w:val="auto"/>
              </w:rPr>
            </w:pPr>
          </w:p>
        </w:tc>
        <w:tc>
          <w:tcPr>
            <w:tcW w:w="880" w:type="dxa"/>
            <w:vAlign w:val="bottom"/>
            <w:gridSpan w:val="2"/>
            <w:shd w:val="clear" w:color="auto" w:fill="E5FFFF"/>
          </w:tcPr>
          <w:p>
            <w:pPr>
              <w:jc w:val="right"/>
              <w:ind w:right="100"/>
              <w:spacing w:after="0" w:line="202" w:lineRule="exact"/>
              <w:rPr>
                <w:sz w:val="20"/>
                <w:szCs w:val="20"/>
                <w:color w:val="auto"/>
              </w:rPr>
            </w:pPr>
            <w:r>
              <w:rPr>
                <w:rFonts w:ascii="Arial" w:cs="Arial" w:eastAsia="Arial" w:hAnsi="Arial"/>
                <w:sz w:val="18"/>
                <w:szCs w:val="18"/>
                <w:color w:val="auto"/>
              </w:rPr>
              <w:t>5,036</w:t>
            </w:r>
          </w:p>
        </w:tc>
      </w:tr>
      <w:tr>
        <w:trPr>
          <w:trHeight w:val="203"/>
        </w:trPr>
        <w:tc>
          <w:tcPr>
            <w:tcW w:w="8080" w:type="dxa"/>
            <w:vAlign w:val="bottom"/>
          </w:tcPr>
          <w:p>
            <w:pPr>
              <w:ind w:left="180"/>
              <w:spacing w:after="0" w:line="202" w:lineRule="exact"/>
              <w:rPr>
                <w:sz w:val="20"/>
                <w:szCs w:val="20"/>
                <w:color w:val="auto"/>
              </w:rPr>
            </w:pPr>
            <w:r>
              <w:rPr>
                <w:rFonts w:ascii="Arial" w:cs="Arial" w:eastAsia="Arial" w:hAnsi="Arial"/>
                <w:sz w:val="18"/>
                <w:szCs w:val="18"/>
                <w:color w:val="auto"/>
              </w:rPr>
              <w:t>Payments of commercial paper and other short-term borrowings</w:t>
            </w: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(12,152)</w:t>
            </w: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(4,835)</w:t>
            </w:r>
          </w:p>
        </w:tc>
      </w:tr>
      <w:tr>
        <w:trPr>
          <w:trHeight w:val="203"/>
        </w:trPr>
        <w:tc>
          <w:tcPr>
            <w:tcW w:w="8080" w:type="dxa"/>
            <w:vAlign w:val="bottom"/>
            <w:shd w:val="clear" w:color="auto" w:fill="E5FFFF"/>
          </w:tcPr>
          <w:p>
            <w:pPr>
              <w:ind w:left="180"/>
              <w:spacing w:after="0" w:line="202" w:lineRule="exact"/>
              <w:rPr>
                <w:sz w:val="20"/>
                <w:szCs w:val="20"/>
                <w:color w:val="auto"/>
              </w:rPr>
            </w:pPr>
            <w:r>
              <w:rPr>
                <w:rFonts w:ascii="Arial" w:cs="Arial" w:eastAsia="Arial" w:hAnsi="Arial"/>
                <w:sz w:val="18"/>
                <w:szCs w:val="18"/>
                <w:color w:val="auto"/>
              </w:rPr>
              <w:t>Proceeds from issuance of common stock</w:t>
            </w:r>
          </w:p>
        </w:tc>
        <w:tc>
          <w:tcPr>
            <w:tcW w:w="28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1080" w:type="dxa"/>
            <w:vAlign w:val="bottom"/>
            <w:gridSpan w:val="2"/>
            <w:shd w:val="clear" w:color="auto" w:fill="E5FFFF"/>
          </w:tcPr>
          <w:p>
            <w:pPr>
              <w:jc w:val="right"/>
              <w:ind w:right="120"/>
              <w:spacing w:after="0" w:line="202" w:lineRule="exact"/>
              <w:rPr>
                <w:sz w:val="20"/>
                <w:szCs w:val="20"/>
                <w:color w:val="auto"/>
              </w:rPr>
            </w:pPr>
            <w:r>
              <w:rPr>
                <w:rFonts w:ascii="Arial" w:cs="Arial" w:eastAsia="Arial" w:hAnsi="Arial"/>
                <w:sz w:val="18"/>
                <w:szCs w:val="18"/>
                <w:color w:val="auto"/>
              </w:rPr>
              <w:t>127</w:t>
            </w:r>
          </w:p>
        </w:tc>
        <w:tc>
          <w:tcPr>
            <w:tcW w:w="320" w:type="dxa"/>
            <w:vAlign w:val="bottom"/>
            <w:shd w:val="clear" w:color="auto" w:fill="E5FFFF"/>
          </w:tcPr>
          <w:p>
            <w:pPr>
              <w:spacing w:after="0"/>
              <w:rPr>
                <w:sz w:val="17"/>
                <w:szCs w:val="17"/>
                <w:color w:val="auto"/>
              </w:rPr>
            </w:pPr>
          </w:p>
        </w:tc>
        <w:tc>
          <w:tcPr>
            <w:tcW w:w="480" w:type="dxa"/>
            <w:vAlign w:val="bottom"/>
            <w:shd w:val="clear" w:color="auto" w:fill="E5FFFF"/>
          </w:tcPr>
          <w:p>
            <w:pPr>
              <w:spacing w:after="0"/>
              <w:rPr>
                <w:sz w:val="17"/>
                <w:szCs w:val="17"/>
                <w:color w:val="auto"/>
              </w:rPr>
            </w:pPr>
          </w:p>
        </w:tc>
        <w:tc>
          <w:tcPr>
            <w:tcW w:w="880" w:type="dxa"/>
            <w:vAlign w:val="bottom"/>
            <w:gridSpan w:val="2"/>
            <w:shd w:val="clear" w:color="auto" w:fill="E5FFFF"/>
          </w:tcPr>
          <w:p>
            <w:pPr>
              <w:jc w:val="right"/>
              <w:ind w:right="100"/>
              <w:spacing w:after="0" w:line="202" w:lineRule="exact"/>
              <w:rPr>
                <w:sz w:val="20"/>
                <w:szCs w:val="20"/>
                <w:color w:val="auto"/>
              </w:rPr>
            </w:pPr>
            <w:r>
              <w:rPr>
                <w:rFonts w:ascii="Arial" w:cs="Arial" w:eastAsia="Arial" w:hAnsi="Arial"/>
                <w:sz w:val="18"/>
                <w:szCs w:val="18"/>
                <w:color w:val="auto"/>
              </w:rPr>
              <w:t>376</w:t>
            </w:r>
          </w:p>
        </w:tc>
      </w:tr>
      <w:tr>
        <w:trPr>
          <w:trHeight w:val="203"/>
        </w:trPr>
        <w:tc>
          <w:tcPr>
            <w:tcW w:w="8080" w:type="dxa"/>
            <w:vAlign w:val="bottom"/>
          </w:tcPr>
          <w:p>
            <w:pPr>
              <w:ind w:left="180"/>
              <w:spacing w:after="0" w:line="202" w:lineRule="exact"/>
              <w:rPr>
                <w:sz w:val="20"/>
                <w:szCs w:val="20"/>
                <w:color w:val="auto"/>
              </w:rPr>
            </w:pPr>
            <w:r>
              <w:rPr>
                <w:rFonts w:ascii="Arial" w:cs="Arial" w:eastAsia="Arial" w:hAnsi="Arial"/>
                <w:sz w:val="18"/>
                <w:szCs w:val="18"/>
                <w:color w:val="auto"/>
              </w:rPr>
              <w:t>Proceeds from issuance of long-term debt</w:t>
            </w: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5</w:t>
            </w: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16</w:t>
            </w:r>
          </w:p>
        </w:tc>
      </w:tr>
      <w:tr>
        <w:trPr>
          <w:trHeight w:val="203"/>
        </w:trPr>
        <w:tc>
          <w:tcPr>
            <w:tcW w:w="8080" w:type="dxa"/>
            <w:vAlign w:val="bottom"/>
            <w:shd w:val="clear" w:color="auto" w:fill="E5FFFF"/>
          </w:tcPr>
          <w:p>
            <w:pPr>
              <w:ind w:left="180"/>
              <w:spacing w:after="0" w:line="202" w:lineRule="exact"/>
              <w:rPr>
                <w:sz w:val="20"/>
                <w:szCs w:val="20"/>
                <w:color w:val="auto"/>
              </w:rPr>
            </w:pPr>
            <w:r>
              <w:rPr>
                <w:rFonts w:ascii="Arial" w:cs="Arial" w:eastAsia="Arial" w:hAnsi="Arial"/>
                <w:sz w:val="18"/>
                <w:szCs w:val="18"/>
                <w:color w:val="auto"/>
              </w:rPr>
              <w:t>Payments of long-term debt</w:t>
            </w:r>
          </w:p>
        </w:tc>
        <w:tc>
          <w:tcPr>
            <w:tcW w:w="28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1080" w:type="dxa"/>
            <w:vAlign w:val="bottom"/>
            <w:gridSpan w:val="2"/>
            <w:shd w:val="clear" w:color="auto" w:fill="E5FFFF"/>
          </w:tcPr>
          <w:p>
            <w:pPr>
              <w:jc w:val="right"/>
              <w:ind w:right="60"/>
              <w:spacing w:after="0" w:line="202" w:lineRule="exact"/>
              <w:rPr>
                <w:sz w:val="20"/>
                <w:szCs w:val="20"/>
                <w:color w:val="auto"/>
              </w:rPr>
            </w:pPr>
            <w:r>
              <w:rPr>
                <w:rFonts w:ascii="Arial" w:cs="Arial" w:eastAsia="Arial" w:hAnsi="Arial"/>
                <w:sz w:val="18"/>
                <w:szCs w:val="18"/>
                <w:color w:val="auto"/>
              </w:rPr>
              <w:t>(1,277)</w:t>
            </w:r>
          </w:p>
        </w:tc>
        <w:tc>
          <w:tcPr>
            <w:tcW w:w="320" w:type="dxa"/>
            <w:vAlign w:val="bottom"/>
            <w:shd w:val="clear" w:color="auto" w:fill="E5FFFF"/>
          </w:tcPr>
          <w:p>
            <w:pPr>
              <w:spacing w:after="0"/>
              <w:rPr>
                <w:sz w:val="17"/>
                <w:szCs w:val="17"/>
                <w:color w:val="auto"/>
              </w:rPr>
            </w:pPr>
          </w:p>
        </w:tc>
        <w:tc>
          <w:tcPr>
            <w:tcW w:w="480" w:type="dxa"/>
            <w:vAlign w:val="bottom"/>
            <w:shd w:val="clear" w:color="auto" w:fill="E5FFFF"/>
          </w:tcPr>
          <w:p>
            <w:pPr>
              <w:spacing w:after="0"/>
              <w:rPr>
                <w:sz w:val="17"/>
                <w:szCs w:val="17"/>
                <w:color w:val="auto"/>
              </w:rPr>
            </w:pPr>
          </w:p>
        </w:tc>
        <w:tc>
          <w:tcPr>
            <w:tcW w:w="880" w:type="dxa"/>
            <w:vAlign w:val="bottom"/>
            <w:gridSpan w:val="2"/>
            <w:shd w:val="clear" w:color="auto" w:fill="E5FFFF"/>
          </w:tcPr>
          <w:p>
            <w:pPr>
              <w:jc w:val="right"/>
              <w:ind w:right="40"/>
              <w:spacing w:after="0" w:line="202" w:lineRule="exact"/>
              <w:rPr>
                <w:sz w:val="20"/>
                <w:szCs w:val="20"/>
                <w:color w:val="auto"/>
              </w:rPr>
            </w:pPr>
            <w:r>
              <w:rPr>
                <w:rFonts w:ascii="Arial" w:cs="Arial" w:eastAsia="Arial" w:hAnsi="Arial"/>
                <w:sz w:val="18"/>
                <w:szCs w:val="18"/>
                <w:color w:val="auto"/>
              </w:rPr>
              <w:t>(30)</w:t>
            </w:r>
          </w:p>
        </w:tc>
      </w:tr>
      <w:tr>
        <w:trPr>
          <w:trHeight w:val="203"/>
        </w:trPr>
        <w:tc>
          <w:tcPr>
            <w:tcW w:w="8080" w:type="dxa"/>
            <w:vAlign w:val="bottom"/>
          </w:tcPr>
          <w:p>
            <w:pPr>
              <w:ind w:left="180"/>
              <w:spacing w:after="0" w:line="202" w:lineRule="exact"/>
              <w:rPr>
                <w:sz w:val="20"/>
                <w:szCs w:val="20"/>
                <w:color w:val="auto"/>
              </w:rPr>
            </w:pPr>
            <w:r>
              <w:rPr>
                <w:rFonts w:ascii="Arial" w:cs="Arial" w:eastAsia="Arial" w:hAnsi="Arial"/>
                <w:sz w:val="18"/>
                <w:szCs w:val="18"/>
                <w:color w:val="auto"/>
              </w:rPr>
              <w:t>Repurchases of common stock</w:t>
            </w: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(1,704)</w:t>
            </w: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(992)</w:t>
            </w:r>
          </w:p>
        </w:tc>
      </w:tr>
      <w:tr>
        <w:trPr>
          <w:trHeight w:val="203"/>
        </w:trPr>
        <w:tc>
          <w:tcPr>
            <w:tcW w:w="8080" w:type="dxa"/>
            <w:vAlign w:val="bottom"/>
            <w:shd w:val="clear" w:color="auto" w:fill="E5FFFF"/>
          </w:tcPr>
          <w:p>
            <w:pPr>
              <w:ind w:left="180"/>
              <w:spacing w:after="0" w:line="202" w:lineRule="exact"/>
              <w:rPr>
                <w:sz w:val="20"/>
                <w:szCs w:val="20"/>
                <w:color w:val="auto"/>
              </w:rPr>
            </w:pPr>
            <w:r>
              <w:rPr>
                <w:rFonts w:ascii="Arial" w:cs="Arial" w:eastAsia="Arial" w:hAnsi="Arial"/>
                <w:sz w:val="18"/>
                <w:szCs w:val="18"/>
                <w:color w:val="auto"/>
              </w:rPr>
              <w:t>Cash dividends paid</w:t>
            </w:r>
          </w:p>
        </w:tc>
        <w:tc>
          <w:tcPr>
            <w:tcW w:w="28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1080" w:type="dxa"/>
            <w:vAlign w:val="bottom"/>
            <w:gridSpan w:val="2"/>
            <w:shd w:val="clear" w:color="auto" w:fill="E5FFFF"/>
          </w:tcPr>
          <w:p>
            <w:pPr>
              <w:jc w:val="right"/>
              <w:ind w:right="60"/>
              <w:spacing w:after="0" w:line="202" w:lineRule="exact"/>
              <w:rPr>
                <w:sz w:val="20"/>
                <w:szCs w:val="20"/>
                <w:color w:val="auto"/>
              </w:rPr>
            </w:pPr>
            <w:r>
              <w:rPr>
                <w:rFonts w:ascii="Arial" w:cs="Arial" w:eastAsia="Arial" w:hAnsi="Arial"/>
                <w:sz w:val="18"/>
                <w:szCs w:val="18"/>
                <w:color w:val="auto"/>
              </w:rPr>
              <w:t>(1,116)</w:t>
            </w:r>
          </w:p>
        </w:tc>
        <w:tc>
          <w:tcPr>
            <w:tcW w:w="320" w:type="dxa"/>
            <w:vAlign w:val="bottom"/>
            <w:shd w:val="clear" w:color="auto" w:fill="E5FFFF"/>
          </w:tcPr>
          <w:p>
            <w:pPr>
              <w:spacing w:after="0"/>
              <w:rPr>
                <w:sz w:val="17"/>
                <w:szCs w:val="17"/>
                <w:color w:val="auto"/>
              </w:rPr>
            </w:pPr>
          </w:p>
        </w:tc>
        <w:tc>
          <w:tcPr>
            <w:tcW w:w="480" w:type="dxa"/>
            <w:vAlign w:val="bottom"/>
            <w:shd w:val="clear" w:color="auto" w:fill="E5FFFF"/>
          </w:tcPr>
          <w:p>
            <w:pPr>
              <w:spacing w:after="0"/>
              <w:rPr>
                <w:sz w:val="17"/>
                <w:szCs w:val="17"/>
                <w:color w:val="auto"/>
              </w:rPr>
            </w:pPr>
          </w:p>
        </w:tc>
        <w:tc>
          <w:tcPr>
            <w:tcW w:w="880" w:type="dxa"/>
            <w:vAlign w:val="bottom"/>
            <w:gridSpan w:val="2"/>
            <w:shd w:val="clear" w:color="auto" w:fill="E5FFFF"/>
          </w:tcPr>
          <w:p>
            <w:pPr>
              <w:jc w:val="right"/>
              <w:ind w:right="40"/>
              <w:spacing w:after="0" w:line="202" w:lineRule="exact"/>
              <w:rPr>
                <w:sz w:val="20"/>
                <w:szCs w:val="20"/>
                <w:color w:val="auto"/>
              </w:rPr>
            </w:pPr>
            <w:r>
              <w:rPr>
                <w:rFonts w:ascii="Arial" w:cs="Arial" w:eastAsia="Arial" w:hAnsi="Arial"/>
                <w:sz w:val="18"/>
                <w:szCs w:val="18"/>
                <w:color w:val="auto"/>
              </w:rPr>
              <w:t>(1,049)</w:t>
            </w:r>
          </w:p>
        </w:tc>
      </w:tr>
      <w:tr>
        <w:trPr>
          <w:trHeight w:val="216"/>
        </w:trPr>
        <w:tc>
          <w:tcPr>
            <w:tcW w:w="8080" w:type="dxa"/>
            <w:vAlign w:val="bottom"/>
            <w:tcBorders>
              <w:bottom w:val="single" w:sz="8" w:color="E5FFFF"/>
            </w:tcBorders>
          </w:tcPr>
          <w:p>
            <w:pPr>
              <w:ind w:left="18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E5FF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(118)</w:t>
            </w:r>
          </w:p>
        </w:tc>
        <w:tc>
          <w:tcPr>
            <w:tcW w:w="320" w:type="dxa"/>
            <w:vAlign w:val="bottom"/>
            <w:tcBorders>
              <w:bottom w:val="single" w:sz="8" w:color="E5FF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(105)</w:t>
            </w:r>
          </w:p>
        </w:tc>
      </w:tr>
      <w:tr>
        <w:trPr>
          <w:trHeight w:val="210"/>
        </w:trPr>
        <w:tc>
          <w:tcPr>
            <w:tcW w:w="8080" w:type="dxa"/>
            <w:vAlign w:val="bottom"/>
            <w:shd w:val="clear" w:color="auto" w:fill="E5FFFF"/>
          </w:tcPr>
          <w:p>
            <w:pPr>
              <w:spacing w:after="0"/>
              <w:rPr>
                <w:sz w:val="20"/>
                <w:szCs w:val="20"/>
                <w:color w:val="auto"/>
              </w:rPr>
            </w:pPr>
            <w:r>
              <w:rPr>
                <w:rFonts w:ascii="Arial" w:cs="Arial" w:eastAsia="Arial" w:hAnsi="Arial"/>
                <w:sz w:val="18"/>
                <w:szCs w:val="18"/>
                <w:color w:val="auto"/>
              </w:rPr>
              <w:t>Net cash used for financing activities</w:t>
            </w:r>
          </w:p>
        </w:tc>
        <w:tc>
          <w:tcPr>
            <w:tcW w:w="280" w:type="dxa"/>
            <w:vAlign w:val="bottom"/>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1080" w:type="dxa"/>
            <w:vAlign w:val="bottom"/>
            <w:gridSpan w:val="2"/>
            <w:shd w:val="clear" w:color="auto" w:fill="E5FFFF"/>
          </w:tcPr>
          <w:p>
            <w:pPr>
              <w:jc w:val="right"/>
              <w:ind w:right="60"/>
              <w:spacing w:after="0"/>
              <w:rPr>
                <w:sz w:val="20"/>
                <w:szCs w:val="20"/>
                <w:color w:val="auto"/>
              </w:rPr>
            </w:pPr>
            <w:r>
              <w:rPr>
                <w:rFonts w:ascii="Arial" w:cs="Arial" w:eastAsia="Arial" w:hAnsi="Arial"/>
                <w:sz w:val="18"/>
                <w:szCs w:val="18"/>
                <w:color w:val="auto"/>
              </w:rPr>
              <w:t>(3,486)</w:t>
            </w:r>
          </w:p>
        </w:tc>
        <w:tc>
          <w:tcPr>
            <w:tcW w:w="320" w:type="dxa"/>
            <w:vAlign w:val="bottom"/>
            <w:shd w:val="clear" w:color="auto" w:fill="E5FFFF"/>
          </w:tcPr>
          <w:p>
            <w:pPr>
              <w:spacing w:after="0"/>
              <w:rPr>
                <w:sz w:val="18"/>
                <w:szCs w:val="18"/>
                <w:color w:val="auto"/>
              </w:rPr>
            </w:pPr>
          </w:p>
        </w:tc>
        <w:tc>
          <w:tcPr>
            <w:tcW w:w="480" w:type="dxa"/>
            <w:vAlign w:val="bottom"/>
            <w:shd w:val="clear" w:color="auto" w:fill="E5FFFF"/>
          </w:tcPr>
          <w:p>
            <w:pPr>
              <w:spacing w:after="0"/>
              <w:rPr>
                <w:sz w:val="18"/>
                <w:szCs w:val="18"/>
                <w:color w:val="auto"/>
              </w:rPr>
            </w:pPr>
          </w:p>
        </w:tc>
        <w:tc>
          <w:tcPr>
            <w:tcW w:w="880" w:type="dxa"/>
            <w:vAlign w:val="bottom"/>
            <w:gridSpan w:val="2"/>
            <w:shd w:val="clear" w:color="auto" w:fill="E5FFFF"/>
          </w:tcPr>
          <w:p>
            <w:pPr>
              <w:jc w:val="right"/>
              <w:ind w:right="40"/>
              <w:spacing w:after="0"/>
              <w:rPr>
                <w:sz w:val="20"/>
                <w:szCs w:val="20"/>
                <w:color w:val="auto"/>
              </w:rPr>
            </w:pPr>
            <w:r>
              <w:rPr>
                <w:rFonts w:ascii="Arial" w:cs="Arial" w:eastAsia="Arial" w:hAnsi="Arial"/>
                <w:sz w:val="18"/>
                <w:szCs w:val="18"/>
                <w:color w:val="auto"/>
              </w:rPr>
              <w:t>(1,583)</w:t>
            </w:r>
          </w:p>
        </w:tc>
      </w:tr>
      <w:tr>
        <w:trPr>
          <w:trHeight w:val="196"/>
        </w:trPr>
        <w:tc>
          <w:tcPr>
            <w:tcW w:w="8080" w:type="dxa"/>
            <w:vAlign w:val="bottom"/>
            <w:tcBorders>
              <w:bottom w:val="single" w:sz="8" w:color="E5FFFF"/>
            </w:tcBorders>
          </w:tcPr>
          <w:p>
            <w:pPr>
              <w:spacing w:after="0" w:line="196" w:lineRule="exact"/>
              <w:rPr>
                <w:sz w:val="20"/>
                <w:szCs w:val="20"/>
                <w:color w:val="auto"/>
              </w:rPr>
            </w:pPr>
            <w:r>
              <w:rPr>
                <w:rFonts w:ascii="Arial" w:cs="Arial" w:eastAsia="Arial" w:hAnsi="Arial"/>
                <w:sz w:val="18"/>
                <w:szCs w:val="18"/>
                <w:color w:val="auto"/>
              </w:rPr>
              <w:t>Effect of foreign exchange rate changes on cash and cash equivalents</w:t>
            </w:r>
          </w:p>
        </w:tc>
        <w:tc>
          <w:tcPr>
            <w:tcW w:w="280" w:type="dxa"/>
            <w:vAlign w:val="bottom"/>
            <w:tcBorders>
              <w:bottom w:val="single" w:sz="8" w:color="E5FF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(93)</w:t>
            </w:r>
          </w:p>
        </w:tc>
        <w:tc>
          <w:tcPr>
            <w:tcW w:w="120" w:type="dxa"/>
            <w:vAlign w:val="bottom"/>
            <w:tcBorders>
              <w:bottom w:val="single" w:sz="8" w:color="auto"/>
            </w:tcBorders>
          </w:tcPr>
          <w:p>
            <w:pPr>
              <w:spacing w:after="0"/>
              <w:rPr>
                <w:sz w:val="17"/>
                <w:szCs w:val="17"/>
                <w:color w:val="auto"/>
              </w:rPr>
            </w:pPr>
          </w:p>
        </w:tc>
        <w:tc>
          <w:tcPr>
            <w:tcW w:w="320" w:type="dxa"/>
            <w:vAlign w:val="bottom"/>
            <w:tcBorders>
              <w:bottom w:val="single" w:sz="8" w:color="E5FFFF"/>
            </w:tcBorders>
          </w:tcPr>
          <w:p>
            <w:pPr>
              <w:spacing w:after="0"/>
              <w:rPr>
                <w:sz w:val="17"/>
                <w:szCs w:val="17"/>
                <w:color w:val="auto"/>
              </w:rPr>
            </w:pPr>
          </w:p>
        </w:tc>
        <w:tc>
          <w:tcPr>
            <w:tcW w:w="48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222</w:t>
            </w:r>
          </w:p>
        </w:tc>
        <w:tc>
          <w:tcPr>
            <w:tcW w:w="100" w:type="dxa"/>
            <w:vAlign w:val="bottom"/>
            <w:tcBorders>
              <w:bottom w:val="single" w:sz="8" w:color="auto"/>
            </w:tcBorders>
          </w:tcPr>
          <w:p>
            <w:pPr>
              <w:spacing w:after="0"/>
              <w:rPr>
                <w:sz w:val="17"/>
                <w:szCs w:val="17"/>
                <w:color w:val="auto"/>
              </w:rPr>
            </w:pPr>
          </w:p>
        </w:tc>
      </w:tr>
      <w:tr>
        <w:trPr>
          <w:trHeight w:val="196"/>
        </w:trPr>
        <w:tc>
          <w:tcPr>
            <w:tcW w:w="8080" w:type="dxa"/>
            <w:vAlign w:val="bottom"/>
            <w:shd w:val="clear" w:color="auto" w:fill="E5FFFF"/>
          </w:tcPr>
          <w:p>
            <w:pPr>
              <w:spacing w:after="0" w:line="196" w:lineRule="exact"/>
              <w:rPr>
                <w:sz w:val="20"/>
                <w:szCs w:val="20"/>
                <w:color w:val="auto"/>
              </w:rPr>
            </w:pPr>
            <w:r>
              <w:rPr>
                <w:rFonts w:ascii="Arial" w:cs="Arial" w:eastAsia="Arial" w:hAnsi="Arial"/>
                <w:sz w:val="18"/>
                <w:szCs w:val="18"/>
                <w:color w:val="auto"/>
              </w:rPr>
              <w:t>Net increase in cash and cash equivalents</w:t>
            </w:r>
          </w:p>
        </w:tc>
        <w:tc>
          <w:tcPr>
            <w:tcW w:w="28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1080" w:type="dxa"/>
            <w:vAlign w:val="bottom"/>
            <w:gridSpan w:val="2"/>
            <w:shd w:val="clear" w:color="auto" w:fill="E5FFFF"/>
          </w:tcPr>
          <w:p>
            <w:pPr>
              <w:jc w:val="right"/>
              <w:ind w:right="120"/>
              <w:spacing w:after="0" w:line="196" w:lineRule="exact"/>
              <w:rPr>
                <w:sz w:val="20"/>
                <w:szCs w:val="20"/>
                <w:color w:val="auto"/>
              </w:rPr>
            </w:pPr>
            <w:r>
              <w:rPr>
                <w:rFonts w:ascii="Arial" w:cs="Arial" w:eastAsia="Arial" w:hAnsi="Arial"/>
                <w:sz w:val="18"/>
                <w:szCs w:val="18"/>
                <w:color w:val="auto"/>
              </w:rPr>
              <w:t>1,023</w:t>
            </w:r>
          </w:p>
        </w:tc>
        <w:tc>
          <w:tcPr>
            <w:tcW w:w="320" w:type="dxa"/>
            <w:vAlign w:val="bottom"/>
            <w:shd w:val="clear" w:color="auto" w:fill="E5FFFF"/>
          </w:tcPr>
          <w:p>
            <w:pPr>
              <w:spacing w:after="0"/>
              <w:rPr>
                <w:sz w:val="17"/>
                <w:szCs w:val="17"/>
                <w:color w:val="auto"/>
              </w:rPr>
            </w:pPr>
          </w:p>
        </w:tc>
        <w:tc>
          <w:tcPr>
            <w:tcW w:w="480" w:type="dxa"/>
            <w:vAlign w:val="bottom"/>
            <w:shd w:val="clear" w:color="auto" w:fill="E5FFFF"/>
          </w:tcPr>
          <w:p>
            <w:pPr>
              <w:spacing w:after="0"/>
              <w:rPr>
                <w:sz w:val="17"/>
                <w:szCs w:val="17"/>
                <w:color w:val="auto"/>
              </w:rPr>
            </w:pPr>
          </w:p>
        </w:tc>
        <w:tc>
          <w:tcPr>
            <w:tcW w:w="880" w:type="dxa"/>
            <w:vAlign w:val="bottom"/>
            <w:gridSpan w:val="2"/>
            <w:shd w:val="clear" w:color="auto" w:fill="E5FFFF"/>
          </w:tcPr>
          <w:p>
            <w:pPr>
              <w:jc w:val="right"/>
              <w:ind w:right="100"/>
              <w:spacing w:after="0" w:line="196" w:lineRule="exact"/>
              <w:rPr>
                <w:sz w:val="20"/>
                <w:szCs w:val="20"/>
                <w:color w:val="auto"/>
              </w:rPr>
            </w:pPr>
            <w:r>
              <w:rPr>
                <w:rFonts w:ascii="Arial" w:cs="Arial" w:eastAsia="Arial" w:hAnsi="Arial"/>
                <w:sz w:val="18"/>
                <w:szCs w:val="18"/>
                <w:color w:val="auto"/>
              </w:rPr>
              <w:t>34</w:t>
            </w:r>
          </w:p>
        </w:tc>
      </w:tr>
      <w:tr>
        <w:trPr>
          <w:trHeight w:val="216"/>
        </w:trPr>
        <w:tc>
          <w:tcPr>
            <w:tcW w:w="8080" w:type="dxa"/>
            <w:vAlign w:val="bottom"/>
            <w:tcBorders>
              <w:bottom w:val="single" w:sz="8" w:color="E5FFFF"/>
            </w:tcBorders>
          </w:tcPr>
          <w:p>
            <w:pPr>
              <w:spacing w:after="0"/>
              <w:rPr>
                <w:sz w:val="20"/>
                <w:szCs w:val="20"/>
                <w:color w:val="auto"/>
              </w:rPr>
            </w:pPr>
            <w:r>
              <w:rPr>
                <w:rFonts w:ascii="Arial" w:cs="Arial" w:eastAsia="Arial" w:hAnsi="Arial"/>
                <w:sz w:val="18"/>
                <w:szCs w:val="18"/>
                <w:color w:val="auto"/>
              </w:rPr>
              <w:t>Cash and cash equivalents at beginning of period</w:t>
            </w:r>
          </w:p>
        </w:tc>
        <w:tc>
          <w:tcPr>
            <w:tcW w:w="280" w:type="dxa"/>
            <w:vAlign w:val="bottom"/>
            <w:tcBorders>
              <w:bottom w:val="single" w:sz="8" w:color="E5FF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7,059</w:t>
            </w:r>
          </w:p>
        </w:tc>
        <w:tc>
          <w:tcPr>
            <w:tcW w:w="320" w:type="dxa"/>
            <w:vAlign w:val="bottom"/>
            <w:tcBorders>
              <w:bottom w:val="single" w:sz="8" w:color="E5FF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7,843</w:t>
            </w:r>
          </w:p>
        </w:tc>
      </w:tr>
      <w:tr>
        <w:trPr>
          <w:trHeight w:val="210"/>
        </w:trPr>
        <w:tc>
          <w:tcPr>
            <w:tcW w:w="8080" w:type="dxa"/>
            <w:vAlign w:val="bottom"/>
            <w:shd w:val="clear" w:color="auto" w:fill="E5FFFF"/>
          </w:tcPr>
          <w:p>
            <w:pPr>
              <w:spacing w:after="0" w:line="197" w:lineRule="exact"/>
              <w:rPr>
                <w:sz w:val="20"/>
                <w:szCs w:val="20"/>
                <w:color w:val="auto"/>
              </w:rPr>
            </w:pPr>
            <w:r>
              <w:rPr>
                <w:rFonts w:ascii="Arial" w:cs="Arial" w:eastAsia="Arial" w:hAnsi="Arial"/>
                <w:sz w:val="18"/>
                <w:szCs w:val="18"/>
                <w:color w:val="auto"/>
              </w:rPr>
              <w:t>Cash and cash equivalents at end of period</w:t>
            </w:r>
          </w:p>
        </w:tc>
        <w:tc>
          <w:tcPr>
            <w:tcW w:w="580" w:type="dxa"/>
            <w:vAlign w:val="bottom"/>
            <w:gridSpan w:val="2"/>
            <w:shd w:val="clear" w:color="auto" w:fill="E5FFFF"/>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E5FFFF"/>
          </w:tcPr>
          <w:p>
            <w:pPr>
              <w:jc w:val="right"/>
              <w:ind w:right="120"/>
              <w:spacing w:after="0"/>
              <w:rPr>
                <w:sz w:val="20"/>
                <w:szCs w:val="20"/>
                <w:color w:val="auto"/>
              </w:rPr>
            </w:pPr>
            <w:r>
              <w:rPr>
                <w:rFonts w:ascii="Arial" w:cs="Arial" w:eastAsia="Arial" w:hAnsi="Arial"/>
                <w:sz w:val="18"/>
                <w:szCs w:val="18"/>
                <w:color w:val="auto"/>
              </w:rPr>
              <w:t>8,082</w:t>
            </w:r>
          </w:p>
        </w:tc>
        <w:tc>
          <w:tcPr>
            <w:tcW w:w="800" w:type="dxa"/>
            <w:vAlign w:val="bottom"/>
            <w:gridSpan w:val="2"/>
            <w:shd w:val="clear" w:color="auto" w:fill="E5FFFF"/>
          </w:tcPr>
          <w:p>
            <w:pPr>
              <w:jc w:val="right"/>
              <w:ind w:right="3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7,877</w:t>
            </w:r>
          </w:p>
        </w:tc>
      </w:tr>
      <w:tr>
        <w:trPr>
          <w:trHeight w:val="20"/>
        </w:trPr>
        <w:tc>
          <w:tcPr>
            <w:tcW w:w="8080" w:type="dxa"/>
            <w:vAlign w:val="bottom"/>
            <w:tcBorders>
              <w:top w:val="single" w:sz="8" w:color="E5FFFF"/>
            </w:tcBorders>
          </w:tcPr>
          <w:p>
            <w:pPr>
              <w:spacing w:after="0" w:line="20" w:lineRule="exact"/>
              <w:rPr>
                <w:sz w:val="1"/>
                <w:szCs w:val="1"/>
                <w:color w:val="auto"/>
              </w:rPr>
            </w:pPr>
          </w:p>
        </w:tc>
        <w:tc>
          <w:tcPr>
            <w:tcW w:w="280" w:type="dxa"/>
            <w:vAlign w:val="bottom"/>
            <w:tcBorders>
              <w:top w:val="single" w:sz="8" w:color="E5FF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E5FF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Notes to Consolidated Financial Statements are an integral part of this statement.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Honeywell International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jc w:val="center"/>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Basis of Presentation</w:t>
      </w:r>
    </w:p>
    <w:p>
      <w:pPr>
        <w:spacing w:after="0" w:line="220"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In the opinion of management, the accompanying unaudited consolidated financial statements reflect all adjustments, consisting only of normal recurring adjustments, necessary to present fairly the financial position of Honeywell International Inc. and its consolidated subsidiaries (“Honeywell” or “the Company”) at June 30, 2018 and December 31, 2017, the results of cash flows for the six months ended June 30, 2018 and 2017 and the results of operations for the three and six months ended June 30, 2018 and 2017. The results of operations for the three and six months ended June 30, 2018 and cash flows for the six months ended June 30, 2018 should not necessarily be taken as indicative of the entire year.</w:t>
      </w:r>
    </w:p>
    <w:p>
      <w:pPr>
        <w:spacing w:after="0" w:line="192"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We report our quarterly financial information using a calendar convention; the first, second and third quarters are consistently reported as ending on March 31, June 30 and September 30. It has been our practice to establish actual quarterly closing dates using a predetermined fiscal calendar, which requires our businesses to close their books on a Saturday in order to minimize the potentially disruptive effects of quarterly closing on our business processes. The effects of this practice are generally not significant to reported results for any quarter and only exist within a reporting year. In the event that differences in actual closing dates are material to year-over-year comparisons of quarterly or year-to-date results, we will provide appropriate disclosures. Our actual closing dates for the three and six months ended June 30, 2018 and 2017 were June 30, 2018 and July 1, 2017.</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220"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8"/>
          <w:szCs w:val="18"/>
          <w:color w:val="auto"/>
        </w:rPr>
        <w:t>The accounting policies of the Company are set forth in Note 1 to Consolidated Financial Statements contained in the Company’s 2017 Annual Report on Form 10-K. We include herein certain updates to those policies.</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 xml:space="preserve">Reclassifications – </w:t>
      </w:r>
      <w:r>
        <w:rPr>
          <w:rFonts w:ascii="Arial" w:cs="Arial" w:eastAsia="Arial" w:hAnsi="Arial"/>
          <w:sz w:val="18"/>
          <w:szCs w:val="18"/>
          <w:color w:val="auto"/>
        </w:rPr>
        <w:t>Certain prior year amounts have been reclassified to conform to the current year presentation.</w:t>
      </w:r>
    </w:p>
    <w:p>
      <w:pPr>
        <w:spacing w:after="0" w:line="198"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b w:val="1"/>
          <w:bCs w:val="1"/>
          <w:i w:val="1"/>
          <w:iCs w:val="1"/>
          <w:color w:val="auto"/>
        </w:rPr>
        <w:t>Sales Recognition</w:t>
      </w:r>
      <w:r>
        <w:rPr>
          <w:rFonts w:ascii="Arial" w:cs="Arial" w:eastAsia="Arial" w:hAnsi="Arial"/>
          <w:sz w:val="18"/>
          <w:szCs w:val="18"/>
          <w:color w:val="auto"/>
        </w:rPr>
        <w:t>—Product and service sales are recognized when or as we transfer control of the promised products or services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customer. Revenue is measured as the amount of consideration we expect to receive in exchange for transferring goods or providing services. Service sales, principally representing repair, maintenance and engineering activities are recognized over the contractual period or as services are rendered. Sales under long-term contracts with performance obligations satisfied over time are recognized using either an input or output method. We recognize revenue over time as we perform on these contracts because of the continuous transfer of control to the customer. With control transferring over time, revenue is recognized based on the extent of progress towards completion of the performance obligation. We generally use the cost-to-cost input method of progress for our contracts because it best depicts the transfer of control to the customer that occurs as we incur costs. Under the cost-to-cost method, the extent of progress towards completion is measured based on the proportion of costs incurred to date to the total estimated costs at completion of the performance obligation. Provisions for anticipated losses on long-term contracts are recorded in full when such losses become evident, to the extent required.</w:t>
      </w:r>
    </w:p>
    <w:p>
      <w:pPr>
        <w:spacing w:after="0" w:line="189"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The customer funding for costs incurred for nonrecurring engineering and development activities of our products under agreements with commercial customers is deferred and subsequently recognized as revenue as products are delivered to the customers. Additionally, expenses incurred, up to the customer agreed funded amount, are deferred as an asset and recognized as cost of sales when products are delivered to the customer. The deferred customer funding and costs result in recognition of deferred costs (asset) and deferred revenue (liability) on our Consolidated Balance Sheet.</w:t>
      </w:r>
    </w:p>
    <w:p>
      <w:pPr>
        <w:spacing w:after="0" w:line="189"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8"/>
          <w:szCs w:val="18"/>
          <w:color w:val="auto"/>
        </w:rPr>
        <w:t>Revenues for our mechanical service programs are recognized as performance obligations are satisfied over time, with recognition reflecting a series of distinct services using the output method.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0"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Honeywell International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jc w:val="center"/>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198"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The terms of a contract or the historical business practice can give rise to variable consideration due to, but not limited to, cash-based incentives, rebates, performance awards, or credits. We estimate variable consideration at the most likely amount we will receive from customers. We include estimated amounts in the transaction price to the extent it is probable that a significant reversal of cumulative revenue recognized for such transaction will not occur, or when the uncertainty associated with the variable consideration is resolved. Our estimates of variable consideration and determination of whether to include estimated amounts in the transaction price are based largely on an assessment of our anticipated performance and all information (historical, current and forecasted) that is reasonably available to us.</w:t>
      </w:r>
    </w:p>
    <w:p>
      <w:pPr>
        <w:spacing w:after="0" w:line="170" w:lineRule="exact"/>
        <w:rPr>
          <w:sz w:val="20"/>
          <w:szCs w:val="20"/>
          <w:color w:val="auto"/>
        </w:rPr>
      </w:pPr>
    </w:p>
    <w:p>
      <w:pPr>
        <w:ind w:right="120" w:firstLine="648"/>
        <w:spacing w:after="0" w:line="244" w:lineRule="auto"/>
        <w:rPr>
          <w:sz w:val="20"/>
          <w:szCs w:val="20"/>
          <w:color w:val="auto"/>
        </w:rPr>
      </w:pPr>
      <w:r>
        <w:rPr>
          <w:rFonts w:ascii="Arial" w:cs="Arial" w:eastAsia="Arial" w:hAnsi="Arial"/>
          <w:sz w:val="18"/>
          <w:szCs w:val="18"/>
          <w:b w:val="1"/>
          <w:bCs w:val="1"/>
          <w:i w:val="1"/>
          <w:iCs w:val="1"/>
          <w:color w:val="auto"/>
        </w:rPr>
        <w:t>Aerospace Sales Incentives</w:t>
      </w:r>
      <w:r>
        <w:rPr>
          <w:rFonts w:ascii="Arial" w:cs="Arial" w:eastAsia="Arial" w:hAnsi="Arial"/>
          <w:sz w:val="18"/>
          <w:szCs w:val="18"/>
          <w:color w:val="auto"/>
        </w:rPr>
        <w:t>— We provide sales incentives to commercial aircraft manufacturers and airlines in connection with their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selection of our aircraft equipment, predominately wheel and braking system hardware, avionics, and auxiliary power units, for installation on commercial aircraft. These incentives consist of free or deeply discounted products, credits for future purchases of product or upfront cash payments. These costs are generally recognized in the period incurred as cost of products sold or as a reduction to relevant sales, as appropriate.</w:t>
      </w:r>
    </w:p>
    <w:p>
      <w:pPr>
        <w:spacing w:after="0" w:line="163" w:lineRule="exact"/>
        <w:rPr>
          <w:sz w:val="20"/>
          <w:szCs w:val="20"/>
          <w:color w:val="auto"/>
        </w:rPr>
      </w:pPr>
    </w:p>
    <w:p>
      <w:pPr>
        <w:ind w:right="40" w:firstLine="648"/>
        <w:spacing w:after="0" w:line="244" w:lineRule="auto"/>
        <w:rPr>
          <w:sz w:val="20"/>
          <w:szCs w:val="20"/>
          <w:color w:val="auto"/>
        </w:rPr>
      </w:pPr>
      <w:r>
        <w:rPr>
          <w:rFonts w:ascii="Arial" w:cs="Arial" w:eastAsia="Arial" w:hAnsi="Arial"/>
          <w:sz w:val="18"/>
          <w:szCs w:val="18"/>
          <w:b w:val="1"/>
          <w:bCs w:val="1"/>
          <w:i w:val="1"/>
          <w:iCs w:val="1"/>
          <w:color w:val="auto"/>
        </w:rPr>
        <w:t>Pension Benefits</w:t>
      </w:r>
      <w:r>
        <w:rPr>
          <w:rFonts w:ascii="Arial" w:cs="Arial" w:eastAsia="Arial" w:hAnsi="Arial"/>
          <w:sz w:val="18"/>
          <w:szCs w:val="18"/>
          <w:color w:val="auto"/>
        </w:rPr>
        <w:t>—On January 1, 2018, we retrospectively adopted the new accounting guidance on presentation of net periodic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pension costs. That guidance requires that we disaggregate the service cost component of net benefit costs and report those costs in the same line item or items in the Consolidated Statement of Operations as other compensation costs arising from services rendered by the pertinent employees during the period. The other non-service components of net benefit costs are required to be presented separately from the service cost component.</w:t>
      </w:r>
    </w:p>
    <w:p>
      <w:pPr>
        <w:spacing w:after="0" w:line="185" w:lineRule="exact"/>
        <w:rPr>
          <w:sz w:val="20"/>
          <w:szCs w:val="20"/>
          <w:color w:val="auto"/>
        </w:rPr>
      </w:pPr>
    </w:p>
    <w:p>
      <w:pPr>
        <w:ind w:firstLine="648"/>
        <w:spacing w:after="0" w:line="237" w:lineRule="auto"/>
        <w:rPr>
          <w:sz w:val="20"/>
          <w:szCs w:val="20"/>
          <w:color w:val="auto"/>
        </w:rPr>
      </w:pPr>
      <w:r>
        <w:rPr>
          <w:rFonts w:ascii="Arial" w:cs="Arial" w:eastAsia="Arial" w:hAnsi="Arial"/>
          <w:sz w:val="18"/>
          <w:szCs w:val="18"/>
          <w:color w:val="auto"/>
        </w:rPr>
        <w:t>Following the adoption of this guidance, we continue to record the service cost component of Pension ongoing (income) expense in Costs of products and services sold and Selling, general and administrative expenses. The remaining components of net benefit costs within Pension ongoing (income) expense, primarily interest costs and assumed return on plan assets, are now recorded in Other (income) expense. We will continue to recognize net actuarial gains or losses in excess of 10% of the greater of the fair value of plan assets or the plans’ projected benefit obligation (the corridor) annually in the fourth quarter each year (MTM Adjustment). The MTM Adjustment will also be reported in Other (income) expense.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0"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We consider the applicability and impact of all Accounting Standards Updates (ASUs) issued by the Financial Accounting Standards Board (FASB). ASUs not listed below were assessed and determined to be either not applicable or are expected to have minimal impact on our consolidated result of operations, financial position and cash flows (Consolidated Financial Statements).</w:t>
      </w:r>
    </w:p>
    <w:p>
      <w:pPr>
        <w:spacing w:after="0" w:line="189"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In February 2016, the FASB issued guidance on accounting for leases which requires lessees to recognize most leases on their balance sheets for the rights and obligations created by those leases. The guidance requires enhanced disclosures regarding the amount, timing, and uncertainty of cash flows arising from leases that will be effective for interim and annual periods beginning after December 15, 2018, with early adoption permitted. We expect to adopt the requirements of the new standard effective January 1, 2019. The guidance requires the use of a modified retrospective approach. We are currently evaluating our lease portfolio to assess the impact to the Consolidated Financial Statements. We are in the process of implementing processes and information technology tools to assist in our ongoing lease data collection and analysis, and evaluating our accounting policies and internal controls that would be impacted by the new guidance, to ensure readiness for adoption in the first quarter of 2019.</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0"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Honeywell International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jc w:val="center"/>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198"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In August 2017, the FASB issued amendments to hedge accounting guidance. These amendments are intended to better align a company’s risk management strategies and financial reporting for hedging relationships. Under the new guidance, more hedging strategies will be eligible for hedge accounting and the application of hedge accounting is simplified. In addition, the new guidance amends presentation and disclosure requirements. The guidance is effective for fiscal years beginning after December 15, 2018 with early adoption permitted, including for interim periods within those years. The Company does not expect the adoption of this ASU to have a material impact on its Consolidated Financial Statements.</w:t>
      </w:r>
    </w:p>
    <w:p>
      <w:pPr>
        <w:spacing w:after="0" w:line="192"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In February 2018, the FASB issued guidance that allows for an entity to elect to reclassify the income tax effects on items within accumulated other comprehensive income resulting from U.S. tax reform to retained earnings. The guidance is effective for fiscal years beginning after December 15, 2018 with early adoption permitted, including interim periods within those years. We are currently evaluating the impact of this standard on our Consolidated Financial Statements and whether we will make the allowed election.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Repositioning and Other Charges</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repositioning and other charges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5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40" w:type="dxa"/>
            <w:vAlign w:val="bottom"/>
            <w:gridSpan w:val="4"/>
          </w:tcPr>
          <w:p>
            <w:pPr>
              <w:jc w:val="right"/>
              <w:ind w:right="290"/>
              <w:spacing w:after="0"/>
              <w:rPr>
                <w:sz w:val="20"/>
                <w:szCs w:val="20"/>
                <w:color w:val="auto"/>
              </w:rPr>
            </w:pPr>
            <w:r>
              <w:rPr>
                <w:rFonts w:ascii="Arial" w:cs="Arial" w:eastAsia="Arial" w:hAnsi="Arial"/>
                <w:sz w:val="14"/>
                <w:szCs w:val="14"/>
                <w:b w:val="1"/>
                <w:bCs w:val="1"/>
                <w:color w:val="auto"/>
              </w:rPr>
              <w:t>Three Months Ended</w:t>
            </w: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8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860" w:type="dxa"/>
            <w:vAlign w:val="bottom"/>
          </w:tcPr>
          <w:p>
            <w:pPr>
              <w:spacing w:after="0"/>
              <w:rPr>
                <w:sz w:val="14"/>
                <w:szCs w:val="14"/>
                <w:color w:val="auto"/>
              </w:rPr>
            </w:pPr>
          </w:p>
        </w:tc>
      </w:tr>
      <w:tr>
        <w:trPr>
          <w:trHeight w:val="175"/>
        </w:trPr>
        <w:tc>
          <w:tcPr>
            <w:tcW w:w="45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3"/>
          </w:tcPr>
          <w:p>
            <w:pPr>
              <w:jc w:val="right"/>
              <w:ind w:right="710"/>
              <w:spacing w:after="0"/>
              <w:rPr>
                <w:sz w:val="20"/>
                <w:szCs w:val="20"/>
                <w:color w:val="auto"/>
              </w:rPr>
            </w:pPr>
            <w:r>
              <w:rPr>
                <w:rFonts w:ascii="Arial" w:cs="Arial" w:eastAsia="Arial" w:hAnsi="Arial"/>
                <w:sz w:val="14"/>
                <w:szCs w:val="14"/>
                <w:b w:val="1"/>
                <w:bCs w:val="1"/>
                <w:color w:val="auto"/>
              </w:rPr>
              <w:t>June 30,</w:t>
            </w:r>
          </w:p>
        </w:tc>
        <w:tc>
          <w:tcPr>
            <w:tcW w:w="460" w:type="dxa"/>
            <w:vAlign w:val="bottom"/>
            <w:tcBorders>
              <w:bottom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gridSpan w:val="3"/>
          </w:tcPr>
          <w:p>
            <w:pPr>
              <w:jc w:val="right"/>
              <w:ind w:right="290"/>
              <w:spacing w:after="0"/>
              <w:rPr>
                <w:sz w:val="20"/>
                <w:szCs w:val="20"/>
                <w:color w:val="auto"/>
              </w:rPr>
            </w:pPr>
            <w:r>
              <w:rPr>
                <w:rFonts w:ascii="Arial" w:cs="Arial" w:eastAsia="Arial" w:hAnsi="Arial"/>
                <w:sz w:val="14"/>
                <w:szCs w:val="14"/>
                <w:b w:val="1"/>
                <w:bCs w:val="1"/>
                <w:color w:val="auto"/>
              </w:rPr>
              <w:t>June 30,</w:t>
            </w:r>
          </w:p>
        </w:tc>
        <w:tc>
          <w:tcPr>
            <w:tcW w:w="860" w:type="dxa"/>
            <w:vAlign w:val="bottom"/>
            <w:tcBorders>
              <w:bottom w:val="single" w:sz="8" w:color="auto"/>
            </w:tcBorders>
          </w:tcPr>
          <w:p>
            <w:pPr>
              <w:spacing w:after="0"/>
              <w:rPr>
                <w:sz w:val="15"/>
                <w:szCs w:val="15"/>
                <w:color w:val="auto"/>
              </w:rPr>
            </w:pPr>
          </w:p>
        </w:tc>
      </w:tr>
      <w:tr>
        <w:trPr>
          <w:trHeight w:val="156"/>
        </w:trPr>
        <w:tc>
          <w:tcPr>
            <w:tcW w:w="45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0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480" w:type="dxa"/>
            <w:vAlign w:val="bottom"/>
          </w:tcPr>
          <w:p>
            <w:pPr>
              <w:spacing w:after="0"/>
              <w:rPr>
                <w:sz w:val="13"/>
                <w:szCs w:val="13"/>
                <w:color w:val="auto"/>
              </w:rPr>
            </w:pPr>
          </w:p>
        </w:tc>
        <w:tc>
          <w:tcPr>
            <w:tcW w:w="126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2017</w:t>
            </w: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tcPr>
          <w:p>
            <w:pPr>
              <w:jc w:val="right"/>
              <w:ind w:right="434"/>
              <w:spacing w:after="0" w:line="155" w:lineRule="exact"/>
              <w:rPr>
                <w:sz w:val="20"/>
                <w:szCs w:val="20"/>
                <w:color w:val="auto"/>
              </w:rPr>
            </w:pPr>
            <w:r>
              <w:rPr>
                <w:rFonts w:ascii="Arial" w:cs="Arial" w:eastAsia="Arial" w:hAnsi="Arial"/>
                <w:sz w:val="14"/>
                <w:szCs w:val="14"/>
                <w:b w:val="1"/>
                <w:bCs w:val="1"/>
                <w:color w:val="auto"/>
              </w:rPr>
              <w:t>2018</w:t>
            </w:r>
          </w:p>
        </w:tc>
        <w:tc>
          <w:tcPr>
            <w:tcW w:w="3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60" w:type="dxa"/>
            <w:vAlign w:val="bottom"/>
          </w:tcPr>
          <w:p>
            <w:pPr>
              <w:jc w:val="right"/>
              <w:ind w:right="432"/>
              <w:spacing w:after="0" w:line="155" w:lineRule="exact"/>
              <w:rPr>
                <w:sz w:val="20"/>
                <w:szCs w:val="20"/>
                <w:color w:val="auto"/>
              </w:rPr>
            </w:pPr>
            <w:r>
              <w:rPr>
                <w:rFonts w:ascii="Arial" w:cs="Arial" w:eastAsia="Arial" w:hAnsi="Arial"/>
                <w:sz w:val="14"/>
                <w:szCs w:val="14"/>
                <w:b w:val="1"/>
                <w:bCs w:val="1"/>
                <w:color w:val="auto"/>
              </w:rPr>
              <w:t>2017</w:t>
            </w:r>
          </w:p>
        </w:tc>
      </w:tr>
      <w:tr>
        <w:trPr>
          <w:trHeight w:val="196"/>
        </w:trPr>
        <w:tc>
          <w:tcPr>
            <w:tcW w:w="4540" w:type="dxa"/>
            <w:vAlign w:val="bottom"/>
            <w:tcBorders>
              <w:top w:val="single" w:sz="8" w:color="E5FFFF"/>
            </w:tcBorders>
            <w:shd w:val="clear" w:color="auto" w:fill="E5FFFF"/>
          </w:tcPr>
          <w:p>
            <w:pPr>
              <w:spacing w:after="0" w:line="196" w:lineRule="exact"/>
              <w:rPr>
                <w:sz w:val="20"/>
                <w:szCs w:val="20"/>
                <w:color w:val="auto"/>
              </w:rPr>
            </w:pPr>
            <w:r>
              <w:rPr>
                <w:rFonts w:ascii="Arial" w:cs="Arial" w:eastAsia="Arial" w:hAnsi="Arial"/>
                <w:sz w:val="18"/>
                <w:szCs w:val="18"/>
                <w:color w:val="auto"/>
              </w:rPr>
              <w:t>Severance</w:t>
            </w:r>
          </w:p>
        </w:tc>
        <w:tc>
          <w:tcPr>
            <w:tcW w:w="400" w:type="dxa"/>
            <w:vAlign w:val="bottom"/>
            <w:tcBorders>
              <w:top w:val="single" w:sz="8" w:color="E5FFFF"/>
            </w:tcBorders>
            <w:shd w:val="clear" w:color="auto" w:fill="E5FFFF"/>
          </w:tcPr>
          <w:p>
            <w:pPr>
              <w:spacing w:after="0"/>
              <w:rPr>
                <w:sz w:val="17"/>
                <w:szCs w:val="17"/>
                <w:color w:val="auto"/>
              </w:rPr>
            </w:pPr>
          </w:p>
        </w:tc>
        <w:tc>
          <w:tcPr>
            <w:tcW w:w="900" w:type="dxa"/>
            <w:vAlign w:val="bottom"/>
            <w:tcBorders>
              <w:top w:val="single" w:sz="8" w:color="auto"/>
            </w:tcBorders>
            <w:shd w:val="clear" w:color="auto" w:fill="E5FFFF"/>
          </w:tcPr>
          <w:p>
            <w:pPr>
              <w:jc w:val="right"/>
              <w:ind w:right="719"/>
              <w:spacing w:after="0" w:line="196" w:lineRule="exact"/>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E5FFFF"/>
          </w:tcPr>
          <w:p>
            <w:pPr>
              <w:jc w:val="right"/>
              <w:ind w:right="32"/>
              <w:spacing w:after="0" w:line="196" w:lineRule="exact"/>
              <w:rPr>
                <w:sz w:val="20"/>
                <w:szCs w:val="20"/>
                <w:color w:val="auto"/>
              </w:rPr>
            </w:pPr>
            <w:r>
              <w:rPr>
                <w:rFonts w:ascii="Arial" w:cs="Arial" w:eastAsia="Arial" w:hAnsi="Arial"/>
                <w:sz w:val="18"/>
                <w:szCs w:val="18"/>
                <w:color w:val="auto"/>
              </w:rPr>
              <w:t>30</w:t>
            </w:r>
          </w:p>
        </w:tc>
        <w:tc>
          <w:tcPr>
            <w:tcW w:w="360" w:type="dxa"/>
            <w:vAlign w:val="bottom"/>
            <w:tcBorders>
              <w:top w:val="single" w:sz="8" w:color="E5FFFF"/>
            </w:tcBorders>
            <w:shd w:val="clear" w:color="auto" w:fill="E5FFFF"/>
          </w:tcPr>
          <w:p>
            <w:pPr>
              <w:spacing w:after="0"/>
              <w:rPr>
                <w:sz w:val="17"/>
                <w:szCs w:val="17"/>
                <w:color w:val="auto"/>
              </w:rPr>
            </w:pPr>
          </w:p>
        </w:tc>
        <w:tc>
          <w:tcPr>
            <w:tcW w:w="900" w:type="dxa"/>
            <w:vAlign w:val="bottom"/>
            <w:tcBorders>
              <w:top w:val="single" w:sz="8" w:color="auto"/>
            </w:tcBorders>
            <w:shd w:val="clear" w:color="auto" w:fill="E5FFFF"/>
          </w:tcPr>
          <w:p>
            <w:pPr>
              <w:jc w:val="right"/>
              <w:ind w:right="710"/>
              <w:spacing w:after="0" w:line="196" w:lineRule="exact"/>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E5FFFF"/>
          </w:tcPr>
          <w:p>
            <w:pPr>
              <w:jc w:val="right"/>
              <w:ind w:right="10"/>
              <w:spacing w:after="0" w:line="196" w:lineRule="exact"/>
              <w:rPr>
                <w:sz w:val="20"/>
                <w:szCs w:val="20"/>
                <w:color w:val="auto"/>
              </w:rPr>
            </w:pPr>
            <w:r>
              <w:rPr>
                <w:rFonts w:ascii="Arial" w:cs="Arial" w:eastAsia="Arial" w:hAnsi="Arial"/>
                <w:sz w:val="18"/>
                <w:szCs w:val="18"/>
                <w:color w:val="auto"/>
              </w:rPr>
              <w:t>82</w:t>
            </w:r>
          </w:p>
        </w:tc>
        <w:tc>
          <w:tcPr>
            <w:tcW w:w="340" w:type="dxa"/>
            <w:vAlign w:val="bottom"/>
            <w:tcBorders>
              <w:top w:val="single" w:sz="8" w:color="E5FFFF"/>
            </w:tcBorders>
            <w:shd w:val="clear" w:color="auto" w:fill="E5FFFF"/>
          </w:tcPr>
          <w:p>
            <w:pPr>
              <w:spacing w:after="0"/>
              <w:rPr>
                <w:sz w:val="17"/>
                <w:szCs w:val="17"/>
                <w:color w:val="auto"/>
              </w:rPr>
            </w:pPr>
          </w:p>
        </w:tc>
        <w:tc>
          <w:tcPr>
            <w:tcW w:w="300" w:type="dxa"/>
            <w:vAlign w:val="bottom"/>
            <w:tcBorders>
              <w:top w:val="single" w:sz="8" w:color="auto"/>
            </w:tcBorders>
            <w:shd w:val="clear" w:color="auto" w:fill="E5FF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E5FFFF"/>
          </w:tcPr>
          <w:p>
            <w:pPr>
              <w:jc w:val="right"/>
              <w:ind w:right="34"/>
              <w:spacing w:after="0" w:line="196" w:lineRule="exact"/>
              <w:rPr>
                <w:sz w:val="20"/>
                <w:szCs w:val="20"/>
                <w:color w:val="auto"/>
              </w:rPr>
            </w:pPr>
            <w:r>
              <w:rPr>
                <w:rFonts w:ascii="Arial" w:cs="Arial" w:eastAsia="Arial" w:hAnsi="Arial"/>
                <w:sz w:val="18"/>
                <w:szCs w:val="18"/>
                <w:color w:val="auto"/>
              </w:rPr>
              <w:t>61</w:t>
            </w:r>
          </w:p>
        </w:tc>
        <w:tc>
          <w:tcPr>
            <w:tcW w:w="320" w:type="dxa"/>
            <w:vAlign w:val="bottom"/>
            <w:tcBorders>
              <w:top w:val="single" w:sz="8" w:color="E5FFFF"/>
            </w:tcBorders>
            <w:shd w:val="clear" w:color="auto" w:fill="E5FFFF"/>
          </w:tcPr>
          <w:p>
            <w:pPr>
              <w:spacing w:after="0"/>
              <w:rPr>
                <w:sz w:val="17"/>
                <w:szCs w:val="17"/>
                <w:color w:val="auto"/>
              </w:rPr>
            </w:pPr>
          </w:p>
        </w:tc>
        <w:tc>
          <w:tcPr>
            <w:tcW w:w="500" w:type="dxa"/>
            <w:vAlign w:val="bottom"/>
            <w:tcBorders>
              <w:top w:val="single" w:sz="8" w:color="auto"/>
            </w:tcBorders>
            <w:shd w:val="clear" w:color="auto" w:fill="E5FFFF"/>
          </w:tcPr>
          <w:p>
            <w:pPr>
              <w:jc w:val="right"/>
              <w:ind w:right="310"/>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E5FFFF"/>
          </w:tcPr>
          <w:p>
            <w:pPr>
              <w:jc w:val="right"/>
              <w:ind w:right="12"/>
              <w:spacing w:after="0" w:line="196" w:lineRule="exact"/>
              <w:rPr>
                <w:sz w:val="20"/>
                <w:szCs w:val="20"/>
                <w:color w:val="auto"/>
              </w:rPr>
            </w:pPr>
            <w:r>
              <w:rPr>
                <w:rFonts w:ascii="Arial" w:cs="Arial" w:eastAsia="Arial" w:hAnsi="Arial"/>
                <w:sz w:val="18"/>
                <w:szCs w:val="18"/>
                <w:color w:val="auto"/>
              </w:rPr>
              <w:t>102</w:t>
            </w:r>
          </w:p>
        </w:tc>
      </w:tr>
      <w:tr>
        <w:trPr>
          <w:trHeight w:val="203"/>
        </w:trPr>
        <w:tc>
          <w:tcPr>
            <w:tcW w:w="4540" w:type="dxa"/>
            <w:vAlign w:val="bottom"/>
          </w:tcPr>
          <w:p>
            <w:pPr>
              <w:spacing w:after="0" w:line="202" w:lineRule="exact"/>
              <w:rPr>
                <w:sz w:val="20"/>
                <w:szCs w:val="20"/>
                <w:color w:val="auto"/>
              </w:rPr>
            </w:pPr>
            <w:r>
              <w:rPr>
                <w:rFonts w:ascii="Arial" w:cs="Arial" w:eastAsia="Arial" w:hAnsi="Arial"/>
                <w:sz w:val="18"/>
                <w:szCs w:val="18"/>
                <w:color w:val="auto"/>
              </w:rPr>
              <w:t>Asset impairments</w:t>
            </w:r>
          </w:p>
        </w:tc>
        <w:tc>
          <w:tcPr>
            <w:tcW w:w="4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80" w:type="dxa"/>
            <w:vAlign w:val="bottom"/>
          </w:tcPr>
          <w:p>
            <w:pPr>
              <w:jc w:val="right"/>
              <w:ind w:right="32"/>
              <w:spacing w:after="0" w:line="202" w:lineRule="exact"/>
              <w:rPr>
                <w:sz w:val="20"/>
                <w:szCs w:val="20"/>
                <w:color w:val="auto"/>
              </w:rPr>
            </w:pPr>
            <w:r>
              <w:rPr>
                <w:rFonts w:ascii="Arial" w:cs="Arial" w:eastAsia="Arial" w:hAnsi="Arial"/>
                <w:sz w:val="18"/>
                <w:szCs w:val="18"/>
                <w:color w:val="auto"/>
              </w:rPr>
              <w:t>1</w:t>
            </w: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33</w:t>
            </w: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ind w:right="34"/>
              <w:spacing w:after="0" w:line="202" w:lineRule="exact"/>
              <w:rPr>
                <w:sz w:val="20"/>
                <w:szCs w:val="20"/>
                <w:color w:val="auto"/>
              </w:rPr>
            </w:pPr>
            <w:r>
              <w:rPr>
                <w:rFonts w:ascii="Arial" w:cs="Arial" w:eastAsia="Arial" w:hAnsi="Arial"/>
                <w:sz w:val="18"/>
                <w:szCs w:val="18"/>
                <w:color w:val="auto"/>
              </w:rPr>
              <w:t>48</w:t>
            </w: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60" w:type="dxa"/>
            <w:vAlign w:val="bottom"/>
          </w:tcPr>
          <w:p>
            <w:pPr>
              <w:jc w:val="right"/>
              <w:ind w:right="12"/>
              <w:spacing w:after="0" w:line="202" w:lineRule="exact"/>
              <w:rPr>
                <w:sz w:val="20"/>
                <w:szCs w:val="20"/>
                <w:color w:val="auto"/>
              </w:rPr>
            </w:pPr>
            <w:r>
              <w:rPr>
                <w:rFonts w:ascii="Arial" w:cs="Arial" w:eastAsia="Arial" w:hAnsi="Arial"/>
                <w:sz w:val="18"/>
                <w:szCs w:val="18"/>
                <w:color w:val="auto"/>
              </w:rPr>
              <w:t>35</w:t>
            </w:r>
          </w:p>
        </w:tc>
      </w:tr>
      <w:tr>
        <w:trPr>
          <w:trHeight w:val="203"/>
        </w:trPr>
        <w:tc>
          <w:tcPr>
            <w:tcW w:w="454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Exit costs</w:t>
            </w:r>
          </w:p>
        </w:tc>
        <w:tc>
          <w:tcPr>
            <w:tcW w:w="400" w:type="dxa"/>
            <w:vAlign w:val="bottom"/>
            <w:shd w:val="clear" w:color="auto" w:fill="E5FFFF"/>
          </w:tcPr>
          <w:p>
            <w:pPr>
              <w:spacing w:after="0"/>
              <w:rPr>
                <w:sz w:val="17"/>
                <w:szCs w:val="17"/>
                <w:color w:val="auto"/>
              </w:rPr>
            </w:pPr>
          </w:p>
        </w:tc>
        <w:tc>
          <w:tcPr>
            <w:tcW w:w="900" w:type="dxa"/>
            <w:vAlign w:val="bottom"/>
            <w:shd w:val="clear" w:color="auto" w:fill="E5FFFF"/>
          </w:tcPr>
          <w:p>
            <w:pPr>
              <w:spacing w:after="0"/>
              <w:rPr>
                <w:sz w:val="17"/>
                <w:szCs w:val="17"/>
                <w:color w:val="auto"/>
              </w:rPr>
            </w:pPr>
          </w:p>
        </w:tc>
        <w:tc>
          <w:tcPr>
            <w:tcW w:w="480" w:type="dxa"/>
            <w:vAlign w:val="bottom"/>
            <w:shd w:val="clear" w:color="auto" w:fill="E5FFFF"/>
          </w:tcPr>
          <w:p>
            <w:pPr>
              <w:jc w:val="right"/>
              <w:ind w:right="32"/>
              <w:spacing w:after="0" w:line="202" w:lineRule="exact"/>
              <w:rPr>
                <w:sz w:val="20"/>
                <w:szCs w:val="20"/>
                <w:color w:val="auto"/>
              </w:rPr>
            </w:pPr>
            <w:r>
              <w:rPr>
                <w:rFonts w:ascii="Arial" w:cs="Arial" w:eastAsia="Arial" w:hAnsi="Arial"/>
                <w:sz w:val="18"/>
                <w:szCs w:val="18"/>
                <w:color w:val="auto"/>
              </w:rPr>
              <w:t>32</w:t>
            </w:r>
          </w:p>
        </w:tc>
        <w:tc>
          <w:tcPr>
            <w:tcW w:w="360" w:type="dxa"/>
            <w:vAlign w:val="bottom"/>
            <w:shd w:val="clear" w:color="auto" w:fill="E5FFFF"/>
          </w:tcPr>
          <w:p>
            <w:pPr>
              <w:spacing w:after="0"/>
              <w:rPr>
                <w:sz w:val="17"/>
                <w:szCs w:val="17"/>
                <w:color w:val="auto"/>
              </w:rPr>
            </w:pPr>
          </w:p>
        </w:tc>
        <w:tc>
          <w:tcPr>
            <w:tcW w:w="900" w:type="dxa"/>
            <w:vAlign w:val="bottom"/>
            <w:shd w:val="clear" w:color="auto" w:fill="E5FFFF"/>
          </w:tcPr>
          <w:p>
            <w:pPr>
              <w:spacing w:after="0"/>
              <w:rPr>
                <w:sz w:val="17"/>
                <w:szCs w:val="17"/>
                <w:color w:val="auto"/>
              </w:rPr>
            </w:pPr>
          </w:p>
        </w:tc>
        <w:tc>
          <w:tcPr>
            <w:tcW w:w="460" w:type="dxa"/>
            <w:vAlign w:val="bottom"/>
            <w:shd w:val="clear" w:color="auto" w:fill="E5FFFF"/>
          </w:tcPr>
          <w:p>
            <w:pPr>
              <w:jc w:val="right"/>
              <w:ind w:right="10"/>
              <w:spacing w:after="0" w:line="202" w:lineRule="exact"/>
              <w:rPr>
                <w:sz w:val="20"/>
                <w:szCs w:val="20"/>
                <w:color w:val="auto"/>
              </w:rPr>
            </w:pPr>
            <w:r>
              <w:rPr>
                <w:rFonts w:ascii="Arial" w:cs="Arial" w:eastAsia="Arial" w:hAnsi="Arial"/>
                <w:sz w:val="18"/>
                <w:szCs w:val="18"/>
                <w:color w:val="auto"/>
              </w:rPr>
              <w:t>8</w:t>
            </w:r>
          </w:p>
        </w:tc>
        <w:tc>
          <w:tcPr>
            <w:tcW w:w="34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1060" w:type="dxa"/>
            <w:vAlign w:val="bottom"/>
            <w:shd w:val="clear" w:color="auto" w:fill="E5FFFF"/>
          </w:tcPr>
          <w:p>
            <w:pPr>
              <w:jc w:val="right"/>
              <w:ind w:right="34"/>
              <w:spacing w:after="0" w:line="202" w:lineRule="exact"/>
              <w:rPr>
                <w:sz w:val="20"/>
                <w:szCs w:val="20"/>
                <w:color w:val="auto"/>
              </w:rPr>
            </w:pPr>
            <w:r>
              <w:rPr>
                <w:rFonts w:ascii="Arial" w:cs="Arial" w:eastAsia="Arial" w:hAnsi="Arial"/>
                <w:sz w:val="18"/>
                <w:szCs w:val="18"/>
                <w:color w:val="auto"/>
              </w:rPr>
              <w:t>40</w:t>
            </w:r>
          </w:p>
        </w:tc>
        <w:tc>
          <w:tcPr>
            <w:tcW w:w="320" w:type="dxa"/>
            <w:vAlign w:val="bottom"/>
            <w:shd w:val="clear" w:color="auto" w:fill="E5FFFF"/>
          </w:tcPr>
          <w:p>
            <w:pPr>
              <w:spacing w:after="0"/>
              <w:rPr>
                <w:sz w:val="17"/>
                <w:szCs w:val="17"/>
                <w:color w:val="auto"/>
              </w:rPr>
            </w:pPr>
          </w:p>
        </w:tc>
        <w:tc>
          <w:tcPr>
            <w:tcW w:w="500" w:type="dxa"/>
            <w:vAlign w:val="bottom"/>
            <w:shd w:val="clear" w:color="auto" w:fill="E5FFFF"/>
          </w:tcPr>
          <w:p>
            <w:pPr>
              <w:spacing w:after="0"/>
              <w:rPr>
                <w:sz w:val="17"/>
                <w:szCs w:val="17"/>
                <w:color w:val="auto"/>
              </w:rPr>
            </w:pPr>
          </w:p>
        </w:tc>
        <w:tc>
          <w:tcPr>
            <w:tcW w:w="860" w:type="dxa"/>
            <w:vAlign w:val="bottom"/>
            <w:shd w:val="clear" w:color="auto" w:fill="E5FFFF"/>
          </w:tcPr>
          <w:p>
            <w:pPr>
              <w:jc w:val="right"/>
              <w:ind w:right="12"/>
              <w:spacing w:after="0" w:line="202" w:lineRule="exact"/>
              <w:rPr>
                <w:sz w:val="20"/>
                <w:szCs w:val="20"/>
                <w:color w:val="auto"/>
              </w:rPr>
            </w:pPr>
            <w:r>
              <w:rPr>
                <w:rFonts w:ascii="Arial" w:cs="Arial" w:eastAsia="Arial" w:hAnsi="Arial"/>
                <w:sz w:val="18"/>
                <w:szCs w:val="18"/>
                <w:color w:val="auto"/>
              </w:rPr>
              <w:t>9</w:t>
            </w:r>
          </w:p>
        </w:tc>
      </w:tr>
      <w:tr>
        <w:trPr>
          <w:trHeight w:val="203"/>
        </w:trPr>
        <w:tc>
          <w:tcPr>
            <w:tcW w:w="4540" w:type="dxa"/>
            <w:vAlign w:val="bottom"/>
            <w:tcBorders>
              <w:bottom w:val="single" w:sz="8" w:color="E5FFFF"/>
            </w:tcBorders>
          </w:tcPr>
          <w:p>
            <w:pPr>
              <w:spacing w:after="0" w:line="202" w:lineRule="exact"/>
              <w:rPr>
                <w:sz w:val="20"/>
                <w:szCs w:val="20"/>
                <w:color w:val="auto"/>
              </w:rPr>
            </w:pPr>
            <w:r>
              <w:rPr>
                <w:rFonts w:ascii="Arial" w:cs="Arial" w:eastAsia="Arial" w:hAnsi="Arial"/>
                <w:sz w:val="18"/>
                <w:szCs w:val="18"/>
                <w:color w:val="auto"/>
              </w:rPr>
              <w:t>Reserve adjustments</w:t>
            </w:r>
          </w:p>
        </w:tc>
        <w:tc>
          <w:tcPr>
            <w:tcW w:w="400" w:type="dxa"/>
            <w:vAlign w:val="bottom"/>
            <w:tcBorders>
              <w:bottom w:val="single" w:sz="8" w:color="E5FFFF"/>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w:t>
            </w:r>
          </w:p>
        </w:tc>
        <w:tc>
          <w:tcPr>
            <w:tcW w:w="360" w:type="dxa"/>
            <w:vAlign w:val="bottom"/>
            <w:tcBorders>
              <w:bottom w:val="single" w:sz="8" w:color="E5FFFF"/>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w:t>
            </w:r>
          </w:p>
        </w:tc>
        <w:tc>
          <w:tcPr>
            <w:tcW w:w="340" w:type="dxa"/>
            <w:vAlign w:val="bottom"/>
            <w:tcBorders>
              <w:bottom w:val="single" w:sz="8" w:color="E5FF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w:t>
            </w:r>
          </w:p>
        </w:tc>
        <w:tc>
          <w:tcPr>
            <w:tcW w:w="320" w:type="dxa"/>
            <w:vAlign w:val="bottom"/>
            <w:tcBorders>
              <w:bottom w:val="single" w:sz="8" w:color="E5FF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12"/>
              <w:spacing w:after="0" w:line="202" w:lineRule="exact"/>
              <w:rPr>
                <w:sz w:val="20"/>
                <w:szCs w:val="20"/>
                <w:color w:val="auto"/>
              </w:rPr>
            </w:pPr>
            <w:r>
              <w:rPr>
                <w:rFonts w:ascii="Arial" w:cs="Arial" w:eastAsia="Arial" w:hAnsi="Arial"/>
                <w:sz w:val="18"/>
                <w:szCs w:val="18"/>
                <w:color w:val="auto"/>
              </w:rPr>
              <w:t>-</w:t>
            </w:r>
          </w:p>
        </w:tc>
      </w:tr>
      <w:tr>
        <w:trPr>
          <w:trHeight w:val="196"/>
        </w:trPr>
        <w:tc>
          <w:tcPr>
            <w:tcW w:w="4540" w:type="dxa"/>
            <w:vAlign w:val="bottom"/>
            <w:shd w:val="clear" w:color="auto" w:fill="E5FFFF"/>
          </w:tcPr>
          <w:p>
            <w:pPr>
              <w:ind w:left="180"/>
              <w:spacing w:after="0" w:line="196" w:lineRule="exact"/>
              <w:rPr>
                <w:sz w:val="20"/>
                <w:szCs w:val="20"/>
                <w:color w:val="auto"/>
              </w:rPr>
            </w:pPr>
            <w:r>
              <w:rPr>
                <w:rFonts w:ascii="Arial" w:cs="Arial" w:eastAsia="Arial" w:hAnsi="Arial"/>
                <w:sz w:val="18"/>
                <w:szCs w:val="18"/>
                <w:color w:val="auto"/>
              </w:rPr>
              <w:t>Total net repositioning charge</w:t>
            </w:r>
          </w:p>
        </w:tc>
        <w:tc>
          <w:tcPr>
            <w:tcW w:w="400" w:type="dxa"/>
            <w:vAlign w:val="bottom"/>
            <w:shd w:val="clear" w:color="auto" w:fill="E5FFFF"/>
          </w:tcPr>
          <w:p>
            <w:pPr>
              <w:spacing w:after="0"/>
              <w:rPr>
                <w:sz w:val="17"/>
                <w:szCs w:val="17"/>
                <w:color w:val="auto"/>
              </w:rPr>
            </w:pPr>
          </w:p>
        </w:tc>
        <w:tc>
          <w:tcPr>
            <w:tcW w:w="900" w:type="dxa"/>
            <w:vAlign w:val="bottom"/>
            <w:tcBorders>
              <w:bottom w:val="single" w:sz="8" w:color="auto"/>
            </w:tcBorders>
            <w:shd w:val="clear" w:color="auto" w:fill="E5FFFF"/>
          </w:tcPr>
          <w:p>
            <w:pPr>
              <w:spacing w:after="0"/>
              <w:rPr>
                <w:sz w:val="17"/>
                <w:szCs w:val="17"/>
                <w:color w:val="auto"/>
              </w:rPr>
            </w:pPr>
          </w:p>
        </w:tc>
        <w:tc>
          <w:tcPr>
            <w:tcW w:w="480" w:type="dxa"/>
            <w:vAlign w:val="bottom"/>
            <w:tcBorders>
              <w:bottom w:val="single" w:sz="8" w:color="auto"/>
            </w:tcBorders>
            <w:shd w:val="clear" w:color="auto" w:fill="E5FFFF"/>
          </w:tcPr>
          <w:p>
            <w:pPr>
              <w:jc w:val="right"/>
              <w:ind w:right="32"/>
              <w:spacing w:after="0" w:line="196" w:lineRule="exact"/>
              <w:rPr>
                <w:sz w:val="20"/>
                <w:szCs w:val="20"/>
                <w:color w:val="auto"/>
              </w:rPr>
            </w:pPr>
            <w:r>
              <w:rPr>
                <w:rFonts w:ascii="Arial" w:cs="Arial" w:eastAsia="Arial" w:hAnsi="Arial"/>
                <w:sz w:val="18"/>
                <w:szCs w:val="18"/>
                <w:color w:val="auto"/>
              </w:rPr>
              <w:t>61</w:t>
            </w:r>
          </w:p>
        </w:tc>
        <w:tc>
          <w:tcPr>
            <w:tcW w:w="360" w:type="dxa"/>
            <w:vAlign w:val="bottom"/>
            <w:shd w:val="clear" w:color="auto" w:fill="E5FFFF"/>
          </w:tcPr>
          <w:p>
            <w:pPr>
              <w:spacing w:after="0"/>
              <w:rPr>
                <w:sz w:val="17"/>
                <w:szCs w:val="17"/>
                <w:color w:val="auto"/>
              </w:rPr>
            </w:pPr>
          </w:p>
        </w:tc>
        <w:tc>
          <w:tcPr>
            <w:tcW w:w="900" w:type="dxa"/>
            <w:vAlign w:val="bottom"/>
            <w:tcBorders>
              <w:bottom w:val="single" w:sz="8" w:color="auto"/>
            </w:tcBorders>
            <w:shd w:val="clear" w:color="auto" w:fill="E5FFFF"/>
          </w:tcPr>
          <w:p>
            <w:pPr>
              <w:spacing w:after="0"/>
              <w:rPr>
                <w:sz w:val="17"/>
                <w:szCs w:val="17"/>
                <w:color w:val="auto"/>
              </w:rPr>
            </w:pPr>
          </w:p>
        </w:tc>
        <w:tc>
          <w:tcPr>
            <w:tcW w:w="460" w:type="dxa"/>
            <w:vAlign w:val="bottom"/>
            <w:tcBorders>
              <w:bottom w:val="single" w:sz="8" w:color="auto"/>
            </w:tcBorders>
            <w:shd w:val="clear" w:color="auto" w:fill="E5FFFF"/>
          </w:tcPr>
          <w:p>
            <w:pPr>
              <w:jc w:val="right"/>
              <w:ind w:right="10"/>
              <w:spacing w:after="0" w:line="196" w:lineRule="exact"/>
              <w:rPr>
                <w:sz w:val="20"/>
                <w:szCs w:val="20"/>
                <w:color w:val="auto"/>
              </w:rPr>
            </w:pPr>
            <w:r>
              <w:rPr>
                <w:rFonts w:ascii="Arial" w:cs="Arial" w:eastAsia="Arial" w:hAnsi="Arial"/>
                <w:sz w:val="18"/>
                <w:szCs w:val="18"/>
                <w:color w:val="auto"/>
              </w:rPr>
              <w:t>117</w:t>
            </w:r>
          </w:p>
        </w:tc>
        <w:tc>
          <w:tcPr>
            <w:tcW w:w="340" w:type="dxa"/>
            <w:vAlign w:val="bottom"/>
            <w:shd w:val="clear" w:color="auto" w:fill="E5FFFF"/>
          </w:tcPr>
          <w:p>
            <w:pPr>
              <w:spacing w:after="0"/>
              <w:rPr>
                <w:sz w:val="17"/>
                <w:szCs w:val="17"/>
                <w:color w:val="auto"/>
              </w:rPr>
            </w:pPr>
          </w:p>
        </w:tc>
        <w:tc>
          <w:tcPr>
            <w:tcW w:w="300" w:type="dxa"/>
            <w:vAlign w:val="bottom"/>
            <w:tcBorders>
              <w:bottom w:val="single" w:sz="8" w:color="auto"/>
            </w:tcBorders>
            <w:shd w:val="clear" w:color="auto" w:fill="E5FFFF"/>
          </w:tcPr>
          <w:p>
            <w:pPr>
              <w:spacing w:after="0"/>
              <w:rPr>
                <w:sz w:val="17"/>
                <w:szCs w:val="17"/>
                <w:color w:val="auto"/>
              </w:rPr>
            </w:pPr>
          </w:p>
        </w:tc>
        <w:tc>
          <w:tcPr>
            <w:tcW w:w="1060" w:type="dxa"/>
            <w:vAlign w:val="bottom"/>
            <w:tcBorders>
              <w:bottom w:val="single" w:sz="8" w:color="auto"/>
            </w:tcBorders>
            <w:shd w:val="clear" w:color="auto" w:fill="E5FFFF"/>
          </w:tcPr>
          <w:p>
            <w:pPr>
              <w:jc w:val="right"/>
              <w:ind w:right="34"/>
              <w:spacing w:after="0" w:line="196" w:lineRule="exact"/>
              <w:rPr>
                <w:sz w:val="20"/>
                <w:szCs w:val="20"/>
                <w:color w:val="auto"/>
              </w:rPr>
            </w:pPr>
            <w:r>
              <w:rPr>
                <w:rFonts w:ascii="Arial" w:cs="Arial" w:eastAsia="Arial" w:hAnsi="Arial"/>
                <w:sz w:val="18"/>
                <w:szCs w:val="18"/>
                <w:color w:val="auto"/>
              </w:rPr>
              <w:t>146</w:t>
            </w:r>
          </w:p>
        </w:tc>
        <w:tc>
          <w:tcPr>
            <w:tcW w:w="320" w:type="dxa"/>
            <w:vAlign w:val="bottom"/>
            <w:shd w:val="clear" w:color="auto" w:fill="E5FFFF"/>
          </w:tcPr>
          <w:p>
            <w:pPr>
              <w:spacing w:after="0"/>
              <w:rPr>
                <w:sz w:val="17"/>
                <w:szCs w:val="17"/>
                <w:color w:val="auto"/>
              </w:rPr>
            </w:pPr>
          </w:p>
        </w:tc>
        <w:tc>
          <w:tcPr>
            <w:tcW w:w="500" w:type="dxa"/>
            <w:vAlign w:val="bottom"/>
            <w:tcBorders>
              <w:bottom w:val="single" w:sz="8" w:color="auto"/>
            </w:tcBorders>
            <w:shd w:val="clear" w:color="auto" w:fill="E5FFFF"/>
          </w:tcPr>
          <w:p>
            <w:pPr>
              <w:spacing w:after="0"/>
              <w:rPr>
                <w:sz w:val="17"/>
                <w:szCs w:val="17"/>
                <w:color w:val="auto"/>
              </w:rPr>
            </w:pPr>
          </w:p>
        </w:tc>
        <w:tc>
          <w:tcPr>
            <w:tcW w:w="860" w:type="dxa"/>
            <w:vAlign w:val="bottom"/>
            <w:tcBorders>
              <w:bottom w:val="single" w:sz="8" w:color="auto"/>
            </w:tcBorders>
            <w:shd w:val="clear" w:color="auto" w:fill="E5FFFF"/>
          </w:tcPr>
          <w:p>
            <w:pPr>
              <w:jc w:val="right"/>
              <w:ind w:right="12"/>
              <w:spacing w:after="0" w:line="196" w:lineRule="exact"/>
              <w:rPr>
                <w:sz w:val="20"/>
                <w:szCs w:val="20"/>
                <w:color w:val="auto"/>
              </w:rPr>
            </w:pPr>
            <w:r>
              <w:rPr>
                <w:rFonts w:ascii="Arial" w:cs="Arial" w:eastAsia="Arial" w:hAnsi="Arial"/>
                <w:sz w:val="18"/>
                <w:szCs w:val="18"/>
                <w:color w:val="auto"/>
              </w:rPr>
              <w:t>146</w:t>
            </w:r>
          </w:p>
        </w:tc>
      </w:tr>
      <w:tr>
        <w:trPr>
          <w:trHeight w:val="196"/>
        </w:trPr>
        <w:tc>
          <w:tcPr>
            <w:tcW w:w="4540" w:type="dxa"/>
            <w:vAlign w:val="bottom"/>
          </w:tcPr>
          <w:p>
            <w:pPr>
              <w:spacing w:after="0" w:line="196" w:lineRule="exact"/>
              <w:rPr>
                <w:sz w:val="20"/>
                <w:szCs w:val="20"/>
                <w:color w:val="auto"/>
              </w:rPr>
            </w:pPr>
            <w:r>
              <w:rPr>
                <w:rFonts w:ascii="Arial" w:cs="Arial" w:eastAsia="Arial" w:hAnsi="Arial"/>
                <w:sz w:val="18"/>
                <w:szCs w:val="18"/>
                <w:color w:val="auto"/>
              </w:rPr>
              <w:t>Asbestos related litigation charges, net of insurance</w:t>
            </w:r>
          </w:p>
        </w:tc>
        <w:tc>
          <w:tcPr>
            <w:tcW w:w="4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80" w:type="dxa"/>
            <w:vAlign w:val="bottom"/>
          </w:tcPr>
          <w:p>
            <w:pPr>
              <w:jc w:val="right"/>
              <w:ind w:right="32"/>
              <w:spacing w:after="0" w:line="196" w:lineRule="exact"/>
              <w:rPr>
                <w:sz w:val="20"/>
                <w:szCs w:val="20"/>
                <w:color w:val="auto"/>
              </w:rPr>
            </w:pPr>
            <w:r>
              <w:rPr>
                <w:rFonts w:ascii="Arial" w:cs="Arial" w:eastAsia="Arial" w:hAnsi="Arial"/>
                <w:sz w:val="18"/>
                <w:szCs w:val="18"/>
                <w:color w:val="auto"/>
              </w:rPr>
              <w:t>48</w:t>
            </w: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60" w:type="dxa"/>
            <w:vAlign w:val="bottom"/>
          </w:tcPr>
          <w:p>
            <w:pPr>
              <w:jc w:val="right"/>
              <w:ind w:right="10"/>
              <w:spacing w:after="0" w:line="196" w:lineRule="exact"/>
              <w:rPr>
                <w:sz w:val="20"/>
                <w:szCs w:val="20"/>
                <w:color w:val="auto"/>
              </w:rPr>
            </w:pPr>
            <w:r>
              <w:rPr>
                <w:rFonts w:ascii="Arial" w:cs="Arial" w:eastAsia="Arial" w:hAnsi="Arial"/>
                <w:sz w:val="18"/>
                <w:szCs w:val="18"/>
                <w:color w:val="auto"/>
              </w:rPr>
              <w:t>52</w:t>
            </w: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ind w:right="34"/>
              <w:spacing w:after="0" w:line="196" w:lineRule="exact"/>
              <w:rPr>
                <w:sz w:val="20"/>
                <w:szCs w:val="20"/>
                <w:color w:val="auto"/>
              </w:rPr>
            </w:pPr>
            <w:r>
              <w:rPr>
                <w:rFonts w:ascii="Arial" w:cs="Arial" w:eastAsia="Arial" w:hAnsi="Arial"/>
                <w:sz w:val="18"/>
                <w:szCs w:val="18"/>
                <w:color w:val="auto"/>
              </w:rPr>
              <w:t>99</w:t>
            </w: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60" w:type="dxa"/>
            <w:vAlign w:val="bottom"/>
          </w:tcPr>
          <w:p>
            <w:pPr>
              <w:jc w:val="right"/>
              <w:ind w:right="12"/>
              <w:spacing w:after="0" w:line="196" w:lineRule="exact"/>
              <w:rPr>
                <w:sz w:val="20"/>
                <w:szCs w:val="20"/>
                <w:color w:val="auto"/>
              </w:rPr>
            </w:pPr>
            <w:r>
              <w:rPr>
                <w:rFonts w:ascii="Arial" w:cs="Arial" w:eastAsia="Arial" w:hAnsi="Arial"/>
                <w:sz w:val="18"/>
                <w:szCs w:val="18"/>
                <w:color w:val="auto"/>
              </w:rPr>
              <w:t>102</w:t>
            </w:r>
          </w:p>
        </w:tc>
      </w:tr>
      <w:tr>
        <w:trPr>
          <w:trHeight w:val="202"/>
        </w:trPr>
        <w:tc>
          <w:tcPr>
            <w:tcW w:w="4540" w:type="dxa"/>
            <w:vAlign w:val="bottom"/>
            <w:shd w:val="clear" w:color="auto" w:fill="E5FFFF"/>
          </w:tcPr>
          <w:p>
            <w:pPr>
              <w:spacing w:after="0" w:line="201" w:lineRule="exact"/>
              <w:rPr>
                <w:sz w:val="20"/>
                <w:szCs w:val="20"/>
                <w:color w:val="auto"/>
              </w:rPr>
            </w:pPr>
            <w:r>
              <w:rPr>
                <w:rFonts w:ascii="Arial" w:cs="Arial" w:eastAsia="Arial" w:hAnsi="Arial"/>
                <w:sz w:val="18"/>
                <w:szCs w:val="18"/>
                <w:color w:val="auto"/>
              </w:rPr>
              <w:t>Probable and reasonably estimable environmental</w:t>
            </w:r>
          </w:p>
        </w:tc>
        <w:tc>
          <w:tcPr>
            <w:tcW w:w="400" w:type="dxa"/>
            <w:vAlign w:val="bottom"/>
            <w:shd w:val="clear" w:color="auto" w:fill="E5FFFF"/>
          </w:tcPr>
          <w:p>
            <w:pPr>
              <w:spacing w:after="0"/>
              <w:rPr>
                <w:sz w:val="17"/>
                <w:szCs w:val="17"/>
                <w:color w:val="auto"/>
              </w:rPr>
            </w:pPr>
          </w:p>
        </w:tc>
        <w:tc>
          <w:tcPr>
            <w:tcW w:w="900" w:type="dxa"/>
            <w:vAlign w:val="bottom"/>
            <w:shd w:val="clear" w:color="auto" w:fill="E5FFFF"/>
          </w:tcPr>
          <w:p>
            <w:pPr>
              <w:spacing w:after="0"/>
              <w:rPr>
                <w:sz w:val="17"/>
                <w:szCs w:val="17"/>
                <w:color w:val="auto"/>
              </w:rPr>
            </w:pPr>
          </w:p>
        </w:tc>
        <w:tc>
          <w:tcPr>
            <w:tcW w:w="480" w:type="dxa"/>
            <w:vAlign w:val="bottom"/>
            <w:shd w:val="clear" w:color="auto" w:fill="E5FFFF"/>
          </w:tcPr>
          <w:p>
            <w:pPr>
              <w:spacing w:after="0"/>
              <w:rPr>
                <w:sz w:val="17"/>
                <w:szCs w:val="17"/>
                <w:color w:val="auto"/>
              </w:rPr>
            </w:pPr>
          </w:p>
        </w:tc>
        <w:tc>
          <w:tcPr>
            <w:tcW w:w="360" w:type="dxa"/>
            <w:vAlign w:val="bottom"/>
            <w:shd w:val="clear" w:color="auto" w:fill="E5FFFF"/>
          </w:tcPr>
          <w:p>
            <w:pPr>
              <w:spacing w:after="0"/>
              <w:rPr>
                <w:sz w:val="17"/>
                <w:szCs w:val="17"/>
                <w:color w:val="auto"/>
              </w:rPr>
            </w:pPr>
          </w:p>
        </w:tc>
        <w:tc>
          <w:tcPr>
            <w:tcW w:w="900" w:type="dxa"/>
            <w:vAlign w:val="bottom"/>
            <w:shd w:val="clear" w:color="auto" w:fill="E5FFFF"/>
          </w:tcPr>
          <w:p>
            <w:pPr>
              <w:spacing w:after="0"/>
              <w:rPr>
                <w:sz w:val="17"/>
                <w:szCs w:val="17"/>
                <w:color w:val="auto"/>
              </w:rPr>
            </w:pPr>
          </w:p>
        </w:tc>
        <w:tc>
          <w:tcPr>
            <w:tcW w:w="460" w:type="dxa"/>
            <w:vAlign w:val="bottom"/>
            <w:shd w:val="clear" w:color="auto" w:fill="E5FFFF"/>
          </w:tcPr>
          <w:p>
            <w:pPr>
              <w:spacing w:after="0"/>
              <w:rPr>
                <w:sz w:val="17"/>
                <w:szCs w:val="17"/>
                <w:color w:val="auto"/>
              </w:rPr>
            </w:pPr>
          </w:p>
        </w:tc>
        <w:tc>
          <w:tcPr>
            <w:tcW w:w="34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1060" w:type="dxa"/>
            <w:vAlign w:val="bottom"/>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500" w:type="dxa"/>
            <w:vAlign w:val="bottom"/>
            <w:shd w:val="clear" w:color="auto" w:fill="E5FFFF"/>
          </w:tcPr>
          <w:p>
            <w:pPr>
              <w:spacing w:after="0"/>
              <w:rPr>
                <w:sz w:val="17"/>
                <w:szCs w:val="17"/>
                <w:color w:val="auto"/>
              </w:rPr>
            </w:pPr>
          </w:p>
        </w:tc>
        <w:tc>
          <w:tcPr>
            <w:tcW w:w="860" w:type="dxa"/>
            <w:vAlign w:val="bottom"/>
            <w:shd w:val="clear" w:color="auto" w:fill="E5FFFF"/>
          </w:tcPr>
          <w:p>
            <w:pPr>
              <w:spacing w:after="0"/>
              <w:rPr>
                <w:sz w:val="17"/>
                <w:szCs w:val="17"/>
                <w:color w:val="auto"/>
              </w:rPr>
            </w:pPr>
          </w:p>
        </w:tc>
      </w:tr>
      <w:tr>
        <w:trPr>
          <w:trHeight w:val="203"/>
        </w:trPr>
        <w:tc>
          <w:tcPr>
            <w:tcW w:w="4540" w:type="dxa"/>
            <w:vAlign w:val="bottom"/>
            <w:shd w:val="clear" w:color="auto" w:fill="E5FFFF"/>
          </w:tcPr>
          <w:p>
            <w:pPr>
              <w:ind w:left="180"/>
              <w:spacing w:after="0" w:line="203" w:lineRule="exact"/>
              <w:rPr>
                <w:sz w:val="20"/>
                <w:szCs w:val="20"/>
                <w:color w:val="auto"/>
              </w:rPr>
            </w:pPr>
            <w:r>
              <w:rPr>
                <w:rFonts w:ascii="Arial" w:cs="Arial" w:eastAsia="Arial" w:hAnsi="Arial"/>
                <w:sz w:val="18"/>
                <w:szCs w:val="18"/>
                <w:color w:val="auto"/>
              </w:rPr>
              <w:t>liabilities</w:t>
            </w:r>
          </w:p>
        </w:tc>
        <w:tc>
          <w:tcPr>
            <w:tcW w:w="400" w:type="dxa"/>
            <w:vAlign w:val="bottom"/>
            <w:shd w:val="clear" w:color="auto" w:fill="E5FFFF"/>
          </w:tcPr>
          <w:p>
            <w:pPr>
              <w:spacing w:after="0"/>
              <w:rPr>
                <w:sz w:val="17"/>
                <w:szCs w:val="17"/>
                <w:color w:val="auto"/>
              </w:rPr>
            </w:pPr>
          </w:p>
        </w:tc>
        <w:tc>
          <w:tcPr>
            <w:tcW w:w="900" w:type="dxa"/>
            <w:vAlign w:val="bottom"/>
            <w:shd w:val="clear" w:color="auto" w:fill="E5FFFF"/>
          </w:tcPr>
          <w:p>
            <w:pPr>
              <w:spacing w:after="0"/>
              <w:rPr>
                <w:sz w:val="17"/>
                <w:szCs w:val="17"/>
                <w:color w:val="auto"/>
              </w:rPr>
            </w:pPr>
          </w:p>
        </w:tc>
        <w:tc>
          <w:tcPr>
            <w:tcW w:w="480" w:type="dxa"/>
            <w:vAlign w:val="bottom"/>
            <w:shd w:val="clear" w:color="auto" w:fill="E5FFFF"/>
          </w:tcPr>
          <w:p>
            <w:pPr>
              <w:jc w:val="right"/>
              <w:ind w:right="32"/>
              <w:spacing w:after="0" w:line="203" w:lineRule="exact"/>
              <w:rPr>
                <w:sz w:val="20"/>
                <w:szCs w:val="20"/>
                <w:color w:val="auto"/>
              </w:rPr>
            </w:pPr>
            <w:r>
              <w:rPr>
                <w:rFonts w:ascii="Arial" w:cs="Arial" w:eastAsia="Arial" w:hAnsi="Arial"/>
                <w:sz w:val="18"/>
                <w:szCs w:val="18"/>
                <w:color w:val="auto"/>
              </w:rPr>
              <w:t>127</w:t>
            </w:r>
          </w:p>
        </w:tc>
        <w:tc>
          <w:tcPr>
            <w:tcW w:w="360" w:type="dxa"/>
            <w:vAlign w:val="bottom"/>
            <w:shd w:val="clear" w:color="auto" w:fill="E5FFFF"/>
          </w:tcPr>
          <w:p>
            <w:pPr>
              <w:spacing w:after="0"/>
              <w:rPr>
                <w:sz w:val="17"/>
                <w:szCs w:val="17"/>
                <w:color w:val="auto"/>
              </w:rPr>
            </w:pPr>
          </w:p>
        </w:tc>
        <w:tc>
          <w:tcPr>
            <w:tcW w:w="900" w:type="dxa"/>
            <w:vAlign w:val="bottom"/>
            <w:shd w:val="clear" w:color="auto" w:fill="E5FFFF"/>
          </w:tcPr>
          <w:p>
            <w:pPr>
              <w:spacing w:after="0"/>
              <w:rPr>
                <w:sz w:val="17"/>
                <w:szCs w:val="17"/>
                <w:color w:val="auto"/>
              </w:rPr>
            </w:pPr>
          </w:p>
        </w:tc>
        <w:tc>
          <w:tcPr>
            <w:tcW w:w="460" w:type="dxa"/>
            <w:vAlign w:val="bottom"/>
            <w:shd w:val="clear" w:color="auto" w:fill="E5FFFF"/>
          </w:tcPr>
          <w:p>
            <w:pPr>
              <w:jc w:val="right"/>
              <w:ind w:right="10"/>
              <w:spacing w:after="0" w:line="203" w:lineRule="exact"/>
              <w:rPr>
                <w:sz w:val="20"/>
                <w:szCs w:val="20"/>
                <w:color w:val="auto"/>
              </w:rPr>
            </w:pPr>
            <w:r>
              <w:rPr>
                <w:rFonts w:ascii="Arial" w:cs="Arial" w:eastAsia="Arial" w:hAnsi="Arial"/>
                <w:sz w:val="18"/>
                <w:szCs w:val="18"/>
                <w:color w:val="auto"/>
              </w:rPr>
              <w:t>55</w:t>
            </w:r>
          </w:p>
        </w:tc>
        <w:tc>
          <w:tcPr>
            <w:tcW w:w="34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1060" w:type="dxa"/>
            <w:vAlign w:val="bottom"/>
            <w:shd w:val="clear" w:color="auto" w:fill="E5FFFF"/>
          </w:tcPr>
          <w:p>
            <w:pPr>
              <w:jc w:val="right"/>
              <w:ind w:right="34"/>
              <w:spacing w:after="0" w:line="203" w:lineRule="exact"/>
              <w:rPr>
                <w:sz w:val="20"/>
                <w:szCs w:val="20"/>
                <w:color w:val="auto"/>
              </w:rPr>
            </w:pPr>
            <w:r>
              <w:rPr>
                <w:rFonts w:ascii="Arial" w:cs="Arial" w:eastAsia="Arial" w:hAnsi="Arial"/>
                <w:sz w:val="18"/>
                <w:szCs w:val="18"/>
                <w:color w:val="auto"/>
              </w:rPr>
              <w:t>184</w:t>
            </w:r>
          </w:p>
        </w:tc>
        <w:tc>
          <w:tcPr>
            <w:tcW w:w="320" w:type="dxa"/>
            <w:vAlign w:val="bottom"/>
            <w:shd w:val="clear" w:color="auto" w:fill="E5FFFF"/>
          </w:tcPr>
          <w:p>
            <w:pPr>
              <w:spacing w:after="0"/>
              <w:rPr>
                <w:sz w:val="17"/>
                <w:szCs w:val="17"/>
                <w:color w:val="auto"/>
              </w:rPr>
            </w:pPr>
          </w:p>
        </w:tc>
        <w:tc>
          <w:tcPr>
            <w:tcW w:w="500" w:type="dxa"/>
            <w:vAlign w:val="bottom"/>
            <w:shd w:val="clear" w:color="auto" w:fill="E5FFFF"/>
          </w:tcPr>
          <w:p>
            <w:pPr>
              <w:spacing w:after="0"/>
              <w:rPr>
                <w:sz w:val="17"/>
                <w:szCs w:val="17"/>
                <w:color w:val="auto"/>
              </w:rPr>
            </w:pPr>
          </w:p>
        </w:tc>
        <w:tc>
          <w:tcPr>
            <w:tcW w:w="860" w:type="dxa"/>
            <w:vAlign w:val="bottom"/>
            <w:shd w:val="clear" w:color="auto" w:fill="E5FFFF"/>
          </w:tcPr>
          <w:p>
            <w:pPr>
              <w:jc w:val="right"/>
              <w:ind w:right="12"/>
              <w:spacing w:after="0" w:line="203" w:lineRule="exact"/>
              <w:rPr>
                <w:sz w:val="20"/>
                <w:szCs w:val="20"/>
                <w:color w:val="auto"/>
              </w:rPr>
            </w:pPr>
            <w:r>
              <w:rPr>
                <w:rFonts w:ascii="Arial" w:cs="Arial" w:eastAsia="Arial" w:hAnsi="Arial"/>
                <w:sz w:val="18"/>
                <w:szCs w:val="18"/>
                <w:color w:val="auto"/>
              </w:rPr>
              <w:t>105</w:t>
            </w:r>
          </w:p>
        </w:tc>
      </w:tr>
      <w:tr>
        <w:trPr>
          <w:trHeight w:val="203"/>
        </w:trPr>
        <w:tc>
          <w:tcPr>
            <w:tcW w:w="4540" w:type="dxa"/>
            <w:vAlign w:val="bottom"/>
            <w:tcBorders>
              <w:bottom w:val="single" w:sz="8" w:color="E5FFFF"/>
            </w:tcBorders>
          </w:tcPr>
          <w:p>
            <w:pPr>
              <w:spacing w:after="0" w:line="202" w:lineRule="exact"/>
              <w:rPr>
                <w:sz w:val="20"/>
                <w:szCs w:val="20"/>
                <w:color w:val="auto"/>
              </w:rPr>
            </w:pPr>
            <w:r>
              <w:rPr>
                <w:rFonts w:ascii="Arial" w:cs="Arial" w:eastAsia="Arial" w:hAnsi="Arial"/>
                <w:sz w:val="18"/>
                <w:szCs w:val="18"/>
                <w:color w:val="auto"/>
              </w:rPr>
              <w:t>Other</w:t>
            </w:r>
          </w:p>
        </w:tc>
        <w:tc>
          <w:tcPr>
            <w:tcW w:w="400" w:type="dxa"/>
            <w:vAlign w:val="bottom"/>
            <w:tcBorders>
              <w:bottom w:val="single" w:sz="8" w:color="E5FFFF"/>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ind w:right="32"/>
              <w:spacing w:after="0" w:line="202" w:lineRule="exact"/>
              <w:rPr>
                <w:sz w:val="20"/>
                <w:szCs w:val="20"/>
                <w:color w:val="auto"/>
              </w:rPr>
            </w:pPr>
            <w:r>
              <w:rPr>
                <w:rFonts w:ascii="Arial" w:cs="Arial" w:eastAsia="Arial" w:hAnsi="Arial"/>
                <w:sz w:val="18"/>
                <w:szCs w:val="18"/>
                <w:color w:val="auto"/>
              </w:rPr>
              <w:t>29</w:t>
            </w:r>
          </w:p>
        </w:tc>
        <w:tc>
          <w:tcPr>
            <w:tcW w:w="360" w:type="dxa"/>
            <w:vAlign w:val="bottom"/>
            <w:tcBorders>
              <w:bottom w:val="single" w:sz="8" w:color="E5FFFF"/>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340" w:type="dxa"/>
            <w:vAlign w:val="bottom"/>
            <w:tcBorders>
              <w:bottom w:val="single" w:sz="8" w:color="E5FF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4"/>
              <w:spacing w:after="0" w:line="202" w:lineRule="exact"/>
              <w:rPr>
                <w:sz w:val="20"/>
                <w:szCs w:val="20"/>
                <w:color w:val="auto"/>
              </w:rPr>
            </w:pPr>
            <w:r>
              <w:rPr>
                <w:rFonts w:ascii="Arial" w:cs="Arial" w:eastAsia="Arial" w:hAnsi="Arial"/>
                <w:sz w:val="18"/>
                <w:szCs w:val="18"/>
                <w:color w:val="auto"/>
              </w:rPr>
              <w:t>29</w:t>
            </w:r>
          </w:p>
        </w:tc>
        <w:tc>
          <w:tcPr>
            <w:tcW w:w="320" w:type="dxa"/>
            <w:vAlign w:val="bottom"/>
            <w:tcBorders>
              <w:bottom w:val="single" w:sz="8" w:color="E5FF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12"/>
              <w:spacing w:after="0" w:line="202" w:lineRule="exact"/>
              <w:rPr>
                <w:sz w:val="20"/>
                <w:szCs w:val="20"/>
                <w:color w:val="auto"/>
              </w:rPr>
            </w:pPr>
            <w:r>
              <w:rPr>
                <w:rFonts w:ascii="Arial" w:cs="Arial" w:eastAsia="Arial" w:hAnsi="Arial"/>
                <w:sz w:val="18"/>
                <w:szCs w:val="18"/>
                <w:color w:val="auto"/>
              </w:rPr>
              <w:t>-</w:t>
            </w:r>
          </w:p>
        </w:tc>
      </w:tr>
      <w:tr>
        <w:trPr>
          <w:trHeight w:val="196"/>
        </w:trPr>
        <w:tc>
          <w:tcPr>
            <w:tcW w:w="4540" w:type="dxa"/>
            <w:vAlign w:val="bottom"/>
            <w:tcBorders>
              <w:bottom w:val="single" w:sz="8" w:color="E5FFFF"/>
            </w:tcBorders>
            <w:shd w:val="clear" w:color="auto" w:fill="E5FFFF"/>
          </w:tcPr>
          <w:p>
            <w:pPr>
              <w:ind w:left="180"/>
              <w:spacing w:after="0" w:line="196" w:lineRule="exact"/>
              <w:rPr>
                <w:sz w:val="20"/>
                <w:szCs w:val="20"/>
                <w:color w:val="auto"/>
              </w:rPr>
            </w:pPr>
            <w:r>
              <w:rPr>
                <w:rFonts w:ascii="Arial" w:cs="Arial" w:eastAsia="Arial" w:hAnsi="Arial"/>
                <w:sz w:val="18"/>
                <w:szCs w:val="18"/>
                <w:color w:val="auto"/>
              </w:rPr>
              <w:t>Total net repositioning and other charges</w:t>
            </w:r>
          </w:p>
        </w:tc>
        <w:tc>
          <w:tcPr>
            <w:tcW w:w="400" w:type="dxa"/>
            <w:vAlign w:val="bottom"/>
            <w:tcBorders>
              <w:bottom w:val="single" w:sz="8" w:color="E5FFFF"/>
            </w:tcBorders>
            <w:shd w:val="clear" w:color="auto" w:fill="E5FFFF"/>
          </w:tcPr>
          <w:p>
            <w:pPr>
              <w:spacing w:after="0"/>
              <w:rPr>
                <w:sz w:val="17"/>
                <w:szCs w:val="17"/>
                <w:color w:val="auto"/>
              </w:rPr>
            </w:pPr>
          </w:p>
        </w:tc>
        <w:tc>
          <w:tcPr>
            <w:tcW w:w="900" w:type="dxa"/>
            <w:vAlign w:val="bottom"/>
            <w:tcBorders>
              <w:bottom w:val="single" w:sz="8" w:color="auto"/>
            </w:tcBorders>
            <w:shd w:val="clear" w:color="auto" w:fill="E5FFFF"/>
          </w:tcPr>
          <w:p>
            <w:pPr>
              <w:jc w:val="right"/>
              <w:ind w:right="719"/>
              <w:spacing w:after="0" w:line="196" w:lineRule="exact"/>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E5FFFF"/>
          </w:tcPr>
          <w:p>
            <w:pPr>
              <w:jc w:val="right"/>
              <w:ind w:right="32"/>
              <w:spacing w:after="0" w:line="196" w:lineRule="exact"/>
              <w:rPr>
                <w:sz w:val="20"/>
                <w:szCs w:val="20"/>
                <w:color w:val="auto"/>
              </w:rPr>
            </w:pPr>
            <w:r>
              <w:rPr>
                <w:rFonts w:ascii="Arial" w:cs="Arial" w:eastAsia="Arial" w:hAnsi="Arial"/>
                <w:sz w:val="18"/>
                <w:szCs w:val="18"/>
                <w:color w:val="auto"/>
              </w:rPr>
              <w:t>265</w:t>
            </w:r>
          </w:p>
        </w:tc>
        <w:tc>
          <w:tcPr>
            <w:tcW w:w="360" w:type="dxa"/>
            <w:vAlign w:val="bottom"/>
            <w:tcBorders>
              <w:bottom w:val="single" w:sz="8" w:color="E5FFFF"/>
            </w:tcBorders>
            <w:shd w:val="clear" w:color="auto" w:fill="E5FFFF"/>
          </w:tcPr>
          <w:p>
            <w:pPr>
              <w:spacing w:after="0"/>
              <w:rPr>
                <w:sz w:val="17"/>
                <w:szCs w:val="17"/>
                <w:color w:val="auto"/>
              </w:rPr>
            </w:pPr>
          </w:p>
        </w:tc>
        <w:tc>
          <w:tcPr>
            <w:tcW w:w="900" w:type="dxa"/>
            <w:vAlign w:val="bottom"/>
            <w:tcBorders>
              <w:bottom w:val="single" w:sz="8" w:color="auto"/>
            </w:tcBorders>
            <w:shd w:val="clear" w:color="auto" w:fill="E5FFFF"/>
          </w:tcPr>
          <w:p>
            <w:pPr>
              <w:jc w:val="right"/>
              <w:ind w:right="710"/>
              <w:spacing w:after="0" w:line="196" w:lineRule="exact"/>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shd w:val="clear" w:color="auto" w:fill="E5FFFF"/>
          </w:tcPr>
          <w:p>
            <w:pPr>
              <w:jc w:val="right"/>
              <w:ind w:right="10"/>
              <w:spacing w:after="0" w:line="196" w:lineRule="exact"/>
              <w:rPr>
                <w:sz w:val="20"/>
                <w:szCs w:val="20"/>
                <w:color w:val="auto"/>
              </w:rPr>
            </w:pPr>
            <w:r>
              <w:rPr>
                <w:rFonts w:ascii="Arial" w:cs="Arial" w:eastAsia="Arial" w:hAnsi="Arial"/>
                <w:sz w:val="18"/>
                <w:szCs w:val="18"/>
                <w:color w:val="auto"/>
              </w:rPr>
              <w:t>224</w:t>
            </w:r>
          </w:p>
        </w:tc>
        <w:tc>
          <w:tcPr>
            <w:tcW w:w="340" w:type="dxa"/>
            <w:vAlign w:val="bottom"/>
            <w:tcBorders>
              <w:bottom w:val="single" w:sz="8" w:color="E5FFFF"/>
            </w:tcBorders>
            <w:shd w:val="clear" w:color="auto" w:fill="E5FFFF"/>
          </w:tcPr>
          <w:p>
            <w:pPr>
              <w:spacing w:after="0"/>
              <w:rPr>
                <w:sz w:val="17"/>
                <w:szCs w:val="17"/>
                <w:color w:val="auto"/>
              </w:rPr>
            </w:pPr>
          </w:p>
        </w:tc>
        <w:tc>
          <w:tcPr>
            <w:tcW w:w="300" w:type="dxa"/>
            <w:vAlign w:val="bottom"/>
            <w:tcBorders>
              <w:bottom w:val="single" w:sz="8" w:color="auto"/>
            </w:tcBorders>
            <w:shd w:val="clear" w:color="auto" w:fill="E5FF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E5FFFF"/>
          </w:tcPr>
          <w:p>
            <w:pPr>
              <w:jc w:val="right"/>
              <w:ind w:right="34"/>
              <w:spacing w:after="0" w:line="196" w:lineRule="exact"/>
              <w:rPr>
                <w:sz w:val="20"/>
                <w:szCs w:val="20"/>
                <w:color w:val="auto"/>
              </w:rPr>
            </w:pPr>
            <w:r>
              <w:rPr>
                <w:rFonts w:ascii="Arial" w:cs="Arial" w:eastAsia="Arial" w:hAnsi="Arial"/>
                <w:sz w:val="18"/>
                <w:szCs w:val="18"/>
                <w:color w:val="auto"/>
              </w:rPr>
              <w:t>458</w:t>
            </w:r>
          </w:p>
        </w:tc>
        <w:tc>
          <w:tcPr>
            <w:tcW w:w="320" w:type="dxa"/>
            <w:vAlign w:val="bottom"/>
            <w:tcBorders>
              <w:bottom w:val="single" w:sz="8" w:color="E5FFFF"/>
            </w:tcBorders>
            <w:shd w:val="clear" w:color="auto" w:fill="E5FFFF"/>
          </w:tcPr>
          <w:p>
            <w:pPr>
              <w:spacing w:after="0"/>
              <w:rPr>
                <w:sz w:val="17"/>
                <w:szCs w:val="17"/>
                <w:color w:val="auto"/>
              </w:rPr>
            </w:pPr>
          </w:p>
        </w:tc>
        <w:tc>
          <w:tcPr>
            <w:tcW w:w="500" w:type="dxa"/>
            <w:vAlign w:val="bottom"/>
            <w:tcBorders>
              <w:bottom w:val="single" w:sz="8" w:color="auto"/>
            </w:tcBorders>
            <w:shd w:val="clear" w:color="auto" w:fill="E5FFFF"/>
          </w:tcPr>
          <w:p>
            <w:pPr>
              <w:jc w:val="right"/>
              <w:ind w:right="310"/>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E5FFFF"/>
          </w:tcPr>
          <w:p>
            <w:pPr>
              <w:jc w:val="right"/>
              <w:ind w:right="12"/>
              <w:spacing w:after="0" w:line="196" w:lineRule="exact"/>
              <w:rPr>
                <w:sz w:val="20"/>
                <w:szCs w:val="20"/>
                <w:color w:val="auto"/>
              </w:rPr>
            </w:pPr>
            <w:r>
              <w:rPr>
                <w:rFonts w:ascii="Arial" w:cs="Arial" w:eastAsia="Arial" w:hAnsi="Arial"/>
                <w:sz w:val="18"/>
                <w:szCs w:val="18"/>
                <w:color w:val="auto"/>
              </w:rPr>
              <w:t>353</w:t>
            </w:r>
          </w:p>
        </w:tc>
      </w:tr>
      <w:tr>
        <w:trPr>
          <w:trHeight w:val="20"/>
        </w:trPr>
        <w:tc>
          <w:tcPr>
            <w:tcW w:w="4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pretax distribution of total net repositioning and other charges by income statement classification:</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94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8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860" w:type="dxa"/>
            <w:vAlign w:val="bottom"/>
          </w:tcPr>
          <w:p>
            <w:pPr>
              <w:spacing w:after="0"/>
              <w:rPr>
                <w:sz w:val="14"/>
                <w:szCs w:val="14"/>
                <w:color w:val="auto"/>
              </w:rPr>
            </w:pPr>
          </w:p>
        </w:tc>
      </w:tr>
      <w:tr>
        <w:trPr>
          <w:trHeight w:val="175"/>
        </w:trPr>
        <w:tc>
          <w:tcPr>
            <w:tcW w:w="4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gridSpan w:val="3"/>
          </w:tcPr>
          <w:p>
            <w:pPr>
              <w:jc w:val="right"/>
              <w:ind w:right="330"/>
              <w:spacing w:after="0"/>
              <w:rPr>
                <w:sz w:val="20"/>
                <w:szCs w:val="20"/>
                <w:color w:val="auto"/>
              </w:rPr>
            </w:pPr>
            <w:r>
              <w:rPr>
                <w:rFonts w:ascii="Arial" w:cs="Arial" w:eastAsia="Arial" w:hAnsi="Arial"/>
                <w:sz w:val="14"/>
                <w:szCs w:val="14"/>
                <w:b w:val="1"/>
                <w:bCs w:val="1"/>
                <w:color w:val="auto"/>
              </w:rPr>
              <w:t>June 30,</w:t>
            </w:r>
          </w:p>
        </w:tc>
        <w:tc>
          <w:tcPr>
            <w:tcW w:w="840" w:type="dxa"/>
            <w:vAlign w:val="bottom"/>
            <w:tcBorders>
              <w:bottom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gridSpan w:val="3"/>
          </w:tcPr>
          <w:p>
            <w:pPr>
              <w:jc w:val="right"/>
              <w:ind w:right="290"/>
              <w:spacing w:after="0"/>
              <w:rPr>
                <w:sz w:val="20"/>
                <w:szCs w:val="20"/>
                <w:color w:val="auto"/>
              </w:rPr>
            </w:pPr>
            <w:r>
              <w:rPr>
                <w:rFonts w:ascii="Arial" w:cs="Arial" w:eastAsia="Arial" w:hAnsi="Arial"/>
                <w:sz w:val="14"/>
                <w:szCs w:val="14"/>
                <w:b w:val="1"/>
                <w:bCs w:val="1"/>
                <w:color w:val="auto"/>
              </w:rPr>
              <w:t>June 30,</w:t>
            </w:r>
          </w:p>
        </w:tc>
        <w:tc>
          <w:tcPr>
            <w:tcW w:w="860" w:type="dxa"/>
            <w:vAlign w:val="bottom"/>
            <w:tcBorders>
              <w:bottom w:val="single" w:sz="8" w:color="auto"/>
            </w:tcBorders>
          </w:tcPr>
          <w:p>
            <w:pPr>
              <w:spacing w:after="0"/>
              <w:rPr>
                <w:sz w:val="15"/>
                <w:szCs w:val="15"/>
                <w:color w:val="auto"/>
              </w:rPr>
            </w:pPr>
          </w:p>
        </w:tc>
      </w:tr>
      <w:tr>
        <w:trPr>
          <w:trHeight w:val="156"/>
        </w:trPr>
        <w:tc>
          <w:tcPr>
            <w:tcW w:w="4260" w:type="dxa"/>
            <w:vAlign w:val="bottom"/>
            <w:tcBorders>
              <w:bottom w:val="single" w:sz="8" w:color="E5FFFF"/>
            </w:tcBorders>
          </w:tcPr>
          <w:p>
            <w:pPr>
              <w:spacing w:after="0"/>
              <w:rPr>
                <w:sz w:val="13"/>
                <w:szCs w:val="13"/>
                <w:color w:val="auto"/>
              </w:rPr>
            </w:pPr>
          </w:p>
        </w:tc>
        <w:tc>
          <w:tcPr>
            <w:tcW w:w="680" w:type="dxa"/>
            <w:vAlign w:val="bottom"/>
            <w:tcBorders>
              <w:bottom w:val="single" w:sz="8" w:color="E5FF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437"/>
              <w:spacing w:after="0" w:line="155" w:lineRule="exact"/>
              <w:rPr>
                <w:sz w:val="20"/>
                <w:szCs w:val="20"/>
                <w:color w:val="auto"/>
              </w:rPr>
            </w:pPr>
            <w:r>
              <w:rPr>
                <w:rFonts w:ascii="Arial" w:cs="Arial" w:eastAsia="Arial" w:hAnsi="Arial"/>
                <w:sz w:val="14"/>
                <w:szCs w:val="14"/>
                <w:b w:val="1"/>
                <w:bCs w:val="1"/>
                <w:color w:val="auto"/>
              </w:rPr>
              <w:t>2018</w:t>
            </w:r>
          </w:p>
        </w:tc>
        <w:tc>
          <w:tcPr>
            <w:tcW w:w="360" w:type="dxa"/>
            <w:vAlign w:val="bottom"/>
            <w:tcBorders>
              <w:bottom w:val="single" w:sz="8" w:color="E5FFFF"/>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434"/>
              <w:spacing w:after="0" w:line="155" w:lineRule="exact"/>
              <w:rPr>
                <w:sz w:val="20"/>
                <w:szCs w:val="20"/>
                <w:color w:val="auto"/>
              </w:rPr>
            </w:pPr>
            <w:r>
              <w:rPr>
                <w:rFonts w:ascii="Arial" w:cs="Arial" w:eastAsia="Arial" w:hAnsi="Arial"/>
                <w:sz w:val="14"/>
                <w:szCs w:val="14"/>
                <w:b w:val="1"/>
                <w:bCs w:val="1"/>
                <w:color w:val="auto"/>
                <w:w w:val="96"/>
              </w:rPr>
              <w:t>2017</w:t>
            </w:r>
          </w:p>
        </w:tc>
        <w:tc>
          <w:tcPr>
            <w:tcW w:w="340" w:type="dxa"/>
            <w:vAlign w:val="bottom"/>
            <w:tcBorders>
              <w:bottom w:val="single" w:sz="8" w:color="E5FF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438"/>
              <w:spacing w:after="0" w:line="155" w:lineRule="exact"/>
              <w:rPr>
                <w:sz w:val="20"/>
                <w:szCs w:val="20"/>
                <w:color w:val="auto"/>
              </w:rPr>
            </w:pPr>
            <w:r>
              <w:rPr>
                <w:rFonts w:ascii="Arial" w:cs="Arial" w:eastAsia="Arial" w:hAnsi="Arial"/>
                <w:sz w:val="14"/>
                <w:szCs w:val="14"/>
                <w:b w:val="1"/>
                <w:bCs w:val="1"/>
                <w:color w:val="auto"/>
              </w:rPr>
              <w:t>2018</w:t>
            </w:r>
          </w:p>
        </w:tc>
        <w:tc>
          <w:tcPr>
            <w:tcW w:w="320" w:type="dxa"/>
            <w:vAlign w:val="bottom"/>
            <w:tcBorders>
              <w:bottom w:val="single" w:sz="8" w:color="E5FFFF"/>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434"/>
              <w:spacing w:after="0" w:line="155" w:lineRule="exact"/>
              <w:rPr>
                <w:sz w:val="20"/>
                <w:szCs w:val="20"/>
                <w:color w:val="auto"/>
              </w:rPr>
            </w:pPr>
            <w:r>
              <w:rPr>
                <w:rFonts w:ascii="Arial" w:cs="Arial" w:eastAsia="Arial" w:hAnsi="Arial"/>
                <w:sz w:val="14"/>
                <w:szCs w:val="14"/>
                <w:b w:val="1"/>
                <w:bCs w:val="1"/>
                <w:color w:val="auto"/>
              </w:rPr>
              <w:t>2017</w:t>
            </w:r>
          </w:p>
        </w:tc>
      </w:tr>
      <w:tr>
        <w:trPr>
          <w:trHeight w:val="196"/>
        </w:trPr>
        <w:tc>
          <w:tcPr>
            <w:tcW w:w="4260" w:type="dxa"/>
            <w:vAlign w:val="bottom"/>
            <w:shd w:val="clear" w:color="auto" w:fill="E5FFFF"/>
          </w:tcPr>
          <w:p>
            <w:pPr>
              <w:spacing w:after="0" w:line="196" w:lineRule="exact"/>
              <w:rPr>
                <w:sz w:val="20"/>
                <w:szCs w:val="20"/>
                <w:color w:val="auto"/>
              </w:rPr>
            </w:pPr>
            <w:r>
              <w:rPr>
                <w:rFonts w:ascii="Arial" w:cs="Arial" w:eastAsia="Arial" w:hAnsi="Arial"/>
                <w:sz w:val="18"/>
                <w:szCs w:val="18"/>
                <w:color w:val="auto"/>
              </w:rPr>
              <w:t>Cost of products and services sold</w:t>
            </w:r>
          </w:p>
        </w:tc>
        <w:tc>
          <w:tcPr>
            <w:tcW w:w="680" w:type="dxa"/>
            <w:vAlign w:val="bottom"/>
            <w:shd w:val="clear" w:color="auto" w:fill="E5FFFF"/>
          </w:tcPr>
          <w:p>
            <w:pPr>
              <w:spacing w:after="0"/>
              <w:rPr>
                <w:sz w:val="17"/>
                <w:szCs w:val="17"/>
                <w:color w:val="auto"/>
              </w:rPr>
            </w:pPr>
          </w:p>
        </w:tc>
        <w:tc>
          <w:tcPr>
            <w:tcW w:w="320" w:type="dxa"/>
            <w:vAlign w:val="bottom"/>
            <w:shd w:val="clear" w:color="auto" w:fill="E5FFFF"/>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shd w:val="clear" w:color="auto" w:fill="E5FFFF"/>
          </w:tcPr>
          <w:p>
            <w:pPr>
              <w:jc w:val="right"/>
              <w:ind w:right="37"/>
              <w:spacing w:after="0" w:line="196" w:lineRule="exact"/>
              <w:rPr>
                <w:sz w:val="20"/>
                <w:szCs w:val="20"/>
                <w:color w:val="auto"/>
              </w:rPr>
            </w:pPr>
            <w:r>
              <w:rPr>
                <w:rFonts w:ascii="Arial" w:cs="Arial" w:eastAsia="Arial" w:hAnsi="Arial"/>
                <w:sz w:val="18"/>
                <w:szCs w:val="18"/>
                <w:color w:val="auto"/>
              </w:rPr>
              <w:t>215</w:t>
            </w:r>
          </w:p>
        </w:tc>
        <w:tc>
          <w:tcPr>
            <w:tcW w:w="360" w:type="dxa"/>
            <w:vAlign w:val="bottom"/>
            <w:shd w:val="clear" w:color="auto" w:fill="E5FFFF"/>
          </w:tcPr>
          <w:p>
            <w:pPr>
              <w:spacing w:after="0"/>
              <w:rPr>
                <w:sz w:val="17"/>
                <w:szCs w:val="17"/>
                <w:color w:val="auto"/>
              </w:rPr>
            </w:pPr>
          </w:p>
        </w:tc>
        <w:tc>
          <w:tcPr>
            <w:tcW w:w="520" w:type="dxa"/>
            <w:vAlign w:val="bottom"/>
            <w:shd w:val="clear" w:color="auto" w:fill="E5FFFF"/>
          </w:tcPr>
          <w:p>
            <w:pPr>
              <w:jc w:val="right"/>
              <w:ind w:right="33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shd w:val="clear" w:color="auto" w:fill="E5FFFF"/>
          </w:tcPr>
          <w:p>
            <w:pPr>
              <w:jc w:val="right"/>
              <w:ind w:right="14"/>
              <w:spacing w:after="0" w:line="196" w:lineRule="exact"/>
              <w:rPr>
                <w:sz w:val="20"/>
                <w:szCs w:val="20"/>
                <w:color w:val="auto"/>
              </w:rPr>
            </w:pPr>
            <w:r>
              <w:rPr>
                <w:rFonts w:ascii="Arial" w:cs="Arial" w:eastAsia="Arial" w:hAnsi="Arial"/>
                <w:sz w:val="18"/>
                <w:szCs w:val="18"/>
                <w:color w:val="auto"/>
              </w:rPr>
              <w:t>174</w:t>
            </w:r>
          </w:p>
        </w:tc>
        <w:tc>
          <w:tcPr>
            <w:tcW w:w="340" w:type="dxa"/>
            <w:vAlign w:val="bottom"/>
            <w:shd w:val="clear" w:color="auto" w:fill="E5FFFF"/>
          </w:tcPr>
          <w:p>
            <w:pPr>
              <w:spacing w:after="0"/>
              <w:rPr>
                <w:sz w:val="17"/>
                <w:szCs w:val="17"/>
                <w:color w:val="auto"/>
              </w:rPr>
            </w:pPr>
          </w:p>
        </w:tc>
        <w:tc>
          <w:tcPr>
            <w:tcW w:w="300" w:type="dxa"/>
            <w:vAlign w:val="bottom"/>
            <w:shd w:val="clear" w:color="auto" w:fill="E5FF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shd w:val="clear" w:color="auto" w:fill="E5FFFF"/>
          </w:tcPr>
          <w:p>
            <w:pPr>
              <w:jc w:val="right"/>
              <w:ind w:right="38"/>
              <w:spacing w:after="0" w:line="196" w:lineRule="exact"/>
              <w:rPr>
                <w:sz w:val="20"/>
                <w:szCs w:val="20"/>
                <w:color w:val="auto"/>
              </w:rPr>
            </w:pPr>
            <w:r>
              <w:rPr>
                <w:rFonts w:ascii="Arial" w:cs="Arial" w:eastAsia="Arial" w:hAnsi="Arial"/>
                <w:sz w:val="18"/>
                <w:szCs w:val="18"/>
                <w:color w:val="auto"/>
              </w:rPr>
              <w:t>345</w:t>
            </w:r>
          </w:p>
        </w:tc>
        <w:tc>
          <w:tcPr>
            <w:tcW w:w="320" w:type="dxa"/>
            <w:vAlign w:val="bottom"/>
            <w:shd w:val="clear" w:color="auto" w:fill="E5FFFF"/>
          </w:tcPr>
          <w:p>
            <w:pPr>
              <w:spacing w:after="0"/>
              <w:rPr>
                <w:sz w:val="17"/>
                <w:szCs w:val="17"/>
                <w:color w:val="auto"/>
              </w:rPr>
            </w:pPr>
          </w:p>
        </w:tc>
        <w:tc>
          <w:tcPr>
            <w:tcW w:w="500" w:type="dxa"/>
            <w:vAlign w:val="bottom"/>
            <w:shd w:val="clear" w:color="auto" w:fill="E5FFFF"/>
          </w:tcPr>
          <w:p>
            <w:pPr>
              <w:jc w:val="right"/>
              <w:ind w:right="310"/>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shd w:val="clear" w:color="auto" w:fill="E5FFFF"/>
          </w:tcPr>
          <w:p>
            <w:pPr>
              <w:jc w:val="right"/>
              <w:ind w:right="14"/>
              <w:spacing w:after="0" w:line="196" w:lineRule="exact"/>
              <w:rPr>
                <w:sz w:val="20"/>
                <w:szCs w:val="20"/>
                <w:color w:val="auto"/>
              </w:rPr>
            </w:pPr>
            <w:r>
              <w:rPr>
                <w:rFonts w:ascii="Arial" w:cs="Arial" w:eastAsia="Arial" w:hAnsi="Arial"/>
                <w:sz w:val="18"/>
                <w:szCs w:val="18"/>
                <w:color w:val="auto"/>
              </w:rPr>
              <w:t>310</w:t>
            </w:r>
          </w:p>
        </w:tc>
      </w:tr>
      <w:tr>
        <w:trPr>
          <w:trHeight w:val="203"/>
        </w:trPr>
        <w:tc>
          <w:tcPr>
            <w:tcW w:w="4260" w:type="dxa"/>
            <w:vAlign w:val="bottom"/>
          </w:tcPr>
          <w:p>
            <w:pPr>
              <w:spacing w:after="0" w:line="202" w:lineRule="exact"/>
              <w:rPr>
                <w:sz w:val="20"/>
                <w:szCs w:val="20"/>
                <w:color w:val="auto"/>
              </w:rPr>
            </w:pPr>
            <w:r>
              <w:rPr>
                <w:rFonts w:ascii="Arial" w:cs="Arial" w:eastAsia="Arial" w:hAnsi="Arial"/>
                <w:sz w:val="18"/>
                <w:szCs w:val="18"/>
                <w:color w:val="auto"/>
              </w:rPr>
              <w:t>Selling, general and administrative expenses</w:t>
            </w:r>
          </w:p>
        </w:tc>
        <w:tc>
          <w:tcPr>
            <w:tcW w:w="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ind w:right="37"/>
              <w:spacing w:after="0" w:line="202" w:lineRule="exact"/>
              <w:rPr>
                <w:sz w:val="20"/>
                <w:szCs w:val="20"/>
                <w:color w:val="auto"/>
              </w:rPr>
            </w:pPr>
            <w:r>
              <w:rPr>
                <w:rFonts w:ascii="Arial" w:cs="Arial" w:eastAsia="Arial" w:hAnsi="Arial"/>
                <w:sz w:val="18"/>
                <w:szCs w:val="18"/>
                <w:color w:val="auto"/>
              </w:rPr>
              <w:t>50</w:t>
            </w:r>
          </w:p>
        </w:tc>
        <w:tc>
          <w:tcPr>
            <w:tcW w:w="3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40" w:type="dxa"/>
            <w:vAlign w:val="bottom"/>
          </w:tcPr>
          <w:p>
            <w:pPr>
              <w:jc w:val="right"/>
              <w:ind w:right="14"/>
              <w:spacing w:after="0" w:line="202" w:lineRule="exact"/>
              <w:rPr>
                <w:sz w:val="20"/>
                <w:szCs w:val="20"/>
                <w:color w:val="auto"/>
              </w:rPr>
            </w:pPr>
            <w:r>
              <w:rPr>
                <w:rFonts w:ascii="Arial" w:cs="Arial" w:eastAsia="Arial" w:hAnsi="Arial"/>
                <w:sz w:val="18"/>
                <w:szCs w:val="18"/>
                <w:color w:val="auto"/>
              </w:rPr>
              <w:t>24</w:t>
            </w: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ind w:right="38"/>
              <w:spacing w:after="0" w:line="202" w:lineRule="exact"/>
              <w:rPr>
                <w:sz w:val="20"/>
                <w:szCs w:val="20"/>
                <w:color w:val="auto"/>
              </w:rPr>
            </w:pPr>
            <w:r>
              <w:rPr>
                <w:rFonts w:ascii="Arial" w:cs="Arial" w:eastAsia="Arial" w:hAnsi="Arial"/>
                <w:sz w:val="18"/>
                <w:szCs w:val="18"/>
                <w:color w:val="auto"/>
              </w:rPr>
              <w:t>72</w:t>
            </w: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60" w:type="dxa"/>
            <w:vAlign w:val="bottom"/>
          </w:tcPr>
          <w:p>
            <w:pPr>
              <w:jc w:val="right"/>
              <w:ind w:right="14"/>
              <w:spacing w:after="0" w:line="202" w:lineRule="exact"/>
              <w:rPr>
                <w:sz w:val="20"/>
                <w:szCs w:val="20"/>
                <w:color w:val="auto"/>
              </w:rPr>
            </w:pPr>
            <w:r>
              <w:rPr>
                <w:rFonts w:ascii="Arial" w:cs="Arial" w:eastAsia="Arial" w:hAnsi="Arial"/>
                <w:sz w:val="18"/>
                <w:szCs w:val="18"/>
                <w:color w:val="auto"/>
              </w:rPr>
              <w:t>17</w:t>
            </w:r>
          </w:p>
        </w:tc>
      </w:tr>
      <w:tr>
        <w:trPr>
          <w:trHeight w:val="203"/>
        </w:trPr>
        <w:tc>
          <w:tcPr>
            <w:tcW w:w="426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Other (income) expense</w:t>
            </w:r>
          </w:p>
        </w:tc>
        <w:tc>
          <w:tcPr>
            <w:tcW w:w="680" w:type="dxa"/>
            <w:vAlign w:val="bottom"/>
            <w:shd w:val="clear" w:color="auto" w:fill="E5FFFF"/>
          </w:tcPr>
          <w:p>
            <w:pPr>
              <w:spacing w:after="0"/>
              <w:rPr>
                <w:sz w:val="17"/>
                <w:szCs w:val="17"/>
                <w:color w:val="auto"/>
              </w:rPr>
            </w:pPr>
          </w:p>
        </w:tc>
        <w:tc>
          <w:tcPr>
            <w:tcW w:w="320" w:type="dxa"/>
            <w:vAlign w:val="bottom"/>
            <w:tcBorders>
              <w:bottom w:val="single" w:sz="8" w:color="auto"/>
            </w:tcBorders>
            <w:shd w:val="clear" w:color="auto" w:fill="E5FFFF"/>
          </w:tcPr>
          <w:p>
            <w:pPr>
              <w:spacing w:after="0"/>
              <w:rPr>
                <w:sz w:val="17"/>
                <w:szCs w:val="17"/>
                <w:color w:val="auto"/>
              </w:rPr>
            </w:pPr>
          </w:p>
        </w:tc>
        <w:tc>
          <w:tcPr>
            <w:tcW w:w="1060" w:type="dxa"/>
            <w:vAlign w:val="bottom"/>
            <w:tcBorders>
              <w:bottom w:val="single" w:sz="8" w:color="auto"/>
            </w:tcBorders>
            <w:shd w:val="clear" w:color="auto" w:fill="E5FFFF"/>
          </w:tcPr>
          <w:p>
            <w:pPr>
              <w:jc w:val="right"/>
              <w:ind w:right="37"/>
              <w:spacing w:after="0" w:line="202" w:lineRule="exact"/>
              <w:rPr>
                <w:sz w:val="20"/>
                <w:szCs w:val="20"/>
                <w:color w:val="auto"/>
              </w:rPr>
            </w:pPr>
            <w:r>
              <w:rPr>
                <w:rFonts w:ascii="Arial" w:cs="Arial" w:eastAsia="Arial" w:hAnsi="Arial"/>
                <w:sz w:val="18"/>
                <w:szCs w:val="18"/>
                <w:color w:val="auto"/>
              </w:rPr>
              <w:t>-</w:t>
            </w:r>
          </w:p>
        </w:tc>
        <w:tc>
          <w:tcPr>
            <w:tcW w:w="360" w:type="dxa"/>
            <w:vAlign w:val="bottom"/>
            <w:shd w:val="clear" w:color="auto" w:fill="E5FFFF"/>
          </w:tcPr>
          <w:p>
            <w:pPr>
              <w:spacing w:after="0"/>
              <w:rPr>
                <w:sz w:val="17"/>
                <w:szCs w:val="17"/>
                <w:color w:val="auto"/>
              </w:rPr>
            </w:pPr>
          </w:p>
        </w:tc>
        <w:tc>
          <w:tcPr>
            <w:tcW w:w="520" w:type="dxa"/>
            <w:vAlign w:val="bottom"/>
            <w:tcBorders>
              <w:bottom w:val="single" w:sz="8" w:color="auto"/>
            </w:tcBorders>
            <w:shd w:val="clear" w:color="auto" w:fill="E5FFFF"/>
          </w:tcPr>
          <w:p>
            <w:pPr>
              <w:spacing w:after="0"/>
              <w:rPr>
                <w:sz w:val="17"/>
                <w:szCs w:val="17"/>
                <w:color w:val="auto"/>
              </w:rPr>
            </w:pPr>
          </w:p>
        </w:tc>
        <w:tc>
          <w:tcPr>
            <w:tcW w:w="840" w:type="dxa"/>
            <w:vAlign w:val="bottom"/>
            <w:tcBorders>
              <w:bottom w:val="single" w:sz="8" w:color="auto"/>
            </w:tcBorders>
            <w:shd w:val="clear" w:color="auto" w:fill="E5FFFF"/>
          </w:tcPr>
          <w:p>
            <w:pPr>
              <w:jc w:val="right"/>
              <w:ind w:right="14"/>
              <w:spacing w:after="0" w:line="202" w:lineRule="exact"/>
              <w:rPr>
                <w:sz w:val="20"/>
                <w:szCs w:val="20"/>
                <w:color w:val="auto"/>
              </w:rPr>
            </w:pPr>
            <w:r>
              <w:rPr>
                <w:rFonts w:ascii="Arial" w:cs="Arial" w:eastAsia="Arial" w:hAnsi="Arial"/>
                <w:sz w:val="18"/>
                <w:szCs w:val="18"/>
                <w:color w:val="auto"/>
              </w:rPr>
              <w:t>26</w:t>
            </w:r>
          </w:p>
        </w:tc>
        <w:tc>
          <w:tcPr>
            <w:tcW w:w="340" w:type="dxa"/>
            <w:vAlign w:val="bottom"/>
            <w:shd w:val="clear" w:color="auto" w:fill="E5FFFF"/>
          </w:tcPr>
          <w:p>
            <w:pPr>
              <w:spacing w:after="0"/>
              <w:rPr>
                <w:sz w:val="17"/>
                <w:szCs w:val="17"/>
                <w:color w:val="auto"/>
              </w:rPr>
            </w:pPr>
          </w:p>
        </w:tc>
        <w:tc>
          <w:tcPr>
            <w:tcW w:w="300" w:type="dxa"/>
            <w:vAlign w:val="bottom"/>
            <w:tcBorders>
              <w:bottom w:val="single" w:sz="8" w:color="auto"/>
            </w:tcBorders>
            <w:shd w:val="clear" w:color="auto" w:fill="E5FFFF"/>
          </w:tcPr>
          <w:p>
            <w:pPr>
              <w:spacing w:after="0"/>
              <w:rPr>
                <w:sz w:val="17"/>
                <w:szCs w:val="17"/>
                <w:color w:val="auto"/>
              </w:rPr>
            </w:pPr>
          </w:p>
        </w:tc>
        <w:tc>
          <w:tcPr>
            <w:tcW w:w="1060" w:type="dxa"/>
            <w:vAlign w:val="bottom"/>
            <w:tcBorders>
              <w:bottom w:val="single" w:sz="8" w:color="auto"/>
            </w:tcBorders>
            <w:shd w:val="clear" w:color="auto" w:fill="E5FFFF"/>
          </w:tcPr>
          <w:p>
            <w:pPr>
              <w:jc w:val="right"/>
              <w:ind w:right="38"/>
              <w:spacing w:after="0" w:line="202" w:lineRule="exact"/>
              <w:rPr>
                <w:sz w:val="20"/>
                <w:szCs w:val="20"/>
                <w:color w:val="auto"/>
              </w:rPr>
            </w:pPr>
            <w:r>
              <w:rPr>
                <w:rFonts w:ascii="Arial" w:cs="Arial" w:eastAsia="Arial" w:hAnsi="Arial"/>
                <w:sz w:val="18"/>
                <w:szCs w:val="18"/>
                <w:color w:val="auto"/>
              </w:rPr>
              <w:t>41</w:t>
            </w:r>
          </w:p>
        </w:tc>
        <w:tc>
          <w:tcPr>
            <w:tcW w:w="320" w:type="dxa"/>
            <w:vAlign w:val="bottom"/>
            <w:shd w:val="clear" w:color="auto" w:fill="E5FFFF"/>
          </w:tcPr>
          <w:p>
            <w:pPr>
              <w:spacing w:after="0"/>
              <w:rPr>
                <w:sz w:val="17"/>
                <w:szCs w:val="17"/>
                <w:color w:val="auto"/>
              </w:rPr>
            </w:pPr>
          </w:p>
        </w:tc>
        <w:tc>
          <w:tcPr>
            <w:tcW w:w="500" w:type="dxa"/>
            <w:vAlign w:val="bottom"/>
            <w:tcBorders>
              <w:bottom w:val="single" w:sz="8" w:color="auto"/>
            </w:tcBorders>
            <w:shd w:val="clear" w:color="auto" w:fill="E5FFFF"/>
          </w:tcPr>
          <w:p>
            <w:pPr>
              <w:spacing w:after="0"/>
              <w:rPr>
                <w:sz w:val="17"/>
                <w:szCs w:val="17"/>
                <w:color w:val="auto"/>
              </w:rPr>
            </w:pPr>
          </w:p>
        </w:tc>
        <w:tc>
          <w:tcPr>
            <w:tcW w:w="860" w:type="dxa"/>
            <w:vAlign w:val="bottom"/>
            <w:tcBorders>
              <w:bottom w:val="single" w:sz="8" w:color="auto"/>
            </w:tcBorders>
            <w:shd w:val="clear" w:color="auto" w:fill="E5FFFF"/>
          </w:tcPr>
          <w:p>
            <w:pPr>
              <w:jc w:val="right"/>
              <w:ind w:right="14"/>
              <w:spacing w:after="0" w:line="202" w:lineRule="exact"/>
              <w:rPr>
                <w:sz w:val="20"/>
                <w:szCs w:val="20"/>
                <w:color w:val="auto"/>
              </w:rPr>
            </w:pPr>
            <w:r>
              <w:rPr>
                <w:rFonts w:ascii="Arial" w:cs="Arial" w:eastAsia="Arial" w:hAnsi="Arial"/>
                <w:sz w:val="18"/>
                <w:szCs w:val="18"/>
                <w:color w:val="auto"/>
              </w:rPr>
              <w:t>26</w:t>
            </w:r>
          </w:p>
        </w:tc>
      </w:tr>
      <w:tr>
        <w:trPr>
          <w:trHeight w:val="196"/>
        </w:trPr>
        <w:tc>
          <w:tcPr>
            <w:tcW w:w="4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2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ind w:right="37"/>
              <w:spacing w:after="0" w:line="196" w:lineRule="exact"/>
              <w:rPr>
                <w:sz w:val="20"/>
                <w:szCs w:val="20"/>
                <w:color w:val="auto"/>
              </w:rPr>
            </w:pPr>
            <w:r>
              <w:rPr>
                <w:rFonts w:ascii="Arial" w:cs="Arial" w:eastAsia="Arial" w:hAnsi="Arial"/>
                <w:sz w:val="18"/>
                <w:szCs w:val="18"/>
                <w:color w:val="auto"/>
              </w:rPr>
              <w:t>265</w:t>
            </w:r>
          </w:p>
        </w:tc>
        <w:tc>
          <w:tcPr>
            <w:tcW w:w="360" w:type="dxa"/>
            <w:vAlign w:val="bottom"/>
          </w:tcPr>
          <w:p>
            <w:pPr>
              <w:spacing w:after="0"/>
              <w:rPr>
                <w:sz w:val="17"/>
                <w:szCs w:val="17"/>
                <w:color w:val="auto"/>
              </w:rPr>
            </w:pPr>
          </w:p>
        </w:tc>
        <w:tc>
          <w:tcPr>
            <w:tcW w:w="520" w:type="dxa"/>
            <w:vAlign w:val="bottom"/>
            <w:tcBorders>
              <w:bottom w:val="single" w:sz="8" w:color="auto"/>
            </w:tcBorders>
          </w:tcPr>
          <w:p>
            <w:pPr>
              <w:jc w:val="right"/>
              <w:ind w:right="33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ind w:right="14"/>
              <w:spacing w:after="0" w:line="196" w:lineRule="exact"/>
              <w:rPr>
                <w:sz w:val="20"/>
                <w:szCs w:val="20"/>
                <w:color w:val="auto"/>
              </w:rPr>
            </w:pPr>
            <w:r>
              <w:rPr>
                <w:rFonts w:ascii="Arial" w:cs="Arial" w:eastAsia="Arial" w:hAnsi="Arial"/>
                <w:sz w:val="18"/>
                <w:szCs w:val="18"/>
                <w:color w:val="auto"/>
              </w:rPr>
              <w:t>224</w:t>
            </w:r>
          </w:p>
        </w:tc>
        <w:tc>
          <w:tcPr>
            <w:tcW w:w="340" w:type="dxa"/>
            <w:vAlign w:val="bottom"/>
          </w:tcPr>
          <w:p>
            <w:pPr>
              <w:spacing w:after="0"/>
              <w:rPr>
                <w:sz w:val="17"/>
                <w:szCs w:val="17"/>
                <w:color w:val="auto"/>
              </w:rPr>
            </w:pPr>
          </w:p>
        </w:tc>
        <w:tc>
          <w:tcPr>
            <w:tcW w:w="30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ind w:right="38"/>
              <w:spacing w:after="0" w:line="196" w:lineRule="exact"/>
              <w:rPr>
                <w:sz w:val="20"/>
                <w:szCs w:val="20"/>
                <w:color w:val="auto"/>
              </w:rPr>
            </w:pPr>
            <w:r>
              <w:rPr>
                <w:rFonts w:ascii="Arial" w:cs="Arial" w:eastAsia="Arial" w:hAnsi="Arial"/>
                <w:sz w:val="18"/>
                <w:szCs w:val="18"/>
                <w:color w:val="auto"/>
              </w:rPr>
              <w:t>458</w:t>
            </w:r>
          </w:p>
        </w:tc>
        <w:tc>
          <w:tcPr>
            <w:tcW w:w="320" w:type="dxa"/>
            <w:vAlign w:val="bottom"/>
          </w:tcPr>
          <w:p>
            <w:pPr>
              <w:spacing w:after="0"/>
              <w:rPr>
                <w:sz w:val="17"/>
                <w:szCs w:val="17"/>
                <w:color w:val="auto"/>
              </w:rPr>
            </w:pPr>
          </w:p>
        </w:tc>
        <w:tc>
          <w:tcPr>
            <w:tcW w:w="500" w:type="dxa"/>
            <w:vAlign w:val="bottom"/>
            <w:tcBorders>
              <w:bottom w:val="single" w:sz="8" w:color="auto"/>
            </w:tcBorders>
          </w:tcPr>
          <w:p>
            <w:pPr>
              <w:jc w:val="right"/>
              <w:ind w:right="310"/>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ind w:right="14"/>
              <w:spacing w:after="0" w:line="196" w:lineRule="exact"/>
              <w:rPr>
                <w:sz w:val="20"/>
                <w:szCs w:val="20"/>
                <w:color w:val="auto"/>
              </w:rPr>
            </w:pPr>
            <w:r>
              <w:rPr>
                <w:rFonts w:ascii="Arial" w:cs="Arial" w:eastAsia="Arial" w:hAnsi="Arial"/>
                <w:sz w:val="18"/>
                <w:szCs w:val="18"/>
                <w:color w:val="auto"/>
              </w:rPr>
              <w:t>353</w:t>
            </w:r>
          </w:p>
        </w:tc>
      </w:tr>
      <w:tr>
        <w:trPr>
          <w:trHeight w:val="20"/>
        </w:trPr>
        <w:tc>
          <w:tcPr>
            <w:tcW w:w="4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386"/>
        </w:trPr>
        <w:tc>
          <w:tcPr>
            <w:tcW w:w="4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jc w:val="right"/>
              <w:ind w:right="477"/>
              <w:spacing w:after="0"/>
              <w:rPr>
                <w:sz w:val="20"/>
                <w:szCs w:val="20"/>
                <w:color w:val="auto"/>
              </w:rPr>
            </w:pPr>
            <w:r>
              <w:rPr>
                <w:rFonts w:ascii="Arial" w:cs="Arial" w:eastAsia="Arial" w:hAnsi="Arial"/>
                <w:sz w:val="18"/>
                <w:szCs w:val="18"/>
                <w:color w:val="auto"/>
              </w:rPr>
              <w:t>9</w:t>
            </w: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37"/>
        </w:trPr>
        <w:tc>
          <w:tcPr>
            <w:tcW w:w="4260" w:type="dxa"/>
            <w:vAlign w:val="bottom"/>
            <w:tcBorders>
              <w:bottom w:val="single" w:sz="8" w:color="C0C0C0"/>
            </w:tcBorders>
          </w:tcPr>
          <w:p>
            <w:pPr>
              <w:spacing w:after="0"/>
              <w:rPr>
                <w:sz w:val="20"/>
                <w:szCs w:val="20"/>
                <w:color w:val="auto"/>
              </w:rPr>
            </w:pPr>
          </w:p>
        </w:tc>
        <w:tc>
          <w:tcPr>
            <w:tcW w:w="680" w:type="dxa"/>
            <w:vAlign w:val="bottom"/>
            <w:tcBorders>
              <w:bottom w:val="single" w:sz="8" w:color="C0C0C0"/>
            </w:tcBorders>
          </w:tcPr>
          <w:p>
            <w:pPr>
              <w:spacing w:after="0"/>
              <w:rPr>
                <w:sz w:val="20"/>
                <w:szCs w:val="20"/>
                <w:color w:val="auto"/>
              </w:rPr>
            </w:pPr>
          </w:p>
        </w:tc>
        <w:tc>
          <w:tcPr>
            <w:tcW w:w="320" w:type="dxa"/>
            <w:vAlign w:val="bottom"/>
            <w:tcBorders>
              <w:bottom w:val="single" w:sz="8" w:color="C0C0C0"/>
            </w:tcBorders>
          </w:tcPr>
          <w:p>
            <w:pPr>
              <w:spacing w:after="0"/>
              <w:rPr>
                <w:sz w:val="20"/>
                <w:szCs w:val="20"/>
                <w:color w:val="auto"/>
              </w:rPr>
            </w:pPr>
          </w:p>
        </w:tc>
        <w:tc>
          <w:tcPr>
            <w:tcW w:w="1060" w:type="dxa"/>
            <w:vAlign w:val="bottom"/>
            <w:tcBorders>
              <w:bottom w:val="single" w:sz="8" w:color="C0C0C0"/>
            </w:tcBorders>
          </w:tcPr>
          <w:p>
            <w:pPr>
              <w:spacing w:after="0"/>
              <w:rPr>
                <w:sz w:val="20"/>
                <w:szCs w:val="20"/>
                <w:color w:val="auto"/>
              </w:rPr>
            </w:pPr>
          </w:p>
        </w:tc>
        <w:tc>
          <w:tcPr>
            <w:tcW w:w="360" w:type="dxa"/>
            <w:vAlign w:val="bottom"/>
            <w:tcBorders>
              <w:bottom w:val="single" w:sz="8" w:color="C0C0C0"/>
            </w:tcBorders>
          </w:tcPr>
          <w:p>
            <w:pPr>
              <w:spacing w:after="0"/>
              <w:rPr>
                <w:sz w:val="20"/>
                <w:szCs w:val="20"/>
                <w:color w:val="auto"/>
              </w:rPr>
            </w:pPr>
          </w:p>
        </w:tc>
        <w:tc>
          <w:tcPr>
            <w:tcW w:w="520" w:type="dxa"/>
            <w:vAlign w:val="bottom"/>
            <w:tcBorders>
              <w:bottom w:val="single" w:sz="8" w:color="C0C0C0"/>
            </w:tcBorders>
          </w:tcPr>
          <w:p>
            <w:pPr>
              <w:spacing w:after="0"/>
              <w:rPr>
                <w:sz w:val="20"/>
                <w:szCs w:val="20"/>
                <w:color w:val="auto"/>
              </w:rPr>
            </w:pPr>
          </w:p>
        </w:tc>
        <w:tc>
          <w:tcPr>
            <w:tcW w:w="840" w:type="dxa"/>
            <w:vAlign w:val="bottom"/>
            <w:tcBorders>
              <w:bottom w:val="single" w:sz="8" w:color="C0C0C0"/>
            </w:tcBorders>
          </w:tcPr>
          <w:p>
            <w:pPr>
              <w:spacing w:after="0"/>
              <w:rPr>
                <w:sz w:val="20"/>
                <w:szCs w:val="20"/>
                <w:color w:val="auto"/>
              </w:rPr>
            </w:pPr>
          </w:p>
        </w:tc>
        <w:tc>
          <w:tcPr>
            <w:tcW w:w="340" w:type="dxa"/>
            <w:vAlign w:val="bottom"/>
            <w:tcBorders>
              <w:bottom w:val="single" w:sz="8" w:color="C0C0C0"/>
            </w:tcBorders>
          </w:tcPr>
          <w:p>
            <w:pPr>
              <w:spacing w:after="0"/>
              <w:rPr>
                <w:sz w:val="20"/>
                <w:szCs w:val="20"/>
                <w:color w:val="auto"/>
              </w:rPr>
            </w:pPr>
          </w:p>
        </w:tc>
        <w:tc>
          <w:tcPr>
            <w:tcW w:w="300" w:type="dxa"/>
            <w:vAlign w:val="bottom"/>
            <w:tcBorders>
              <w:bottom w:val="single" w:sz="8" w:color="C0C0C0"/>
            </w:tcBorders>
          </w:tcPr>
          <w:p>
            <w:pPr>
              <w:spacing w:after="0"/>
              <w:rPr>
                <w:sz w:val="20"/>
                <w:szCs w:val="20"/>
                <w:color w:val="auto"/>
              </w:rPr>
            </w:pPr>
          </w:p>
        </w:tc>
        <w:tc>
          <w:tcPr>
            <w:tcW w:w="1060" w:type="dxa"/>
            <w:vAlign w:val="bottom"/>
            <w:tcBorders>
              <w:bottom w:val="single" w:sz="8" w:color="C0C0C0"/>
            </w:tcBorders>
          </w:tcPr>
          <w:p>
            <w:pPr>
              <w:spacing w:after="0"/>
              <w:rPr>
                <w:sz w:val="20"/>
                <w:szCs w:val="20"/>
                <w:color w:val="auto"/>
              </w:rPr>
            </w:pPr>
          </w:p>
        </w:tc>
        <w:tc>
          <w:tcPr>
            <w:tcW w:w="320" w:type="dxa"/>
            <w:vAlign w:val="bottom"/>
            <w:tcBorders>
              <w:bottom w:val="single" w:sz="8" w:color="C0C0C0"/>
            </w:tcBorders>
          </w:tcPr>
          <w:p>
            <w:pPr>
              <w:spacing w:after="0"/>
              <w:rPr>
                <w:sz w:val="20"/>
                <w:szCs w:val="20"/>
                <w:color w:val="auto"/>
              </w:rPr>
            </w:pPr>
          </w:p>
        </w:tc>
        <w:tc>
          <w:tcPr>
            <w:tcW w:w="500" w:type="dxa"/>
            <w:vAlign w:val="bottom"/>
            <w:tcBorders>
              <w:bottom w:val="single" w:sz="8" w:color="C0C0C0"/>
            </w:tcBorders>
          </w:tcPr>
          <w:p>
            <w:pPr>
              <w:spacing w:after="0"/>
              <w:rPr>
                <w:sz w:val="20"/>
                <w:szCs w:val="20"/>
                <w:color w:val="auto"/>
              </w:rPr>
            </w:pPr>
          </w:p>
        </w:tc>
        <w:tc>
          <w:tcPr>
            <w:tcW w:w="860" w:type="dxa"/>
            <w:vAlign w:val="bottom"/>
            <w:tcBorders>
              <w:bottom w:val="single" w:sz="8" w:color="C0C0C0"/>
            </w:tcBorders>
          </w:tcPr>
          <w:p>
            <w:pPr>
              <w:spacing w:after="0"/>
              <w:rPr>
                <w:sz w:val="20"/>
                <w:szCs w:val="20"/>
                <w:color w:val="auto"/>
              </w:rPr>
            </w:pPr>
          </w:p>
        </w:tc>
      </w:tr>
    </w:tbl>
    <w:p>
      <w:pPr>
        <w:sectPr>
          <w:pgSz w:w="11900" w:h="16838" w:orient="portrait"/>
          <w:cols w:equalWidth="0" w:num="1">
            <w:col w:w="11420"/>
          </w:cols>
          <w:pgMar w:left="240" w:top="400"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Honeywell International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jc w:val="center"/>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pretax impact of total net repositioning and other charges by segment:</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94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80" w:type="dxa"/>
            <w:vAlign w:val="bottom"/>
            <w:gridSpan w:val="4"/>
          </w:tcPr>
          <w:p>
            <w:pPr>
              <w:jc w:val="right"/>
              <w:spacing w:after="0"/>
              <w:rPr>
                <w:sz w:val="20"/>
                <w:szCs w:val="20"/>
                <w:color w:val="auto"/>
              </w:rPr>
            </w:pPr>
            <w:r>
              <w:rPr>
                <w:rFonts w:ascii="Arial" w:cs="Arial" w:eastAsia="Arial" w:hAnsi="Arial"/>
                <w:sz w:val="14"/>
                <w:szCs w:val="14"/>
                <w:b w:val="1"/>
                <w:bCs w:val="1"/>
                <w:color w:val="auto"/>
              </w:rPr>
              <w:t>Six Months Ended</w:t>
            </w:r>
          </w:p>
        </w:tc>
        <w:tc>
          <w:tcPr>
            <w:tcW w:w="860" w:type="dxa"/>
            <w:vAlign w:val="bottom"/>
          </w:tcPr>
          <w:p>
            <w:pPr>
              <w:spacing w:after="0"/>
              <w:rPr>
                <w:sz w:val="14"/>
                <w:szCs w:val="14"/>
                <w:color w:val="auto"/>
              </w:rPr>
            </w:pPr>
          </w:p>
        </w:tc>
      </w:tr>
      <w:tr>
        <w:trPr>
          <w:trHeight w:val="175"/>
        </w:trPr>
        <w:tc>
          <w:tcPr>
            <w:tcW w:w="4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gridSpan w:val="3"/>
          </w:tcPr>
          <w:p>
            <w:pPr>
              <w:jc w:val="right"/>
              <w:ind w:right="330"/>
              <w:spacing w:after="0"/>
              <w:rPr>
                <w:sz w:val="20"/>
                <w:szCs w:val="20"/>
                <w:color w:val="auto"/>
              </w:rPr>
            </w:pPr>
            <w:r>
              <w:rPr>
                <w:rFonts w:ascii="Arial" w:cs="Arial" w:eastAsia="Arial" w:hAnsi="Arial"/>
                <w:sz w:val="14"/>
                <w:szCs w:val="14"/>
                <w:b w:val="1"/>
                <w:bCs w:val="1"/>
                <w:color w:val="auto"/>
              </w:rPr>
              <w:t>June 30,</w:t>
            </w:r>
          </w:p>
        </w:tc>
        <w:tc>
          <w:tcPr>
            <w:tcW w:w="840" w:type="dxa"/>
            <w:vAlign w:val="bottom"/>
            <w:tcBorders>
              <w:bottom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gridSpan w:val="4"/>
          </w:tcPr>
          <w:p>
            <w:pPr>
              <w:jc w:val="right"/>
              <w:ind w:right="305"/>
              <w:spacing w:after="0"/>
              <w:rPr>
                <w:sz w:val="20"/>
                <w:szCs w:val="20"/>
                <w:color w:val="auto"/>
              </w:rPr>
            </w:pPr>
            <w:r>
              <w:rPr>
                <w:rFonts w:ascii="Arial" w:cs="Arial" w:eastAsia="Arial" w:hAnsi="Arial"/>
                <w:sz w:val="14"/>
                <w:szCs w:val="14"/>
                <w:b w:val="1"/>
                <w:bCs w:val="1"/>
                <w:color w:val="auto"/>
              </w:rPr>
              <w:t>June 30,</w:t>
            </w:r>
          </w:p>
        </w:tc>
        <w:tc>
          <w:tcPr>
            <w:tcW w:w="860" w:type="dxa"/>
            <w:vAlign w:val="bottom"/>
            <w:tcBorders>
              <w:bottom w:val="single" w:sz="8" w:color="auto"/>
            </w:tcBorders>
          </w:tcPr>
          <w:p>
            <w:pPr>
              <w:spacing w:after="0"/>
              <w:rPr>
                <w:sz w:val="15"/>
                <w:szCs w:val="15"/>
                <w:color w:val="auto"/>
              </w:rPr>
            </w:pPr>
          </w:p>
        </w:tc>
      </w:tr>
      <w:tr>
        <w:trPr>
          <w:trHeight w:val="156"/>
        </w:trPr>
        <w:tc>
          <w:tcPr>
            <w:tcW w:w="4100" w:type="dxa"/>
            <w:vAlign w:val="bottom"/>
            <w:tcBorders>
              <w:bottom w:val="single" w:sz="8" w:color="E5FFFF"/>
            </w:tcBorders>
          </w:tcPr>
          <w:p>
            <w:pPr>
              <w:spacing w:after="0"/>
              <w:rPr>
                <w:sz w:val="13"/>
                <w:szCs w:val="13"/>
                <w:color w:val="auto"/>
              </w:rPr>
            </w:pPr>
          </w:p>
        </w:tc>
        <w:tc>
          <w:tcPr>
            <w:tcW w:w="840" w:type="dxa"/>
            <w:vAlign w:val="bottom"/>
            <w:tcBorders>
              <w:bottom w:val="single" w:sz="8" w:color="E5FF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436"/>
              <w:spacing w:after="0" w:line="155" w:lineRule="exact"/>
              <w:rPr>
                <w:sz w:val="20"/>
                <w:szCs w:val="20"/>
                <w:color w:val="auto"/>
              </w:rPr>
            </w:pPr>
            <w:r>
              <w:rPr>
                <w:rFonts w:ascii="Arial" w:cs="Arial" w:eastAsia="Arial" w:hAnsi="Arial"/>
                <w:sz w:val="14"/>
                <w:szCs w:val="14"/>
                <w:b w:val="1"/>
                <w:bCs w:val="1"/>
                <w:color w:val="auto"/>
              </w:rPr>
              <w:t>2018</w:t>
            </w:r>
          </w:p>
        </w:tc>
        <w:tc>
          <w:tcPr>
            <w:tcW w:w="360" w:type="dxa"/>
            <w:vAlign w:val="bottom"/>
            <w:tcBorders>
              <w:bottom w:val="single" w:sz="8" w:color="E5FFFF"/>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433"/>
              <w:spacing w:after="0" w:line="155" w:lineRule="exact"/>
              <w:rPr>
                <w:sz w:val="20"/>
                <w:szCs w:val="20"/>
                <w:color w:val="auto"/>
              </w:rPr>
            </w:pPr>
            <w:r>
              <w:rPr>
                <w:rFonts w:ascii="Arial" w:cs="Arial" w:eastAsia="Arial" w:hAnsi="Arial"/>
                <w:sz w:val="14"/>
                <w:szCs w:val="14"/>
                <w:b w:val="1"/>
                <w:bCs w:val="1"/>
                <w:color w:val="auto"/>
                <w:w w:val="96"/>
              </w:rPr>
              <w:t>2017</w:t>
            </w:r>
          </w:p>
        </w:tc>
        <w:tc>
          <w:tcPr>
            <w:tcW w:w="340" w:type="dxa"/>
            <w:vAlign w:val="bottom"/>
            <w:tcBorders>
              <w:bottom w:val="single" w:sz="8" w:color="E5FF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436"/>
              <w:spacing w:after="0" w:line="155" w:lineRule="exact"/>
              <w:rPr>
                <w:sz w:val="20"/>
                <w:szCs w:val="20"/>
                <w:color w:val="auto"/>
              </w:rPr>
            </w:pPr>
            <w:r>
              <w:rPr>
                <w:rFonts w:ascii="Arial" w:cs="Arial" w:eastAsia="Arial" w:hAnsi="Arial"/>
                <w:sz w:val="14"/>
                <w:szCs w:val="14"/>
                <w:b w:val="1"/>
                <w:bCs w:val="1"/>
                <w:color w:val="auto"/>
              </w:rPr>
              <w:t>2018</w:t>
            </w:r>
          </w:p>
        </w:tc>
        <w:tc>
          <w:tcPr>
            <w:tcW w:w="320" w:type="dxa"/>
            <w:vAlign w:val="bottom"/>
            <w:tcBorders>
              <w:bottom w:val="single" w:sz="8" w:color="E5FFFF"/>
            </w:tcBorders>
          </w:tcPr>
          <w:p>
            <w:pPr>
              <w:spacing w:after="0"/>
              <w:rPr>
                <w:sz w:val="13"/>
                <w:szCs w:val="13"/>
                <w:color w:val="auto"/>
              </w:rPr>
            </w:pPr>
          </w:p>
        </w:tc>
        <w:tc>
          <w:tcPr>
            <w:tcW w:w="20" w:type="dxa"/>
            <w:vAlign w:val="bottom"/>
            <w:tcBorders>
              <w:bottom w:val="single" w:sz="8" w:color="E5FFFF"/>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433"/>
              <w:spacing w:after="0" w:line="155" w:lineRule="exact"/>
              <w:rPr>
                <w:sz w:val="20"/>
                <w:szCs w:val="20"/>
                <w:color w:val="auto"/>
              </w:rPr>
            </w:pPr>
            <w:r>
              <w:rPr>
                <w:rFonts w:ascii="Arial" w:cs="Arial" w:eastAsia="Arial" w:hAnsi="Arial"/>
                <w:sz w:val="14"/>
                <w:szCs w:val="14"/>
                <w:b w:val="1"/>
                <w:bCs w:val="1"/>
                <w:color w:val="auto"/>
              </w:rPr>
              <w:t>2017</w:t>
            </w:r>
          </w:p>
        </w:tc>
      </w:tr>
      <w:tr>
        <w:trPr>
          <w:trHeight w:val="196"/>
        </w:trPr>
        <w:tc>
          <w:tcPr>
            <w:tcW w:w="4100" w:type="dxa"/>
            <w:vAlign w:val="bottom"/>
            <w:shd w:val="clear" w:color="auto" w:fill="E5FFFF"/>
          </w:tcPr>
          <w:p>
            <w:pPr>
              <w:spacing w:after="0" w:line="196" w:lineRule="exact"/>
              <w:rPr>
                <w:sz w:val="20"/>
                <w:szCs w:val="20"/>
                <w:color w:val="auto"/>
              </w:rPr>
            </w:pPr>
            <w:r>
              <w:rPr>
                <w:rFonts w:ascii="Arial" w:cs="Arial" w:eastAsia="Arial" w:hAnsi="Arial"/>
                <w:sz w:val="18"/>
                <w:szCs w:val="18"/>
                <w:color w:val="auto"/>
              </w:rPr>
              <w:t>Aerospace</w:t>
            </w:r>
          </w:p>
        </w:tc>
        <w:tc>
          <w:tcPr>
            <w:tcW w:w="840" w:type="dxa"/>
            <w:vAlign w:val="bottom"/>
            <w:shd w:val="clear" w:color="auto" w:fill="E5FFFF"/>
          </w:tcPr>
          <w:p>
            <w:pPr>
              <w:spacing w:after="0"/>
              <w:rPr>
                <w:sz w:val="17"/>
                <w:szCs w:val="17"/>
                <w:color w:val="auto"/>
              </w:rPr>
            </w:pPr>
          </w:p>
        </w:tc>
        <w:tc>
          <w:tcPr>
            <w:tcW w:w="320" w:type="dxa"/>
            <w:vAlign w:val="bottom"/>
            <w:shd w:val="clear" w:color="auto" w:fill="E5FFFF"/>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shd w:val="clear" w:color="auto" w:fill="E5FFFF"/>
          </w:tcPr>
          <w:p>
            <w:pPr>
              <w:jc w:val="right"/>
              <w:ind w:right="36"/>
              <w:spacing w:after="0" w:line="196" w:lineRule="exact"/>
              <w:rPr>
                <w:sz w:val="20"/>
                <w:szCs w:val="20"/>
                <w:color w:val="auto"/>
              </w:rPr>
            </w:pPr>
            <w:r>
              <w:rPr>
                <w:rFonts w:ascii="Arial" w:cs="Arial" w:eastAsia="Arial" w:hAnsi="Arial"/>
                <w:sz w:val="18"/>
                <w:szCs w:val="18"/>
                <w:color w:val="auto"/>
              </w:rPr>
              <w:t>34</w:t>
            </w:r>
          </w:p>
        </w:tc>
        <w:tc>
          <w:tcPr>
            <w:tcW w:w="360" w:type="dxa"/>
            <w:vAlign w:val="bottom"/>
            <w:shd w:val="clear" w:color="auto" w:fill="E5FFFF"/>
          </w:tcPr>
          <w:p>
            <w:pPr>
              <w:spacing w:after="0"/>
              <w:rPr>
                <w:sz w:val="17"/>
                <w:szCs w:val="17"/>
                <w:color w:val="auto"/>
              </w:rPr>
            </w:pPr>
          </w:p>
        </w:tc>
        <w:tc>
          <w:tcPr>
            <w:tcW w:w="520" w:type="dxa"/>
            <w:vAlign w:val="bottom"/>
            <w:shd w:val="clear" w:color="auto" w:fill="E5FFFF"/>
          </w:tcPr>
          <w:p>
            <w:pPr>
              <w:jc w:val="right"/>
              <w:ind w:right="33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shd w:val="clear" w:color="auto" w:fill="E5FFFF"/>
          </w:tcPr>
          <w:p>
            <w:pPr>
              <w:jc w:val="right"/>
              <w:ind w:right="13"/>
              <w:spacing w:after="0" w:line="196" w:lineRule="exact"/>
              <w:rPr>
                <w:sz w:val="20"/>
                <w:szCs w:val="20"/>
                <w:color w:val="auto"/>
              </w:rPr>
            </w:pPr>
            <w:r>
              <w:rPr>
                <w:rFonts w:ascii="Arial" w:cs="Arial" w:eastAsia="Arial" w:hAnsi="Arial"/>
                <w:sz w:val="18"/>
                <w:szCs w:val="18"/>
                <w:color w:val="auto"/>
              </w:rPr>
              <w:t>84</w:t>
            </w:r>
          </w:p>
        </w:tc>
        <w:tc>
          <w:tcPr>
            <w:tcW w:w="340" w:type="dxa"/>
            <w:vAlign w:val="bottom"/>
            <w:shd w:val="clear" w:color="auto" w:fill="E5FFFF"/>
          </w:tcPr>
          <w:p>
            <w:pPr>
              <w:spacing w:after="0"/>
              <w:rPr>
                <w:sz w:val="17"/>
                <w:szCs w:val="17"/>
                <w:color w:val="auto"/>
              </w:rPr>
            </w:pPr>
          </w:p>
        </w:tc>
        <w:tc>
          <w:tcPr>
            <w:tcW w:w="300" w:type="dxa"/>
            <w:vAlign w:val="bottom"/>
            <w:shd w:val="clear" w:color="auto" w:fill="E5FF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shd w:val="clear" w:color="auto" w:fill="E5FFFF"/>
          </w:tcPr>
          <w:p>
            <w:pPr>
              <w:jc w:val="right"/>
              <w:ind w:right="36"/>
              <w:spacing w:after="0" w:line="196" w:lineRule="exact"/>
              <w:rPr>
                <w:sz w:val="20"/>
                <w:szCs w:val="20"/>
                <w:color w:val="auto"/>
              </w:rPr>
            </w:pPr>
            <w:r>
              <w:rPr>
                <w:rFonts w:ascii="Arial" w:cs="Arial" w:eastAsia="Arial" w:hAnsi="Arial"/>
                <w:sz w:val="18"/>
                <w:szCs w:val="18"/>
                <w:color w:val="auto"/>
              </w:rPr>
              <w:t>104</w:t>
            </w:r>
          </w:p>
        </w:tc>
        <w:tc>
          <w:tcPr>
            <w:tcW w:w="32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480" w:type="dxa"/>
            <w:vAlign w:val="bottom"/>
            <w:shd w:val="clear" w:color="auto" w:fill="E5FFFF"/>
          </w:tcPr>
          <w:p>
            <w:pPr>
              <w:jc w:val="right"/>
              <w:ind w:right="325"/>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E5FFFF"/>
          </w:tcPr>
          <w:p>
            <w:pPr>
              <w:jc w:val="right"/>
              <w:ind w:right="13"/>
              <w:spacing w:after="0" w:line="196" w:lineRule="exact"/>
              <w:rPr>
                <w:sz w:val="20"/>
                <w:szCs w:val="20"/>
                <w:color w:val="auto"/>
              </w:rPr>
            </w:pPr>
            <w:r>
              <w:rPr>
                <w:rFonts w:ascii="Arial" w:cs="Arial" w:eastAsia="Arial" w:hAnsi="Arial"/>
                <w:sz w:val="18"/>
                <w:szCs w:val="18"/>
                <w:color w:val="auto"/>
              </w:rPr>
              <w:t>157</w:t>
            </w:r>
          </w:p>
        </w:tc>
      </w:tr>
      <w:tr>
        <w:trPr>
          <w:trHeight w:val="203"/>
        </w:trPr>
        <w:tc>
          <w:tcPr>
            <w:tcW w:w="4100" w:type="dxa"/>
            <w:vAlign w:val="bottom"/>
          </w:tcPr>
          <w:p>
            <w:pPr>
              <w:spacing w:after="0" w:line="202" w:lineRule="exact"/>
              <w:rPr>
                <w:sz w:val="20"/>
                <w:szCs w:val="20"/>
                <w:color w:val="auto"/>
              </w:rPr>
            </w:pPr>
            <w:r>
              <w:rPr>
                <w:rFonts w:ascii="Arial" w:cs="Arial" w:eastAsia="Arial" w:hAnsi="Arial"/>
                <w:sz w:val="18"/>
                <w:szCs w:val="18"/>
                <w:color w:val="auto"/>
              </w:rPr>
              <w:t>Home and Building Technologies</w:t>
            </w:r>
          </w:p>
        </w:tc>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ind w:right="36"/>
              <w:spacing w:after="0" w:line="202" w:lineRule="exact"/>
              <w:rPr>
                <w:sz w:val="20"/>
                <w:szCs w:val="20"/>
                <w:color w:val="auto"/>
              </w:rPr>
            </w:pPr>
            <w:r>
              <w:rPr>
                <w:rFonts w:ascii="Arial" w:cs="Arial" w:eastAsia="Arial" w:hAnsi="Arial"/>
                <w:sz w:val="18"/>
                <w:szCs w:val="18"/>
                <w:color w:val="auto"/>
              </w:rPr>
              <w:t>9</w:t>
            </w:r>
          </w:p>
        </w:tc>
        <w:tc>
          <w:tcPr>
            <w:tcW w:w="3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40" w:type="dxa"/>
            <w:vAlign w:val="bottom"/>
          </w:tcPr>
          <w:p>
            <w:pPr>
              <w:jc w:val="right"/>
              <w:ind w:right="13"/>
              <w:spacing w:after="0" w:line="202" w:lineRule="exact"/>
              <w:rPr>
                <w:sz w:val="20"/>
                <w:szCs w:val="20"/>
                <w:color w:val="auto"/>
              </w:rPr>
            </w:pPr>
            <w:r>
              <w:rPr>
                <w:rFonts w:ascii="Arial" w:cs="Arial" w:eastAsia="Arial" w:hAnsi="Arial"/>
                <w:sz w:val="18"/>
                <w:szCs w:val="18"/>
                <w:color w:val="auto"/>
              </w:rPr>
              <w:t>43</w:t>
            </w: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ind w:right="36"/>
              <w:spacing w:after="0" w:line="202" w:lineRule="exact"/>
              <w:rPr>
                <w:sz w:val="20"/>
                <w:szCs w:val="20"/>
                <w:color w:val="auto"/>
              </w:rPr>
            </w:pPr>
            <w:r>
              <w:rPr>
                <w:rFonts w:ascii="Arial" w:cs="Arial" w:eastAsia="Arial" w:hAnsi="Arial"/>
                <w:sz w:val="18"/>
                <w:szCs w:val="18"/>
                <w:color w:val="auto"/>
              </w:rPr>
              <w:t>13</w:t>
            </w: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42</w:t>
            </w:r>
          </w:p>
        </w:tc>
      </w:tr>
      <w:tr>
        <w:trPr>
          <w:trHeight w:val="203"/>
        </w:trPr>
        <w:tc>
          <w:tcPr>
            <w:tcW w:w="410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Performance Materials and Technologies</w:t>
            </w:r>
          </w:p>
        </w:tc>
        <w:tc>
          <w:tcPr>
            <w:tcW w:w="840" w:type="dxa"/>
            <w:vAlign w:val="bottom"/>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1060" w:type="dxa"/>
            <w:vAlign w:val="bottom"/>
            <w:shd w:val="clear" w:color="auto" w:fill="E5FFFF"/>
          </w:tcPr>
          <w:p>
            <w:pPr>
              <w:jc w:val="right"/>
              <w:ind w:right="36"/>
              <w:spacing w:after="0" w:line="202" w:lineRule="exact"/>
              <w:rPr>
                <w:sz w:val="20"/>
                <w:szCs w:val="20"/>
                <w:color w:val="auto"/>
              </w:rPr>
            </w:pPr>
            <w:r>
              <w:rPr>
                <w:rFonts w:ascii="Arial" w:cs="Arial" w:eastAsia="Arial" w:hAnsi="Arial"/>
                <w:sz w:val="18"/>
                <w:szCs w:val="18"/>
                <w:color w:val="auto"/>
              </w:rPr>
              <w:t>69</w:t>
            </w:r>
          </w:p>
        </w:tc>
        <w:tc>
          <w:tcPr>
            <w:tcW w:w="360" w:type="dxa"/>
            <w:vAlign w:val="bottom"/>
            <w:shd w:val="clear" w:color="auto" w:fill="E5FFFF"/>
          </w:tcPr>
          <w:p>
            <w:pPr>
              <w:spacing w:after="0"/>
              <w:rPr>
                <w:sz w:val="17"/>
                <w:szCs w:val="17"/>
                <w:color w:val="auto"/>
              </w:rPr>
            </w:pPr>
          </w:p>
        </w:tc>
        <w:tc>
          <w:tcPr>
            <w:tcW w:w="520" w:type="dxa"/>
            <w:vAlign w:val="bottom"/>
            <w:shd w:val="clear" w:color="auto" w:fill="E5FFFF"/>
          </w:tcPr>
          <w:p>
            <w:pPr>
              <w:spacing w:after="0"/>
              <w:rPr>
                <w:sz w:val="17"/>
                <w:szCs w:val="17"/>
                <w:color w:val="auto"/>
              </w:rPr>
            </w:pPr>
          </w:p>
        </w:tc>
        <w:tc>
          <w:tcPr>
            <w:tcW w:w="84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(1)</w:t>
            </w:r>
          </w:p>
        </w:tc>
        <w:tc>
          <w:tcPr>
            <w:tcW w:w="34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1060" w:type="dxa"/>
            <w:vAlign w:val="bottom"/>
            <w:shd w:val="clear" w:color="auto" w:fill="E5FFFF"/>
          </w:tcPr>
          <w:p>
            <w:pPr>
              <w:jc w:val="right"/>
              <w:ind w:right="36"/>
              <w:spacing w:after="0" w:line="202" w:lineRule="exact"/>
              <w:rPr>
                <w:sz w:val="20"/>
                <w:szCs w:val="20"/>
                <w:color w:val="auto"/>
              </w:rPr>
            </w:pPr>
            <w:r>
              <w:rPr>
                <w:rFonts w:ascii="Arial" w:cs="Arial" w:eastAsia="Arial" w:hAnsi="Arial"/>
                <w:sz w:val="18"/>
                <w:szCs w:val="18"/>
                <w:color w:val="auto"/>
              </w:rPr>
              <w:t>73</w:t>
            </w:r>
          </w:p>
        </w:tc>
        <w:tc>
          <w:tcPr>
            <w:tcW w:w="32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480" w:type="dxa"/>
            <w:vAlign w:val="bottom"/>
            <w:shd w:val="clear" w:color="auto" w:fill="E5FFFF"/>
          </w:tcPr>
          <w:p>
            <w:pPr>
              <w:spacing w:after="0"/>
              <w:rPr>
                <w:sz w:val="17"/>
                <w:szCs w:val="17"/>
                <w:color w:val="auto"/>
              </w:rPr>
            </w:pPr>
          </w:p>
        </w:tc>
        <w:tc>
          <w:tcPr>
            <w:tcW w:w="860" w:type="dxa"/>
            <w:vAlign w:val="bottom"/>
            <w:shd w:val="clear" w:color="auto" w:fill="E5FFFF"/>
          </w:tcPr>
          <w:p>
            <w:pPr>
              <w:jc w:val="right"/>
              <w:ind w:right="13"/>
              <w:spacing w:after="0" w:line="202" w:lineRule="exact"/>
              <w:rPr>
                <w:sz w:val="20"/>
                <w:szCs w:val="20"/>
                <w:color w:val="auto"/>
              </w:rPr>
            </w:pPr>
            <w:r>
              <w:rPr>
                <w:rFonts w:ascii="Arial" w:cs="Arial" w:eastAsia="Arial" w:hAnsi="Arial"/>
                <w:sz w:val="18"/>
                <w:szCs w:val="18"/>
                <w:color w:val="auto"/>
              </w:rPr>
              <w:t>2</w:t>
            </w:r>
          </w:p>
        </w:tc>
      </w:tr>
      <w:tr>
        <w:trPr>
          <w:trHeight w:val="203"/>
        </w:trPr>
        <w:tc>
          <w:tcPr>
            <w:tcW w:w="4100" w:type="dxa"/>
            <w:vAlign w:val="bottom"/>
          </w:tcPr>
          <w:p>
            <w:pPr>
              <w:spacing w:after="0" w:line="202" w:lineRule="exact"/>
              <w:rPr>
                <w:sz w:val="20"/>
                <w:szCs w:val="20"/>
                <w:color w:val="auto"/>
              </w:rPr>
            </w:pPr>
            <w:r>
              <w:rPr>
                <w:rFonts w:ascii="Arial" w:cs="Arial" w:eastAsia="Arial" w:hAnsi="Arial"/>
                <w:sz w:val="18"/>
                <w:szCs w:val="18"/>
                <w:color w:val="auto"/>
              </w:rPr>
              <w:t>Safety and Productivity Solutions</w:t>
            </w:r>
          </w:p>
        </w:tc>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ind w:right="36"/>
              <w:spacing w:after="0" w:line="202" w:lineRule="exact"/>
              <w:rPr>
                <w:sz w:val="20"/>
                <w:szCs w:val="20"/>
                <w:color w:val="auto"/>
              </w:rPr>
            </w:pPr>
            <w:r>
              <w:rPr>
                <w:rFonts w:ascii="Arial" w:cs="Arial" w:eastAsia="Arial" w:hAnsi="Arial"/>
                <w:sz w:val="18"/>
                <w:szCs w:val="18"/>
                <w:color w:val="auto"/>
              </w:rPr>
              <w:t>6</w:t>
            </w:r>
          </w:p>
        </w:tc>
        <w:tc>
          <w:tcPr>
            <w:tcW w:w="3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40" w:type="dxa"/>
            <w:vAlign w:val="bottom"/>
          </w:tcPr>
          <w:p>
            <w:pPr>
              <w:jc w:val="right"/>
              <w:ind w:right="13"/>
              <w:spacing w:after="0" w:line="202" w:lineRule="exact"/>
              <w:rPr>
                <w:sz w:val="20"/>
                <w:szCs w:val="20"/>
                <w:color w:val="auto"/>
              </w:rPr>
            </w:pPr>
            <w:r>
              <w:rPr>
                <w:rFonts w:ascii="Arial" w:cs="Arial" w:eastAsia="Arial" w:hAnsi="Arial"/>
                <w:sz w:val="18"/>
                <w:szCs w:val="18"/>
                <w:color w:val="auto"/>
              </w:rPr>
              <w:t>4</w:t>
            </w: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ind w:right="36"/>
              <w:spacing w:after="0" w:line="202" w:lineRule="exact"/>
              <w:rPr>
                <w:sz w:val="20"/>
                <w:szCs w:val="20"/>
                <w:color w:val="auto"/>
              </w:rPr>
            </w:pPr>
            <w:r>
              <w:rPr>
                <w:rFonts w:ascii="Arial" w:cs="Arial" w:eastAsia="Arial" w:hAnsi="Arial"/>
                <w:sz w:val="18"/>
                <w:szCs w:val="18"/>
                <w:color w:val="auto"/>
              </w:rPr>
              <w:t>13</w:t>
            </w: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r>
      <w:tr>
        <w:trPr>
          <w:trHeight w:val="203"/>
        </w:trPr>
        <w:tc>
          <w:tcPr>
            <w:tcW w:w="410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Corporate</w:t>
            </w:r>
          </w:p>
        </w:tc>
        <w:tc>
          <w:tcPr>
            <w:tcW w:w="840" w:type="dxa"/>
            <w:vAlign w:val="bottom"/>
            <w:shd w:val="clear" w:color="auto" w:fill="E5FFFF"/>
          </w:tcPr>
          <w:p>
            <w:pPr>
              <w:spacing w:after="0"/>
              <w:rPr>
                <w:sz w:val="17"/>
                <w:szCs w:val="17"/>
                <w:color w:val="auto"/>
              </w:rPr>
            </w:pPr>
          </w:p>
        </w:tc>
        <w:tc>
          <w:tcPr>
            <w:tcW w:w="320" w:type="dxa"/>
            <w:vAlign w:val="bottom"/>
            <w:tcBorders>
              <w:bottom w:val="single" w:sz="8" w:color="auto"/>
            </w:tcBorders>
            <w:shd w:val="clear" w:color="auto" w:fill="E5FFFF"/>
          </w:tcPr>
          <w:p>
            <w:pPr>
              <w:spacing w:after="0"/>
              <w:rPr>
                <w:sz w:val="17"/>
                <w:szCs w:val="17"/>
                <w:color w:val="auto"/>
              </w:rPr>
            </w:pPr>
          </w:p>
        </w:tc>
        <w:tc>
          <w:tcPr>
            <w:tcW w:w="1060" w:type="dxa"/>
            <w:vAlign w:val="bottom"/>
            <w:tcBorders>
              <w:bottom w:val="single" w:sz="8" w:color="auto"/>
            </w:tcBorders>
            <w:shd w:val="clear" w:color="auto" w:fill="E5FFFF"/>
          </w:tcPr>
          <w:p>
            <w:pPr>
              <w:jc w:val="right"/>
              <w:ind w:right="36"/>
              <w:spacing w:after="0" w:line="202" w:lineRule="exact"/>
              <w:rPr>
                <w:sz w:val="20"/>
                <w:szCs w:val="20"/>
                <w:color w:val="auto"/>
              </w:rPr>
            </w:pPr>
            <w:r>
              <w:rPr>
                <w:rFonts w:ascii="Arial" w:cs="Arial" w:eastAsia="Arial" w:hAnsi="Arial"/>
                <w:sz w:val="18"/>
                <w:szCs w:val="18"/>
                <w:color w:val="auto"/>
              </w:rPr>
              <w:t>147</w:t>
            </w:r>
          </w:p>
        </w:tc>
        <w:tc>
          <w:tcPr>
            <w:tcW w:w="360" w:type="dxa"/>
            <w:vAlign w:val="bottom"/>
            <w:shd w:val="clear" w:color="auto" w:fill="E5FFFF"/>
          </w:tcPr>
          <w:p>
            <w:pPr>
              <w:spacing w:after="0"/>
              <w:rPr>
                <w:sz w:val="17"/>
                <w:szCs w:val="17"/>
                <w:color w:val="auto"/>
              </w:rPr>
            </w:pPr>
          </w:p>
        </w:tc>
        <w:tc>
          <w:tcPr>
            <w:tcW w:w="520" w:type="dxa"/>
            <w:vAlign w:val="bottom"/>
            <w:tcBorders>
              <w:bottom w:val="single" w:sz="8" w:color="auto"/>
            </w:tcBorders>
            <w:shd w:val="clear" w:color="auto" w:fill="E5FFFF"/>
          </w:tcPr>
          <w:p>
            <w:pPr>
              <w:spacing w:after="0"/>
              <w:rPr>
                <w:sz w:val="17"/>
                <w:szCs w:val="17"/>
                <w:color w:val="auto"/>
              </w:rPr>
            </w:pPr>
          </w:p>
        </w:tc>
        <w:tc>
          <w:tcPr>
            <w:tcW w:w="840" w:type="dxa"/>
            <w:vAlign w:val="bottom"/>
            <w:tcBorders>
              <w:bottom w:val="single" w:sz="8" w:color="auto"/>
            </w:tcBorders>
            <w:shd w:val="clear" w:color="auto" w:fill="E5FFFF"/>
          </w:tcPr>
          <w:p>
            <w:pPr>
              <w:jc w:val="right"/>
              <w:ind w:right="13"/>
              <w:spacing w:after="0" w:line="202" w:lineRule="exact"/>
              <w:rPr>
                <w:sz w:val="20"/>
                <w:szCs w:val="20"/>
                <w:color w:val="auto"/>
              </w:rPr>
            </w:pPr>
            <w:r>
              <w:rPr>
                <w:rFonts w:ascii="Arial" w:cs="Arial" w:eastAsia="Arial" w:hAnsi="Arial"/>
                <w:sz w:val="18"/>
                <w:szCs w:val="18"/>
                <w:color w:val="auto"/>
              </w:rPr>
              <w:t>94</w:t>
            </w:r>
          </w:p>
        </w:tc>
        <w:tc>
          <w:tcPr>
            <w:tcW w:w="340" w:type="dxa"/>
            <w:vAlign w:val="bottom"/>
            <w:shd w:val="clear" w:color="auto" w:fill="E5FFFF"/>
          </w:tcPr>
          <w:p>
            <w:pPr>
              <w:spacing w:after="0"/>
              <w:rPr>
                <w:sz w:val="17"/>
                <w:szCs w:val="17"/>
                <w:color w:val="auto"/>
              </w:rPr>
            </w:pPr>
          </w:p>
        </w:tc>
        <w:tc>
          <w:tcPr>
            <w:tcW w:w="300" w:type="dxa"/>
            <w:vAlign w:val="bottom"/>
            <w:tcBorders>
              <w:bottom w:val="single" w:sz="8" w:color="auto"/>
            </w:tcBorders>
            <w:shd w:val="clear" w:color="auto" w:fill="E5FFFF"/>
          </w:tcPr>
          <w:p>
            <w:pPr>
              <w:spacing w:after="0"/>
              <w:rPr>
                <w:sz w:val="17"/>
                <w:szCs w:val="17"/>
                <w:color w:val="auto"/>
              </w:rPr>
            </w:pPr>
          </w:p>
        </w:tc>
        <w:tc>
          <w:tcPr>
            <w:tcW w:w="1060" w:type="dxa"/>
            <w:vAlign w:val="bottom"/>
            <w:tcBorders>
              <w:bottom w:val="single" w:sz="8" w:color="auto"/>
            </w:tcBorders>
            <w:shd w:val="clear" w:color="auto" w:fill="E5FFFF"/>
          </w:tcPr>
          <w:p>
            <w:pPr>
              <w:jc w:val="right"/>
              <w:ind w:right="36"/>
              <w:spacing w:after="0" w:line="202" w:lineRule="exact"/>
              <w:rPr>
                <w:sz w:val="20"/>
                <w:szCs w:val="20"/>
                <w:color w:val="auto"/>
              </w:rPr>
            </w:pPr>
            <w:r>
              <w:rPr>
                <w:rFonts w:ascii="Arial" w:cs="Arial" w:eastAsia="Arial" w:hAnsi="Arial"/>
                <w:sz w:val="18"/>
                <w:szCs w:val="18"/>
                <w:color w:val="auto"/>
              </w:rPr>
              <w:t>255</w:t>
            </w:r>
          </w:p>
        </w:tc>
        <w:tc>
          <w:tcPr>
            <w:tcW w:w="32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480" w:type="dxa"/>
            <w:vAlign w:val="bottom"/>
            <w:tcBorders>
              <w:bottom w:val="single" w:sz="8" w:color="auto"/>
            </w:tcBorders>
            <w:shd w:val="clear" w:color="auto" w:fill="E5FFFF"/>
          </w:tcPr>
          <w:p>
            <w:pPr>
              <w:spacing w:after="0"/>
              <w:rPr>
                <w:sz w:val="17"/>
                <w:szCs w:val="17"/>
                <w:color w:val="auto"/>
              </w:rPr>
            </w:pPr>
          </w:p>
        </w:tc>
        <w:tc>
          <w:tcPr>
            <w:tcW w:w="860" w:type="dxa"/>
            <w:vAlign w:val="bottom"/>
            <w:tcBorders>
              <w:bottom w:val="single" w:sz="8" w:color="auto"/>
            </w:tcBorders>
            <w:shd w:val="clear" w:color="auto" w:fill="E5FFFF"/>
          </w:tcPr>
          <w:p>
            <w:pPr>
              <w:jc w:val="right"/>
              <w:ind w:right="13"/>
              <w:spacing w:after="0" w:line="202" w:lineRule="exact"/>
              <w:rPr>
                <w:sz w:val="20"/>
                <w:szCs w:val="20"/>
                <w:color w:val="auto"/>
              </w:rPr>
            </w:pPr>
            <w:r>
              <w:rPr>
                <w:rFonts w:ascii="Arial" w:cs="Arial" w:eastAsia="Arial" w:hAnsi="Arial"/>
                <w:sz w:val="18"/>
                <w:szCs w:val="18"/>
                <w:color w:val="auto"/>
              </w:rPr>
              <w:t>152</w:t>
            </w:r>
          </w:p>
        </w:tc>
      </w:tr>
      <w:tr>
        <w:trPr>
          <w:trHeight w:val="196"/>
        </w:trPr>
        <w:tc>
          <w:tcPr>
            <w:tcW w:w="4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2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ind w:right="36"/>
              <w:spacing w:after="0" w:line="196" w:lineRule="exact"/>
              <w:rPr>
                <w:sz w:val="20"/>
                <w:szCs w:val="20"/>
                <w:color w:val="auto"/>
              </w:rPr>
            </w:pPr>
            <w:r>
              <w:rPr>
                <w:rFonts w:ascii="Arial" w:cs="Arial" w:eastAsia="Arial" w:hAnsi="Arial"/>
                <w:sz w:val="18"/>
                <w:szCs w:val="18"/>
                <w:color w:val="auto"/>
              </w:rPr>
              <w:t>265</w:t>
            </w:r>
          </w:p>
        </w:tc>
        <w:tc>
          <w:tcPr>
            <w:tcW w:w="360" w:type="dxa"/>
            <w:vAlign w:val="bottom"/>
          </w:tcPr>
          <w:p>
            <w:pPr>
              <w:spacing w:after="0"/>
              <w:rPr>
                <w:sz w:val="17"/>
                <w:szCs w:val="17"/>
                <w:color w:val="auto"/>
              </w:rPr>
            </w:pPr>
          </w:p>
        </w:tc>
        <w:tc>
          <w:tcPr>
            <w:tcW w:w="520" w:type="dxa"/>
            <w:vAlign w:val="bottom"/>
            <w:tcBorders>
              <w:bottom w:val="single" w:sz="8" w:color="auto"/>
            </w:tcBorders>
          </w:tcPr>
          <w:p>
            <w:pPr>
              <w:jc w:val="right"/>
              <w:ind w:right="33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ind w:right="13"/>
              <w:spacing w:after="0" w:line="196" w:lineRule="exact"/>
              <w:rPr>
                <w:sz w:val="20"/>
                <w:szCs w:val="20"/>
                <w:color w:val="auto"/>
              </w:rPr>
            </w:pPr>
            <w:r>
              <w:rPr>
                <w:rFonts w:ascii="Arial" w:cs="Arial" w:eastAsia="Arial" w:hAnsi="Arial"/>
                <w:sz w:val="18"/>
                <w:szCs w:val="18"/>
                <w:color w:val="auto"/>
              </w:rPr>
              <w:t>224</w:t>
            </w:r>
          </w:p>
        </w:tc>
        <w:tc>
          <w:tcPr>
            <w:tcW w:w="340" w:type="dxa"/>
            <w:vAlign w:val="bottom"/>
          </w:tcPr>
          <w:p>
            <w:pPr>
              <w:spacing w:after="0"/>
              <w:rPr>
                <w:sz w:val="17"/>
                <w:szCs w:val="17"/>
                <w:color w:val="auto"/>
              </w:rPr>
            </w:pPr>
          </w:p>
        </w:tc>
        <w:tc>
          <w:tcPr>
            <w:tcW w:w="30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ind w:right="36"/>
              <w:spacing w:after="0" w:line="196" w:lineRule="exact"/>
              <w:rPr>
                <w:sz w:val="20"/>
                <w:szCs w:val="20"/>
                <w:color w:val="auto"/>
              </w:rPr>
            </w:pPr>
            <w:r>
              <w:rPr>
                <w:rFonts w:ascii="Arial" w:cs="Arial" w:eastAsia="Arial" w:hAnsi="Arial"/>
                <w:sz w:val="18"/>
                <w:szCs w:val="18"/>
                <w:color w:val="auto"/>
              </w:rPr>
              <w:t>458</w:t>
            </w:r>
          </w:p>
        </w:tc>
        <w:tc>
          <w:tcPr>
            <w:tcW w:w="32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ind w:right="32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ind w:right="13"/>
              <w:spacing w:after="0" w:line="196" w:lineRule="exact"/>
              <w:rPr>
                <w:sz w:val="20"/>
                <w:szCs w:val="20"/>
                <w:color w:val="auto"/>
              </w:rPr>
            </w:pPr>
            <w:r>
              <w:rPr>
                <w:rFonts w:ascii="Arial" w:cs="Arial" w:eastAsia="Arial" w:hAnsi="Arial"/>
                <w:sz w:val="18"/>
                <w:szCs w:val="18"/>
                <w:color w:val="auto"/>
              </w:rPr>
              <w:t>353</w:t>
            </w:r>
          </w:p>
        </w:tc>
      </w:tr>
      <w:tr>
        <w:trPr>
          <w:trHeight w:val="20"/>
        </w:trPr>
        <w:tc>
          <w:tcPr>
            <w:tcW w:w="4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In the quarter ended June 30, 2018, we recognized gross repositioning charges totaling $63 million including severance costs of $30 million related to workforce reductions of 731 manufacturing and administrative positions across our segments, except Aerospace. The workforce reductions were primarily related to cost savings actions taken in connection with our productivity and ongoing functional transformation initiatives. The repositioning charges included exit costs of $32 million primarily related to a termination fee associated with the early cancellation of a supply agreement for certain raw materials in Performance Materials and Technologies.</w:t>
      </w:r>
    </w:p>
    <w:p>
      <w:pPr>
        <w:spacing w:after="0" w:line="189"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In the quarter ended June 30, 2017, we recognized gross repositioning charges totaling $123 million including severance costs of $82 million related to workforce reductions of 1,902 manufacturing and administrative positions mainly in Home and Building Technologies and Aerospace. The workforce reductions were primarily related to cost savings actions taken in connection with our productivity and ongoing functional transformation initiatives and with site transitions, mainly in Aerospace, to more cost-effective locations. The repositioning charges included asset impairments of $33 million primarily related to the write-down of a legacy property in our Corporate segment in connection with its planned disposition.</w:t>
      </w:r>
    </w:p>
    <w:p>
      <w:pPr>
        <w:spacing w:after="0" w:line="192"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In the six months ended June 30, 2018, we recognized gross repositioning charges totaling $ 149 million including severance costs of $61 million related to workforce reductions of 1,884 manufacturing and administrative positions across our segments. The workforce reductions were primarily related to site transitions, mainly in Aerospace and Safety and Productivity Solutions, to more cost-effective locations and to cost savings actions taken in connection with our productivity and ongoing functional transformation initiatives. The repositioning charges included asset impairments of $48 million primarily related to the write-down of a legacy property in our Corporate segment in connection with its planned disposition. The repositioning charges included exit costs of $40 million primarily related to a termination fee associated with the early cancellation of a supply agreement for certain raw materials in Performance Materials and Technologies.</w:t>
      </w:r>
    </w:p>
    <w:p>
      <w:pPr>
        <w:spacing w:after="0" w:line="190"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In the six months ended June 30, 2017, we recognized gross repositioning charges totaling $146 million including severance costs of $102 million related to workforce reductions of 2,524 manufacturing and administrative positions across our segments. The workforce reductions were primarily related to cost savings actions taken in connection with our productivity and ongoing functional transformation initiatives and with site transitions, mainly in Aerospace, to more cost-effective locations. The repositioning charges included asset impairments of $35 million primarily related to the write-down of a legacy property in our Corporate segment in connection with its planned disposition.</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0"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Honeywell International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jc w:val="center"/>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status of our total repositioning reserves: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jc w:val="right"/>
              <w:ind w:right="234"/>
              <w:spacing w:after="0"/>
              <w:rPr>
                <w:sz w:val="20"/>
                <w:szCs w:val="20"/>
                <w:color w:val="auto"/>
              </w:rPr>
            </w:pPr>
            <w:r>
              <w:rPr>
                <w:rFonts w:ascii="Arial" w:cs="Arial" w:eastAsia="Arial" w:hAnsi="Arial"/>
                <w:sz w:val="14"/>
                <w:szCs w:val="14"/>
                <w:b w:val="1"/>
                <w:bCs w:val="1"/>
                <w:color w:val="auto"/>
              </w:rPr>
              <w:t>Severance</w:t>
            </w: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jc w:val="right"/>
              <w:ind w:right="394"/>
              <w:spacing w:after="0"/>
              <w:rPr>
                <w:sz w:val="20"/>
                <w:szCs w:val="20"/>
                <w:color w:val="auto"/>
              </w:rPr>
            </w:pPr>
            <w:r>
              <w:rPr>
                <w:rFonts w:ascii="Arial" w:cs="Arial" w:eastAsia="Arial" w:hAnsi="Arial"/>
                <w:sz w:val="14"/>
                <w:szCs w:val="14"/>
                <w:b w:val="1"/>
                <w:bCs w:val="1"/>
                <w:color w:val="auto"/>
              </w:rPr>
              <w:t>Asset</w:t>
            </w: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jc w:val="right"/>
              <w:ind w:right="474"/>
              <w:spacing w:after="0"/>
              <w:rPr>
                <w:sz w:val="20"/>
                <w:szCs w:val="20"/>
                <w:color w:val="auto"/>
              </w:rPr>
            </w:pPr>
            <w:r>
              <w:rPr>
                <w:rFonts w:ascii="Arial" w:cs="Arial" w:eastAsia="Arial" w:hAnsi="Arial"/>
                <w:sz w:val="14"/>
                <w:szCs w:val="14"/>
                <w:b w:val="1"/>
                <w:bCs w:val="1"/>
                <w:color w:val="auto"/>
              </w:rPr>
              <w:t>Exit</w:t>
            </w: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5"/>
        </w:trPr>
        <w:tc>
          <w:tcPr>
            <w:tcW w:w="3680" w:type="dxa"/>
            <w:vAlign w:val="bottom"/>
            <w:tcBorders>
              <w:bottom w:val="single" w:sz="8" w:color="E5FFFF"/>
            </w:tcBorders>
          </w:tcPr>
          <w:p>
            <w:pPr>
              <w:spacing w:after="0"/>
              <w:rPr>
                <w:sz w:val="15"/>
                <w:szCs w:val="15"/>
                <w:color w:val="auto"/>
              </w:rPr>
            </w:pPr>
          </w:p>
        </w:tc>
        <w:tc>
          <w:tcPr>
            <w:tcW w:w="1260" w:type="dxa"/>
            <w:vAlign w:val="bottom"/>
            <w:tcBorders>
              <w:bottom w:val="single" w:sz="8" w:color="E5FF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Costs</w:t>
            </w:r>
          </w:p>
        </w:tc>
        <w:tc>
          <w:tcPr>
            <w:tcW w:w="360" w:type="dxa"/>
            <w:vAlign w:val="bottom"/>
            <w:tcBorders>
              <w:bottom w:val="single" w:sz="8" w:color="E5FF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Impairments</w:t>
            </w:r>
          </w:p>
        </w:tc>
        <w:tc>
          <w:tcPr>
            <w:tcW w:w="340" w:type="dxa"/>
            <w:vAlign w:val="bottom"/>
            <w:tcBorders>
              <w:bottom w:val="single" w:sz="8" w:color="E5FF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Costs</w:t>
            </w:r>
          </w:p>
        </w:tc>
        <w:tc>
          <w:tcPr>
            <w:tcW w:w="320" w:type="dxa"/>
            <w:vAlign w:val="bottom"/>
            <w:tcBorders>
              <w:bottom w:val="single" w:sz="8" w:color="E5FF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Total</w:t>
            </w:r>
          </w:p>
        </w:tc>
      </w:tr>
      <w:tr>
        <w:trPr>
          <w:trHeight w:val="196"/>
        </w:trPr>
        <w:tc>
          <w:tcPr>
            <w:tcW w:w="3680" w:type="dxa"/>
            <w:vAlign w:val="bottom"/>
            <w:shd w:val="clear" w:color="auto" w:fill="E5FFFF"/>
          </w:tcPr>
          <w:p>
            <w:pPr>
              <w:spacing w:after="0" w:line="196" w:lineRule="exact"/>
              <w:rPr>
                <w:sz w:val="20"/>
                <w:szCs w:val="20"/>
                <w:color w:val="auto"/>
              </w:rPr>
            </w:pPr>
            <w:r>
              <w:rPr>
                <w:rFonts w:ascii="Arial" w:cs="Arial" w:eastAsia="Arial" w:hAnsi="Arial"/>
                <w:sz w:val="18"/>
                <w:szCs w:val="18"/>
                <w:color w:val="auto"/>
              </w:rPr>
              <w:t>December 31, 2017</w:t>
            </w:r>
          </w:p>
        </w:tc>
        <w:tc>
          <w:tcPr>
            <w:tcW w:w="1260" w:type="dxa"/>
            <w:vAlign w:val="bottom"/>
            <w:shd w:val="clear" w:color="auto" w:fill="E5FFFF"/>
          </w:tcPr>
          <w:p>
            <w:pPr>
              <w:spacing w:after="0"/>
              <w:rPr>
                <w:sz w:val="17"/>
                <w:szCs w:val="17"/>
                <w:color w:val="auto"/>
              </w:rPr>
            </w:pPr>
          </w:p>
        </w:tc>
        <w:tc>
          <w:tcPr>
            <w:tcW w:w="220" w:type="dxa"/>
            <w:vAlign w:val="bottom"/>
            <w:shd w:val="clear" w:color="auto" w:fill="E5FF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shd w:val="clear" w:color="auto" w:fill="E5FFFF"/>
          </w:tcPr>
          <w:p>
            <w:pPr>
              <w:jc w:val="right"/>
              <w:ind w:right="34"/>
              <w:spacing w:after="0" w:line="196" w:lineRule="exact"/>
              <w:rPr>
                <w:sz w:val="20"/>
                <w:szCs w:val="20"/>
                <w:color w:val="auto"/>
              </w:rPr>
            </w:pPr>
            <w:r>
              <w:rPr>
                <w:rFonts w:ascii="Arial" w:cs="Arial" w:eastAsia="Arial" w:hAnsi="Arial"/>
                <w:sz w:val="18"/>
                <w:szCs w:val="18"/>
                <w:color w:val="auto"/>
              </w:rPr>
              <w:t>442</w:t>
            </w:r>
          </w:p>
        </w:tc>
        <w:tc>
          <w:tcPr>
            <w:tcW w:w="360" w:type="dxa"/>
            <w:vAlign w:val="bottom"/>
            <w:shd w:val="clear" w:color="auto" w:fill="E5FFFF"/>
          </w:tcPr>
          <w:p>
            <w:pPr>
              <w:spacing w:after="0"/>
              <w:rPr>
                <w:sz w:val="17"/>
                <w:szCs w:val="17"/>
                <w:color w:val="auto"/>
              </w:rPr>
            </w:pPr>
          </w:p>
        </w:tc>
        <w:tc>
          <w:tcPr>
            <w:tcW w:w="180" w:type="dxa"/>
            <w:vAlign w:val="bottom"/>
            <w:shd w:val="clear" w:color="auto" w:fill="E5FFFF"/>
          </w:tcPr>
          <w:p>
            <w:pPr>
              <w:jc w:val="right"/>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shd w:val="clear" w:color="auto" w:fill="E5FFFF"/>
          </w:tcPr>
          <w:p>
            <w:pPr>
              <w:jc w:val="right"/>
              <w:ind w:right="14"/>
              <w:spacing w:after="0" w:line="196" w:lineRule="exact"/>
              <w:rPr>
                <w:sz w:val="20"/>
                <w:szCs w:val="20"/>
                <w:color w:val="auto"/>
              </w:rPr>
            </w:pPr>
            <w:r>
              <w:rPr>
                <w:rFonts w:ascii="Arial" w:cs="Arial" w:eastAsia="Arial" w:hAnsi="Arial"/>
                <w:sz w:val="18"/>
                <w:szCs w:val="18"/>
                <w:color w:val="auto"/>
              </w:rPr>
              <w:t>-</w:t>
            </w:r>
          </w:p>
        </w:tc>
        <w:tc>
          <w:tcPr>
            <w:tcW w:w="340" w:type="dxa"/>
            <w:vAlign w:val="bottom"/>
            <w:shd w:val="clear" w:color="auto" w:fill="E5FFFF"/>
          </w:tcPr>
          <w:p>
            <w:pPr>
              <w:spacing w:after="0"/>
              <w:rPr>
                <w:sz w:val="17"/>
                <w:szCs w:val="17"/>
                <w:color w:val="auto"/>
              </w:rPr>
            </w:pPr>
          </w:p>
        </w:tc>
        <w:tc>
          <w:tcPr>
            <w:tcW w:w="280" w:type="dxa"/>
            <w:vAlign w:val="bottom"/>
            <w:shd w:val="clear" w:color="auto" w:fill="E5FF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shd w:val="clear" w:color="auto" w:fill="E5FFFF"/>
          </w:tcPr>
          <w:p>
            <w:pPr>
              <w:jc w:val="right"/>
              <w:ind w:right="34"/>
              <w:spacing w:after="0" w:line="196" w:lineRule="exact"/>
              <w:rPr>
                <w:sz w:val="20"/>
                <w:szCs w:val="20"/>
                <w:color w:val="auto"/>
              </w:rPr>
            </w:pPr>
            <w:r>
              <w:rPr>
                <w:rFonts w:ascii="Arial" w:cs="Arial" w:eastAsia="Arial" w:hAnsi="Arial"/>
                <w:sz w:val="18"/>
                <w:szCs w:val="18"/>
                <w:color w:val="auto"/>
              </w:rPr>
              <w:t>71</w:t>
            </w:r>
          </w:p>
        </w:tc>
        <w:tc>
          <w:tcPr>
            <w:tcW w:w="320" w:type="dxa"/>
            <w:vAlign w:val="bottom"/>
            <w:shd w:val="clear" w:color="auto" w:fill="E5FFFF"/>
          </w:tcPr>
          <w:p>
            <w:pPr>
              <w:spacing w:after="0"/>
              <w:rPr>
                <w:sz w:val="17"/>
                <w:szCs w:val="17"/>
                <w:color w:val="auto"/>
              </w:rPr>
            </w:pPr>
          </w:p>
        </w:tc>
        <w:tc>
          <w:tcPr>
            <w:tcW w:w="320" w:type="dxa"/>
            <w:vAlign w:val="bottom"/>
            <w:shd w:val="clear" w:color="auto" w:fill="E5FFFF"/>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shd w:val="clear" w:color="auto" w:fill="E5FFFF"/>
          </w:tcPr>
          <w:p>
            <w:pPr>
              <w:jc w:val="right"/>
              <w:ind w:right="12"/>
              <w:spacing w:after="0" w:line="196" w:lineRule="exact"/>
              <w:rPr>
                <w:sz w:val="20"/>
                <w:szCs w:val="20"/>
                <w:color w:val="auto"/>
              </w:rPr>
            </w:pPr>
            <w:r>
              <w:rPr>
                <w:rFonts w:ascii="Arial" w:cs="Arial" w:eastAsia="Arial" w:hAnsi="Arial"/>
                <w:sz w:val="18"/>
                <w:szCs w:val="18"/>
                <w:color w:val="auto"/>
              </w:rPr>
              <w:t>513</w:t>
            </w:r>
          </w:p>
        </w:tc>
      </w:tr>
      <w:tr>
        <w:trPr>
          <w:trHeight w:val="203"/>
        </w:trPr>
        <w:tc>
          <w:tcPr>
            <w:tcW w:w="3680" w:type="dxa"/>
            <w:vAlign w:val="bottom"/>
          </w:tcPr>
          <w:p>
            <w:pPr>
              <w:ind w:left="180"/>
              <w:spacing w:after="0" w:line="202" w:lineRule="exact"/>
              <w:rPr>
                <w:sz w:val="20"/>
                <w:szCs w:val="20"/>
                <w:color w:val="auto"/>
              </w:rPr>
            </w:pPr>
            <w:r>
              <w:rPr>
                <w:rFonts w:ascii="Arial" w:cs="Arial" w:eastAsia="Arial" w:hAnsi="Arial"/>
                <w:sz w:val="18"/>
                <w:szCs w:val="18"/>
                <w:color w:val="auto"/>
              </w:rPr>
              <w:t>Charges</w:t>
            </w: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jc w:val="right"/>
              <w:ind w:right="34"/>
              <w:spacing w:after="0" w:line="202" w:lineRule="exact"/>
              <w:rPr>
                <w:sz w:val="20"/>
                <w:szCs w:val="20"/>
                <w:color w:val="auto"/>
              </w:rPr>
            </w:pPr>
            <w:r>
              <w:rPr>
                <w:rFonts w:ascii="Arial" w:cs="Arial" w:eastAsia="Arial" w:hAnsi="Arial"/>
                <w:sz w:val="18"/>
                <w:szCs w:val="18"/>
                <w:color w:val="auto"/>
              </w:rPr>
              <w:t>61</w:t>
            </w: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48</w:t>
            </w: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jc w:val="right"/>
              <w:ind w:right="34"/>
              <w:spacing w:after="0" w:line="202" w:lineRule="exact"/>
              <w:rPr>
                <w:sz w:val="20"/>
                <w:szCs w:val="20"/>
                <w:color w:val="auto"/>
              </w:rPr>
            </w:pPr>
            <w:r>
              <w:rPr>
                <w:rFonts w:ascii="Arial" w:cs="Arial" w:eastAsia="Arial" w:hAnsi="Arial"/>
                <w:sz w:val="18"/>
                <w:szCs w:val="18"/>
                <w:color w:val="auto"/>
              </w:rPr>
              <w:t>40</w:t>
            </w: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ind w:right="12"/>
              <w:spacing w:after="0" w:line="202" w:lineRule="exact"/>
              <w:rPr>
                <w:sz w:val="20"/>
                <w:szCs w:val="20"/>
                <w:color w:val="auto"/>
              </w:rPr>
            </w:pPr>
            <w:r>
              <w:rPr>
                <w:rFonts w:ascii="Arial" w:cs="Arial" w:eastAsia="Arial" w:hAnsi="Arial"/>
                <w:sz w:val="18"/>
                <w:szCs w:val="18"/>
                <w:color w:val="auto"/>
              </w:rPr>
              <w:t>149</w:t>
            </w:r>
          </w:p>
        </w:tc>
      </w:tr>
      <w:tr>
        <w:trPr>
          <w:trHeight w:val="203"/>
        </w:trPr>
        <w:tc>
          <w:tcPr>
            <w:tcW w:w="3680" w:type="dxa"/>
            <w:vAlign w:val="bottom"/>
            <w:shd w:val="clear" w:color="auto" w:fill="E5FFFF"/>
          </w:tcPr>
          <w:p>
            <w:pPr>
              <w:ind w:left="180"/>
              <w:spacing w:after="0" w:line="202" w:lineRule="exact"/>
              <w:rPr>
                <w:sz w:val="20"/>
                <w:szCs w:val="20"/>
                <w:color w:val="auto"/>
              </w:rPr>
            </w:pPr>
            <w:r>
              <w:rPr>
                <w:rFonts w:ascii="Arial" w:cs="Arial" w:eastAsia="Arial" w:hAnsi="Arial"/>
                <w:sz w:val="18"/>
                <w:szCs w:val="18"/>
                <w:color w:val="auto"/>
              </w:rPr>
              <w:t>Usage - cash</w:t>
            </w:r>
          </w:p>
        </w:tc>
        <w:tc>
          <w:tcPr>
            <w:tcW w:w="126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16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(123)</w:t>
            </w:r>
          </w:p>
        </w:tc>
        <w:tc>
          <w:tcPr>
            <w:tcW w:w="360" w:type="dxa"/>
            <w:vAlign w:val="bottom"/>
            <w:shd w:val="clear" w:color="auto" w:fill="E5FFFF"/>
          </w:tcPr>
          <w:p>
            <w:pPr>
              <w:spacing w:after="0"/>
              <w:rPr>
                <w:sz w:val="17"/>
                <w:szCs w:val="17"/>
                <w:color w:val="auto"/>
              </w:rPr>
            </w:pPr>
          </w:p>
        </w:tc>
        <w:tc>
          <w:tcPr>
            <w:tcW w:w="180" w:type="dxa"/>
            <w:vAlign w:val="bottom"/>
            <w:shd w:val="clear" w:color="auto" w:fill="E5FFFF"/>
          </w:tcPr>
          <w:p>
            <w:pPr>
              <w:spacing w:after="0"/>
              <w:rPr>
                <w:sz w:val="17"/>
                <w:szCs w:val="17"/>
                <w:color w:val="auto"/>
              </w:rPr>
            </w:pPr>
          </w:p>
        </w:tc>
        <w:tc>
          <w:tcPr>
            <w:tcW w:w="1180" w:type="dxa"/>
            <w:vAlign w:val="bottom"/>
            <w:shd w:val="clear" w:color="auto" w:fill="E5FFFF"/>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340" w:type="dxa"/>
            <w:vAlign w:val="bottom"/>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108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(43)</w:t>
            </w:r>
          </w:p>
        </w:tc>
        <w:tc>
          <w:tcPr>
            <w:tcW w:w="320" w:type="dxa"/>
            <w:vAlign w:val="bottom"/>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104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(166)</w:t>
            </w:r>
          </w:p>
        </w:tc>
      </w:tr>
      <w:tr>
        <w:trPr>
          <w:trHeight w:val="203"/>
        </w:trPr>
        <w:tc>
          <w:tcPr>
            <w:tcW w:w="3680" w:type="dxa"/>
            <w:vAlign w:val="bottom"/>
          </w:tcPr>
          <w:p>
            <w:pPr>
              <w:ind w:left="180"/>
              <w:spacing w:after="0" w:line="202" w:lineRule="exact"/>
              <w:rPr>
                <w:sz w:val="20"/>
                <w:szCs w:val="20"/>
                <w:color w:val="auto"/>
              </w:rPr>
            </w:pPr>
            <w:r>
              <w:rPr>
                <w:rFonts w:ascii="Arial" w:cs="Arial" w:eastAsia="Arial" w:hAnsi="Arial"/>
                <w:sz w:val="18"/>
                <w:szCs w:val="18"/>
                <w:color w:val="auto"/>
              </w:rPr>
              <w:t>Usage - noncash</w:t>
            </w: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(49)</w:t>
            </w: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(49)</w:t>
            </w:r>
          </w:p>
        </w:tc>
      </w:tr>
      <w:tr>
        <w:trPr>
          <w:trHeight w:val="203"/>
        </w:trPr>
        <w:tc>
          <w:tcPr>
            <w:tcW w:w="3680" w:type="dxa"/>
            <w:vAlign w:val="bottom"/>
            <w:shd w:val="clear" w:color="auto" w:fill="E5FFFF"/>
          </w:tcPr>
          <w:p>
            <w:pPr>
              <w:ind w:left="180"/>
              <w:spacing w:after="0" w:line="202" w:lineRule="exact"/>
              <w:rPr>
                <w:sz w:val="20"/>
                <w:szCs w:val="20"/>
                <w:color w:val="auto"/>
              </w:rPr>
            </w:pPr>
            <w:r>
              <w:rPr>
                <w:rFonts w:ascii="Arial" w:cs="Arial" w:eastAsia="Arial" w:hAnsi="Arial"/>
                <w:sz w:val="18"/>
                <w:szCs w:val="18"/>
                <w:color w:val="auto"/>
              </w:rPr>
              <w:t>Foreign currency translation</w:t>
            </w:r>
          </w:p>
        </w:tc>
        <w:tc>
          <w:tcPr>
            <w:tcW w:w="126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16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(4)</w:t>
            </w:r>
          </w:p>
        </w:tc>
        <w:tc>
          <w:tcPr>
            <w:tcW w:w="360" w:type="dxa"/>
            <w:vAlign w:val="bottom"/>
            <w:shd w:val="clear" w:color="auto" w:fill="E5FFFF"/>
          </w:tcPr>
          <w:p>
            <w:pPr>
              <w:spacing w:after="0"/>
              <w:rPr>
                <w:sz w:val="17"/>
                <w:szCs w:val="17"/>
                <w:color w:val="auto"/>
              </w:rPr>
            </w:pPr>
          </w:p>
        </w:tc>
        <w:tc>
          <w:tcPr>
            <w:tcW w:w="180" w:type="dxa"/>
            <w:vAlign w:val="bottom"/>
            <w:shd w:val="clear" w:color="auto" w:fill="E5FFFF"/>
          </w:tcPr>
          <w:p>
            <w:pPr>
              <w:spacing w:after="0"/>
              <w:rPr>
                <w:sz w:val="17"/>
                <w:szCs w:val="17"/>
                <w:color w:val="auto"/>
              </w:rPr>
            </w:pPr>
          </w:p>
        </w:tc>
        <w:tc>
          <w:tcPr>
            <w:tcW w:w="1180" w:type="dxa"/>
            <w:vAlign w:val="bottom"/>
            <w:shd w:val="clear" w:color="auto" w:fill="E5FFFF"/>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340" w:type="dxa"/>
            <w:vAlign w:val="bottom"/>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1080" w:type="dxa"/>
            <w:vAlign w:val="bottom"/>
            <w:shd w:val="clear" w:color="auto" w:fill="E5FFFF"/>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320" w:type="dxa"/>
            <w:vAlign w:val="bottom"/>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104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(4)</w:t>
            </w:r>
          </w:p>
        </w:tc>
      </w:tr>
      <w:tr>
        <w:trPr>
          <w:trHeight w:val="203"/>
        </w:trPr>
        <w:tc>
          <w:tcPr>
            <w:tcW w:w="3680" w:type="dxa"/>
            <w:vAlign w:val="bottom"/>
            <w:tcBorders>
              <w:bottom w:val="single" w:sz="8" w:color="E5FFFF"/>
            </w:tcBorders>
          </w:tcPr>
          <w:p>
            <w:pPr>
              <w:ind w:left="180"/>
              <w:spacing w:after="0" w:line="202" w:lineRule="exact"/>
              <w:rPr>
                <w:sz w:val="20"/>
                <w:szCs w:val="20"/>
                <w:color w:val="auto"/>
              </w:rPr>
            </w:pPr>
            <w:r>
              <w:rPr>
                <w:rFonts w:ascii="Arial" w:cs="Arial" w:eastAsia="Arial" w:hAnsi="Arial"/>
                <w:sz w:val="18"/>
                <w:szCs w:val="18"/>
                <w:color w:val="auto"/>
              </w:rPr>
              <w:t>Adjustments</w:t>
            </w:r>
          </w:p>
        </w:tc>
        <w:tc>
          <w:tcPr>
            <w:tcW w:w="1260" w:type="dxa"/>
            <w:vAlign w:val="bottom"/>
            <w:tcBorders>
              <w:bottom w:val="single" w:sz="8" w:color="E5FF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w:t>
            </w:r>
          </w:p>
        </w:tc>
        <w:tc>
          <w:tcPr>
            <w:tcW w:w="360" w:type="dxa"/>
            <w:vAlign w:val="bottom"/>
            <w:tcBorders>
              <w:bottom w:val="single" w:sz="8" w:color="E5FF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14"/>
              <w:spacing w:after="0" w:line="202" w:lineRule="exact"/>
              <w:rPr>
                <w:sz w:val="20"/>
                <w:szCs w:val="20"/>
                <w:color w:val="auto"/>
              </w:rPr>
            </w:pPr>
            <w:r>
              <w:rPr>
                <w:rFonts w:ascii="Arial" w:cs="Arial" w:eastAsia="Arial" w:hAnsi="Arial"/>
                <w:sz w:val="18"/>
                <w:szCs w:val="18"/>
                <w:color w:val="auto"/>
              </w:rPr>
              <w:t>1</w:t>
            </w:r>
          </w:p>
        </w:tc>
        <w:tc>
          <w:tcPr>
            <w:tcW w:w="340" w:type="dxa"/>
            <w:vAlign w:val="bottom"/>
            <w:tcBorders>
              <w:bottom w:val="single" w:sz="8" w:color="E5FF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320" w:type="dxa"/>
            <w:vAlign w:val="bottom"/>
            <w:tcBorders>
              <w:bottom w:val="single" w:sz="8" w:color="E5FF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w:t>
            </w:r>
          </w:p>
        </w:tc>
      </w:tr>
      <w:tr>
        <w:trPr>
          <w:trHeight w:val="196"/>
        </w:trPr>
        <w:tc>
          <w:tcPr>
            <w:tcW w:w="3680" w:type="dxa"/>
            <w:vAlign w:val="bottom"/>
            <w:tcBorders>
              <w:bottom w:val="single" w:sz="8" w:color="E5FFFF"/>
            </w:tcBorders>
            <w:shd w:val="clear" w:color="auto" w:fill="E5FFFF"/>
          </w:tcPr>
          <w:p>
            <w:pPr>
              <w:spacing w:after="0" w:line="196" w:lineRule="exact"/>
              <w:rPr>
                <w:sz w:val="20"/>
                <w:szCs w:val="20"/>
                <w:color w:val="auto"/>
              </w:rPr>
            </w:pPr>
            <w:r>
              <w:rPr>
                <w:rFonts w:ascii="Arial" w:cs="Arial" w:eastAsia="Arial" w:hAnsi="Arial"/>
                <w:sz w:val="18"/>
                <w:szCs w:val="18"/>
                <w:color w:val="auto"/>
              </w:rPr>
              <w:t>June 30, 2018</w:t>
            </w:r>
          </w:p>
        </w:tc>
        <w:tc>
          <w:tcPr>
            <w:tcW w:w="1260" w:type="dxa"/>
            <w:vAlign w:val="bottom"/>
            <w:tcBorders>
              <w:bottom w:val="single" w:sz="8" w:color="E5FFFF"/>
            </w:tcBorders>
            <w:shd w:val="clear" w:color="auto" w:fill="E5FFFF"/>
          </w:tcPr>
          <w:p>
            <w:pPr>
              <w:spacing w:after="0"/>
              <w:rPr>
                <w:sz w:val="17"/>
                <w:szCs w:val="17"/>
                <w:color w:val="auto"/>
              </w:rPr>
            </w:pPr>
          </w:p>
        </w:tc>
        <w:tc>
          <w:tcPr>
            <w:tcW w:w="220" w:type="dxa"/>
            <w:vAlign w:val="bottom"/>
            <w:tcBorders>
              <w:bottom w:val="single" w:sz="8" w:color="auto"/>
            </w:tcBorders>
            <w:shd w:val="clear" w:color="auto" w:fill="E5FF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E5FFFF"/>
          </w:tcPr>
          <w:p>
            <w:pPr>
              <w:jc w:val="right"/>
              <w:ind w:right="34"/>
              <w:spacing w:after="0" w:line="196" w:lineRule="exact"/>
              <w:rPr>
                <w:sz w:val="20"/>
                <w:szCs w:val="20"/>
                <w:color w:val="auto"/>
              </w:rPr>
            </w:pPr>
            <w:r>
              <w:rPr>
                <w:rFonts w:ascii="Arial" w:cs="Arial" w:eastAsia="Arial" w:hAnsi="Arial"/>
                <w:sz w:val="18"/>
                <w:szCs w:val="18"/>
                <w:color w:val="auto"/>
              </w:rPr>
              <w:t>372</w:t>
            </w:r>
          </w:p>
        </w:tc>
        <w:tc>
          <w:tcPr>
            <w:tcW w:w="360" w:type="dxa"/>
            <w:vAlign w:val="bottom"/>
            <w:tcBorders>
              <w:bottom w:val="single" w:sz="8" w:color="E5FFFF"/>
            </w:tcBorders>
            <w:shd w:val="clear" w:color="auto" w:fill="E5FFFF"/>
          </w:tcPr>
          <w:p>
            <w:pPr>
              <w:spacing w:after="0"/>
              <w:rPr>
                <w:sz w:val="17"/>
                <w:szCs w:val="17"/>
                <w:color w:val="auto"/>
              </w:rPr>
            </w:pPr>
          </w:p>
        </w:tc>
        <w:tc>
          <w:tcPr>
            <w:tcW w:w="180" w:type="dxa"/>
            <w:vAlign w:val="bottom"/>
            <w:tcBorders>
              <w:bottom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E5FFFF"/>
          </w:tcPr>
          <w:p>
            <w:pPr>
              <w:jc w:val="right"/>
              <w:ind w:right="14"/>
              <w:spacing w:after="0" w:line="196" w:lineRule="exact"/>
              <w:rPr>
                <w:sz w:val="20"/>
                <w:szCs w:val="20"/>
                <w:color w:val="auto"/>
              </w:rPr>
            </w:pPr>
            <w:r>
              <w:rPr>
                <w:rFonts w:ascii="Arial" w:cs="Arial" w:eastAsia="Arial" w:hAnsi="Arial"/>
                <w:sz w:val="18"/>
                <w:szCs w:val="18"/>
                <w:color w:val="auto"/>
              </w:rPr>
              <w:t>-</w:t>
            </w:r>
          </w:p>
        </w:tc>
        <w:tc>
          <w:tcPr>
            <w:tcW w:w="340" w:type="dxa"/>
            <w:vAlign w:val="bottom"/>
            <w:tcBorders>
              <w:bottom w:val="single" w:sz="8" w:color="E5FFFF"/>
            </w:tcBorders>
            <w:shd w:val="clear" w:color="auto" w:fill="E5FFFF"/>
          </w:tcPr>
          <w:p>
            <w:pPr>
              <w:spacing w:after="0"/>
              <w:rPr>
                <w:sz w:val="17"/>
                <w:szCs w:val="17"/>
                <w:color w:val="auto"/>
              </w:rPr>
            </w:pPr>
          </w:p>
        </w:tc>
        <w:tc>
          <w:tcPr>
            <w:tcW w:w="280" w:type="dxa"/>
            <w:vAlign w:val="bottom"/>
            <w:tcBorders>
              <w:bottom w:val="single" w:sz="8" w:color="auto"/>
            </w:tcBorders>
            <w:shd w:val="clear" w:color="auto" w:fill="E5FF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E5FFFF"/>
          </w:tcPr>
          <w:p>
            <w:pPr>
              <w:jc w:val="right"/>
              <w:ind w:right="34"/>
              <w:spacing w:after="0" w:line="196" w:lineRule="exact"/>
              <w:rPr>
                <w:sz w:val="20"/>
                <w:szCs w:val="20"/>
                <w:color w:val="auto"/>
              </w:rPr>
            </w:pPr>
            <w:r>
              <w:rPr>
                <w:rFonts w:ascii="Arial" w:cs="Arial" w:eastAsia="Arial" w:hAnsi="Arial"/>
                <w:sz w:val="18"/>
                <w:szCs w:val="18"/>
                <w:color w:val="auto"/>
              </w:rPr>
              <w:t>68</w:t>
            </w:r>
          </w:p>
        </w:tc>
        <w:tc>
          <w:tcPr>
            <w:tcW w:w="320" w:type="dxa"/>
            <w:vAlign w:val="bottom"/>
            <w:tcBorders>
              <w:bottom w:val="single" w:sz="8" w:color="E5FFFF"/>
            </w:tcBorders>
            <w:shd w:val="clear" w:color="auto" w:fill="E5FFFF"/>
          </w:tcPr>
          <w:p>
            <w:pPr>
              <w:spacing w:after="0"/>
              <w:rPr>
                <w:sz w:val="17"/>
                <w:szCs w:val="17"/>
                <w:color w:val="auto"/>
              </w:rPr>
            </w:pPr>
          </w:p>
        </w:tc>
        <w:tc>
          <w:tcPr>
            <w:tcW w:w="320" w:type="dxa"/>
            <w:vAlign w:val="bottom"/>
            <w:tcBorders>
              <w:bottom w:val="single" w:sz="8" w:color="auto"/>
            </w:tcBorders>
            <w:shd w:val="clear" w:color="auto" w:fill="E5FFFF"/>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E5FFFF"/>
          </w:tcPr>
          <w:p>
            <w:pPr>
              <w:jc w:val="right"/>
              <w:ind w:right="12"/>
              <w:spacing w:after="0" w:line="196" w:lineRule="exact"/>
              <w:rPr>
                <w:sz w:val="20"/>
                <w:szCs w:val="20"/>
                <w:color w:val="auto"/>
              </w:rPr>
            </w:pPr>
            <w:r>
              <w:rPr>
                <w:rFonts w:ascii="Arial" w:cs="Arial" w:eastAsia="Arial" w:hAnsi="Arial"/>
                <w:sz w:val="18"/>
                <w:szCs w:val="18"/>
                <w:color w:val="auto"/>
              </w:rPr>
              <w:t>440</w:t>
            </w:r>
          </w:p>
        </w:tc>
      </w:tr>
      <w:tr>
        <w:trPr>
          <w:trHeight w:val="20"/>
        </w:trPr>
        <w:tc>
          <w:tcPr>
            <w:tcW w:w="36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8"/>
          <w:szCs w:val="18"/>
          <w:color w:val="auto"/>
        </w:rPr>
        <w:t>Certain repositioning projects in 2018 and 2017 included exit or disposal activities, the costs related to which will be recognized in future periods when the actual liability is incurred. Such exit and disposal costs are not expected to be significant.</w:t>
      </w:r>
    </w:p>
    <w:p>
      <w:pPr>
        <w:spacing w:after="0" w:line="183" w:lineRule="exact"/>
        <w:rPr>
          <w:sz w:val="20"/>
          <w:szCs w:val="20"/>
          <w:color w:val="auto"/>
        </w:rPr>
      </w:pPr>
    </w:p>
    <w:p>
      <w:pPr>
        <w:jc w:val="both"/>
        <w:ind w:right="20" w:firstLine="648"/>
        <w:spacing w:after="0" w:line="246" w:lineRule="auto"/>
        <w:rPr>
          <w:sz w:val="20"/>
          <w:szCs w:val="20"/>
          <w:color w:val="auto"/>
        </w:rPr>
      </w:pPr>
      <w:r>
        <w:rPr>
          <w:rFonts w:ascii="Arial" w:cs="Arial" w:eastAsia="Arial" w:hAnsi="Arial"/>
          <w:sz w:val="18"/>
          <w:szCs w:val="18"/>
          <w:color w:val="auto"/>
        </w:rPr>
        <w:t>In both the quarter and six months ended June 30, 2018, the other charge of $29 million relates to reserves taken due to the required wind-down of our activities in Iran.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Other (Income) Expense</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94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80" w:type="dxa"/>
            <w:vAlign w:val="bottom"/>
            <w:gridSpan w:val="4"/>
          </w:tcPr>
          <w:p>
            <w:pPr>
              <w:jc w:val="right"/>
              <w:spacing w:after="0"/>
              <w:rPr>
                <w:sz w:val="20"/>
                <w:szCs w:val="20"/>
                <w:color w:val="auto"/>
              </w:rPr>
            </w:pPr>
            <w:r>
              <w:rPr>
                <w:rFonts w:ascii="Arial" w:cs="Arial" w:eastAsia="Arial" w:hAnsi="Arial"/>
                <w:sz w:val="14"/>
                <w:szCs w:val="14"/>
                <w:b w:val="1"/>
                <w:bCs w:val="1"/>
                <w:color w:val="auto"/>
              </w:rPr>
              <w:t>Six Months Ended</w:t>
            </w: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gridSpan w:val="3"/>
          </w:tcPr>
          <w:p>
            <w:pPr>
              <w:jc w:val="right"/>
              <w:ind w:right="330"/>
              <w:spacing w:after="0"/>
              <w:rPr>
                <w:sz w:val="20"/>
                <w:szCs w:val="20"/>
                <w:color w:val="auto"/>
              </w:rPr>
            </w:pPr>
            <w:r>
              <w:rPr>
                <w:rFonts w:ascii="Arial" w:cs="Arial" w:eastAsia="Arial" w:hAnsi="Arial"/>
                <w:sz w:val="14"/>
                <w:szCs w:val="14"/>
                <w:b w:val="1"/>
                <w:bCs w:val="1"/>
                <w:color w:val="auto"/>
              </w:rPr>
              <w:t>June 30,</w:t>
            </w:r>
          </w:p>
        </w:tc>
        <w:tc>
          <w:tcPr>
            <w:tcW w:w="840" w:type="dxa"/>
            <w:vAlign w:val="bottom"/>
            <w:tcBorders>
              <w:bottom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gridSpan w:val="4"/>
          </w:tcPr>
          <w:p>
            <w:pPr>
              <w:jc w:val="right"/>
              <w:ind w:right="305"/>
              <w:spacing w:after="0"/>
              <w:rPr>
                <w:sz w:val="20"/>
                <w:szCs w:val="20"/>
                <w:color w:val="auto"/>
              </w:rPr>
            </w:pPr>
            <w:r>
              <w:rPr>
                <w:rFonts w:ascii="Arial" w:cs="Arial" w:eastAsia="Arial" w:hAnsi="Arial"/>
                <w:sz w:val="14"/>
                <w:szCs w:val="14"/>
                <w:b w:val="1"/>
                <w:bCs w:val="1"/>
                <w:color w:val="auto"/>
              </w:rPr>
              <w:t>June 30,</w:t>
            </w:r>
          </w:p>
        </w:tc>
        <w:tc>
          <w:tcPr>
            <w:tcW w:w="8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435"/>
              <w:spacing w:after="0" w:line="155" w:lineRule="exact"/>
              <w:rPr>
                <w:sz w:val="20"/>
                <w:szCs w:val="20"/>
                <w:color w:val="auto"/>
              </w:rPr>
            </w:pPr>
            <w:r>
              <w:rPr>
                <w:rFonts w:ascii="Arial" w:cs="Arial" w:eastAsia="Arial" w:hAnsi="Arial"/>
                <w:sz w:val="14"/>
                <w:szCs w:val="14"/>
                <w:b w:val="1"/>
                <w:bCs w:val="1"/>
                <w:color w:val="auto"/>
              </w:rPr>
              <w:t>2018</w:t>
            </w:r>
          </w:p>
        </w:tc>
        <w:tc>
          <w:tcPr>
            <w:tcW w:w="360" w:type="dxa"/>
            <w:vAlign w:val="bottom"/>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432"/>
              <w:spacing w:after="0" w:line="155" w:lineRule="exact"/>
              <w:rPr>
                <w:sz w:val="20"/>
                <w:szCs w:val="20"/>
                <w:color w:val="auto"/>
              </w:rPr>
            </w:pPr>
            <w:r>
              <w:rPr>
                <w:rFonts w:ascii="Arial" w:cs="Arial" w:eastAsia="Arial" w:hAnsi="Arial"/>
                <w:sz w:val="14"/>
                <w:szCs w:val="14"/>
                <w:b w:val="1"/>
                <w:bCs w:val="1"/>
                <w:color w:val="auto"/>
                <w:w w:val="96"/>
              </w:rPr>
              <w:t>2017</w:t>
            </w:r>
          </w:p>
        </w:tc>
        <w:tc>
          <w:tcPr>
            <w:tcW w:w="34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435"/>
              <w:spacing w:after="0" w:line="155" w:lineRule="exact"/>
              <w:rPr>
                <w:sz w:val="20"/>
                <w:szCs w:val="20"/>
                <w:color w:val="auto"/>
              </w:rPr>
            </w:pPr>
            <w:r>
              <w:rPr>
                <w:rFonts w:ascii="Arial" w:cs="Arial" w:eastAsia="Arial" w:hAnsi="Arial"/>
                <w:sz w:val="14"/>
                <w:szCs w:val="14"/>
                <w:b w:val="1"/>
                <w:bCs w:val="1"/>
                <w:color w:val="auto"/>
              </w:rPr>
              <w:t>2018</w:t>
            </w:r>
          </w:p>
        </w:tc>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432"/>
              <w:spacing w:after="0" w:line="155" w:lineRule="exact"/>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4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16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Interest income</w:t>
            </w:r>
          </w:p>
        </w:tc>
        <w:tc>
          <w:tcPr>
            <w:tcW w:w="1080" w:type="dxa"/>
            <w:vAlign w:val="bottom"/>
            <w:gridSpan w:val="2"/>
            <w:shd w:val="clear" w:color="auto" w:fill="E5FFFF"/>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106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(49)</w:t>
            </w:r>
          </w:p>
        </w:tc>
        <w:tc>
          <w:tcPr>
            <w:tcW w:w="880" w:type="dxa"/>
            <w:vAlign w:val="bottom"/>
            <w:gridSpan w:val="2"/>
            <w:shd w:val="clear" w:color="auto" w:fill="E5FFFF"/>
          </w:tcPr>
          <w:p>
            <w:pPr>
              <w:jc w:val="right"/>
              <w:ind w:right="330"/>
              <w:spacing w:after="0" w:line="202" w:lineRule="exact"/>
              <w:rPr>
                <w:sz w:val="20"/>
                <w:szCs w:val="20"/>
                <w:color w:val="auto"/>
              </w:rPr>
            </w:pPr>
            <w:r>
              <w:rPr>
                <w:rFonts w:ascii="Arial" w:cs="Arial" w:eastAsia="Arial" w:hAnsi="Arial"/>
                <w:sz w:val="18"/>
                <w:szCs w:val="18"/>
                <w:color w:val="auto"/>
              </w:rPr>
              <w:t>$</w:t>
            </w:r>
          </w:p>
        </w:tc>
        <w:tc>
          <w:tcPr>
            <w:tcW w:w="84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(36)</w:t>
            </w:r>
          </w:p>
        </w:tc>
        <w:tc>
          <w:tcPr>
            <w:tcW w:w="640" w:type="dxa"/>
            <w:vAlign w:val="bottom"/>
            <w:gridSpan w:val="2"/>
            <w:shd w:val="clear" w:color="auto" w:fill="E5FFFF"/>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06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(99)</w:t>
            </w:r>
          </w:p>
        </w:tc>
        <w:tc>
          <w:tcPr>
            <w:tcW w:w="320" w:type="dxa"/>
            <w:vAlign w:val="bottom"/>
            <w:shd w:val="clear" w:color="auto" w:fill="E5FFFF"/>
          </w:tcPr>
          <w:p>
            <w:pPr>
              <w:spacing w:after="0"/>
              <w:rPr>
                <w:sz w:val="17"/>
                <w:szCs w:val="17"/>
                <w:color w:val="auto"/>
              </w:rPr>
            </w:pPr>
          </w:p>
        </w:tc>
        <w:tc>
          <w:tcPr>
            <w:tcW w:w="500" w:type="dxa"/>
            <w:vAlign w:val="bottom"/>
            <w:gridSpan w:val="2"/>
            <w:shd w:val="clear" w:color="auto" w:fill="E5FFFF"/>
          </w:tcPr>
          <w:p>
            <w:pPr>
              <w:jc w:val="right"/>
              <w:ind w:right="325"/>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60" w:type="dxa"/>
            <w:vAlign w:val="bottom"/>
          </w:tcPr>
          <w:p>
            <w:pPr>
              <w:spacing w:after="0" w:line="202" w:lineRule="exact"/>
              <w:rPr>
                <w:sz w:val="20"/>
                <w:szCs w:val="20"/>
                <w:color w:val="auto"/>
              </w:rPr>
            </w:pPr>
            <w:r>
              <w:rPr>
                <w:rFonts w:ascii="Arial" w:cs="Arial" w:eastAsia="Arial" w:hAnsi="Arial"/>
                <w:sz w:val="18"/>
                <w:szCs w:val="18"/>
                <w:color w:val="auto"/>
              </w:rPr>
              <w:t>Pension ongoing income – non-service</w:t>
            </w: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(301)</w:t>
            </w:r>
          </w:p>
        </w:tc>
        <w:tc>
          <w:tcPr>
            <w:tcW w:w="3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(243)</w:t>
            </w: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(605)</w:t>
            </w: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(485)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6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Other postretirement income – non-service</w:t>
            </w:r>
          </w:p>
        </w:tc>
        <w:tc>
          <w:tcPr>
            <w:tcW w:w="760" w:type="dxa"/>
            <w:vAlign w:val="bottom"/>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106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(6)</w:t>
            </w:r>
          </w:p>
        </w:tc>
        <w:tc>
          <w:tcPr>
            <w:tcW w:w="360" w:type="dxa"/>
            <w:vAlign w:val="bottom"/>
            <w:shd w:val="clear" w:color="auto" w:fill="E5FFFF"/>
          </w:tcPr>
          <w:p>
            <w:pPr>
              <w:spacing w:after="0"/>
              <w:rPr>
                <w:sz w:val="17"/>
                <w:szCs w:val="17"/>
                <w:color w:val="auto"/>
              </w:rPr>
            </w:pPr>
          </w:p>
        </w:tc>
        <w:tc>
          <w:tcPr>
            <w:tcW w:w="520" w:type="dxa"/>
            <w:vAlign w:val="bottom"/>
            <w:shd w:val="clear" w:color="auto" w:fill="E5FFFF"/>
          </w:tcPr>
          <w:p>
            <w:pPr>
              <w:spacing w:after="0"/>
              <w:rPr>
                <w:sz w:val="17"/>
                <w:szCs w:val="17"/>
                <w:color w:val="auto"/>
              </w:rPr>
            </w:pPr>
          </w:p>
        </w:tc>
        <w:tc>
          <w:tcPr>
            <w:tcW w:w="84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(6)</w:t>
            </w:r>
          </w:p>
        </w:tc>
        <w:tc>
          <w:tcPr>
            <w:tcW w:w="34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106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(12)</w:t>
            </w:r>
          </w:p>
        </w:tc>
        <w:tc>
          <w:tcPr>
            <w:tcW w:w="32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480" w:type="dxa"/>
            <w:vAlign w:val="bottom"/>
            <w:shd w:val="clear" w:color="auto" w:fill="E5FFFF"/>
          </w:tcPr>
          <w:p>
            <w:pPr>
              <w:spacing w:after="0"/>
              <w:rPr>
                <w:sz w:val="17"/>
                <w:szCs w:val="17"/>
                <w:color w:val="auto"/>
              </w:rPr>
            </w:pPr>
          </w:p>
        </w:tc>
        <w:tc>
          <w:tcPr>
            <w:tcW w:w="86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60" w:type="dxa"/>
            <w:vAlign w:val="bottom"/>
          </w:tcPr>
          <w:p>
            <w:pPr>
              <w:spacing w:after="0" w:line="202" w:lineRule="exact"/>
              <w:rPr>
                <w:sz w:val="20"/>
                <w:szCs w:val="20"/>
                <w:color w:val="auto"/>
              </w:rPr>
            </w:pPr>
            <w:r>
              <w:rPr>
                <w:rFonts w:ascii="Arial" w:cs="Arial" w:eastAsia="Arial" w:hAnsi="Arial"/>
                <w:sz w:val="18"/>
                <w:szCs w:val="18"/>
                <w:color w:val="auto"/>
              </w:rPr>
              <w:t>Equity income of affiliated companies</w:t>
            </w: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(13)</w:t>
            </w:r>
          </w:p>
        </w:tc>
        <w:tc>
          <w:tcPr>
            <w:tcW w:w="3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(11)</w:t>
            </w: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(24)</w:t>
            </w: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6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Foreign exchange</w:t>
            </w:r>
          </w:p>
        </w:tc>
        <w:tc>
          <w:tcPr>
            <w:tcW w:w="760" w:type="dxa"/>
            <w:vAlign w:val="bottom"/>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106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(11)</w:t>
            </w:r>
          </w:p>
        </w:tc>
        <w:tc>
          <w:tcPr>
            <w:tcW w:w="360" w:type="dxa"/>
            <w:vAlign w:val="bottom"/>
            <w:shd w:val="clear" w:color="auto" w:fill="E5FFFF"/>
          </w:tcPr>
          <w:p>
            <w:pPr>
              <w:spacing w:after="0"/>
              <w:rPr>
                <w:sz w:val="17"/>
                <w:szCs w:val="17"/>
                <w:color w:val="auto"/>
              </w:rPr>
            </w:pPr>
          </w:p>
        </w:tc>
        <w:tc>
          <w:tcPr>
            <w:tcW w:w="520" w:type="dxa"/>
            <w:vAlign w:val="bottom"/>
            <w:shd w:val="clear" w:color="auto" w:fill="E5FFFF"/>
          </w:tcPr>
          <w:p>
            <w:pPr>
              <w:spacing w:after="0"/>
              <w:rPr>
                <w:sz w:val="17"/>
                <w:szCs w:val="17"/>
                <w:color w:val="auto"/>
              </w:rPr>
            </w:pPr>
          </w:p>
        </w:tc>
        <w:tc>
          <w:tcPr>
            <w:tcW w:w="840" w:type="dxa"/>
            <w:vAlign w:val="bottom"/>
            <w:shd w:val="clear" w:color="auto" w:fill="E5FFFF"/>
          </w:tcPr>
          <w:p>
            <w:pPr>
              <w:jc w:val="right"/>
              <w:ind w:right="12"/>
              <w:spacing w:after="0" w:line="202" w:lineRule="exact"/>
              <w:rPr>
                <w:sz w:val="20"/>
                <w:szCs w:val="20"/>
                <w:color w:val="auto"/>
              </w:rPr>
            </w:pPr>
            <w:r>
              <w:rPr>
                <w:rFonts w:ascii="Arial" w:cs="Arial" w:eastAsia="Arial" w:hAnsi="Arial"/>
                <w:sz w:val="18"/>
                <w:szCs w:val="18"/>
                <w:color w:val="auto"/>
              </w:rPr>
              <w:t>4</w:t>
            </w:r>
          </w:p>
        </w:tc>
        <w:tc>
          <w:tcPr>
            <w:tcW w:w="34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106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(12)</w:t>
            </w:r>
          </w:p>
        </w:tc>
        <w:tc>
          <w:tcPr>
            <w:tcW w:w="32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480" w:type="dxa"/>
            <w:vAlign w:val="bottom"/>
            <w:shd w:val="clear" w:color="auto" w:fill="E5FFFF"/>
          </w:tcPr>
          <w:p>
            <w:pPr>
              <w:spacing w:after="0"/>
              <w:rPr>
                <w:sz w:val="17"/>
                <w:szCs w:val="17"/>
                <w:color w:val="auto"/>
              </w:rPr>
            </w:pPr>
          </w:p>
        </w:tc>
        <w:tc>
          <w:tcPr>
            <w:tcW w:w="860" w:type="dxa"/>
            <w:vAlign w:val="bottom"/>
            <w:shd w:val="clear" w:color="auto" w:fill="E5FFFF"/>
          </w:tcPr>
          <w:p>
            <w:pPr>
              <w:jc w:val="right"/>
              <w:ind w:right="12"/>
              <w:spacing w:after="0" w:line="202"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60" w:type="dxa"/>
            <w:vAlign w:val="bottom"/>
          </w:tcPr>
          <w:p>
            <w:pPr>
              <w:spacing w:after="0" w:line="202" w:lineRule="exact"/>
              <w:rPr>
                <w:sz w:val="20"/>
                <w:szCs w:val="20"/>
                <w:color w:val="auto"/>
              </w:rPr>
            </w:pPr>
            <w:r>
              <w:rPr>
                <w:rFonts w:ascii="Arial" w:cs="Arial" w:eastAsia="Arial" w:hAnsi="Arial"/>
                <w:sz w:val="18"/>
                <w:szCs w:val="18"/>
                <w:color w:val="auto"/>
              </w:rPr>
              <w:t>Separation costs</w:t>
            </w: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ind w:right="35"/>
              <w:spacing w:after="0" w:line="202" w:lineRule="exact"/>
              <w:rPr>
                <w:sz w:val="20"/>
                <w:szCs w:val="20"/>
                <w:color w:val="auto"/>
              </w:rPr>
            </w:pPr>
            <w:r>
              <w:rPr>
                <w:rFonts w:ascii="Arial" w:cs="Arial" w:eastAsia="Arial" w:hAnsi="Arial"/>
                <w:sz w:val="18"/>
                <w:szCs w:val="18"/>
                <w:color w:val="auto"/>
              </w:rPr>
              <w:t>63</w:t>
            </w:r>
          </w:p>
        </w:tc>
        <w:tc>
          <w:tcPr>
            <w:tcW w:w="3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4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ind w:right="35"/>
              <w:spacing w:after="0" w:line="202" w:lineRule="exact"/>
              <w:rPr>
                <w:sz w:val="20"/>
                <w:szCs w:val="20"/>
                <w:color w:val="auto"/>
              </w:rPr>
            </w:pPr>
            <w:r>
              <w:rPr>
                <w:rFonts w:ascii="Arial" w:cs="Arial" w:eastAsia="Arial" w:hAnsi="Arial"/>
                <w:sz w:val="18"/>
                <w:szCs w:val="18"/>
                <w:color w:val="auto"/>
              </w:rPr>
              <w:t>118</w:t>
            </w: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6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6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Other (net)</w:t>
            </w:r>
          </w:p>
        </w:tc>
        <w:tc>
          <w:tcPr>
            <w:tcW w:w="760" w:type="dxa"/>
            <w:vAlign w:val="bottom"/>
            <w:shd w:val="clear" w:color="auto" w:fill="E5FFFF"/>
          </w:tcPr>
          <w:p>
            <w:pPr>
              <w:spacing w:after="0"/>
              <w:rPr>
                <w:sz w:val="17"/>
                <w:szCs w:val="17"/>
                <w:color w:val="auto"/>
              </w:rPr>
            </w:pPr>
          </w:p>
        </w:tc>
        <w:tc>
          <w:tcPr>
            <w:tcW w:w="320" w:type="dxa"/>
            <w:vAlign w:val="bottom"/>
            <w:tcBorders>
              <w:bottom w:val="single" w:sz="8" w:color="auto"/>
            </w:tcBorders>
            <w:shd w:val="clear" w:color="auto" w:fill="E5FFFF"/>
          </w:tcPr>
          <w:p>
            <w:pPr>
              <w:spacing w:after="0"/>
              <w:rPr>
                <w:sz w:val="17"/>
                <w:szCs w:val="17"/>
                <w:color w:val="auto"/>
              </w:rPr>
            </w:pPr>
          </w:p>
        </w:tc>
        <w:tc>
          <w:tcPr>
            <w:tcW w:w="1060" w:type="dxa"/>
            <w:vAlign w:val="bottom"/>
            <w:tcBorders>
              <w:bottom w:val="single" w:sz="8" w:color="auto"/>
            </w:tcBorders>
            <w:shd w:val="clear" w:color="auto" w:fill="E5FFFF"/>
          </w:tcPr>
          <w:p>
            <w:pPr>
              <w:jc w:val="right"/>
              <w:ind w:right="35"/>
              <w:spacing w:after="0" w:line="202" w:lineRule="exact"/>
              <w:rPr>
                <w:sz w:val="20"/>
                <w:szCs w:val="20"/>
                <w:color w:val="auto"/>
              </w:rPr>
            </w:pPr>
            <w:r>
              <w:rPr>
                <w:rFonts w:ascii="Arial" w:cs="Arial" w:eastAsia="Arial" w:hAnsi="Arial"/>
                <w:sz w:val="18"/>
                <w:szCs w:val="18"/>
                <w:color w:val="auto"/>
              </w:rPr>
              <w:t>1</w:t>
            </w:r>
          </w:p>
        </w:tc>
        <w:tc>
          <w:tcPr>
            <w:tcW w:w="360" w:type="dxa"/>
            <w:vAlign w:val="bottom"/>
            <w:shd w:val="clear" w:color="auto" w:fill="E5FFFF"/>
          </w:tcPr>
          <w:p>
            <w:pPr>
              <w:spacing w:after="0"/>
              <w:rPr>
                <w:sz w:val="17"/>
                <w:szCs w:val="17"/>
                <w:color w:val="auto"/>
              </w:rPr>
            </w:pPr>
          </w:p>
        </w:tc>
        <w:tc>
          <w:tcPr>
            <w:tcW w:w="520" w:type="dxa"/>
            <w:vAlign w:val="bottom"/>
            <w:tcBorders>
              <w:bottom w:val="single" w:sz="8" w:color="auto"/>
            </w:tcBorders>
            <w:shd w:val="clear" w:color="auto" w:fill="E5FFFF"/>
          </w:tcPr>
          <w:p>
            <w:pPr>
              <w:spacing w:after="0"/>
              <w:rPr>
                <w:sz w:val="17"/>
                <w:szCs w:val="17"/>
                <w:color w:val="auto"/>
              </w:rPr>
            </w:pPr>
          </w:p>
        </w:tc>
        <w:tc>
          <w:tcPr>
            <w:tcW w:w="840" w:type="dxa"/>
            <w:vAlign w:val="bottom"/>
            <w:tcBorders>
              <w:bottom w:val="single" w:sz="8" w:color="auto"/>
            </w:tcBorders>
            <w:shd w:val="clear" w:color="auto" w:fill="E5FFFF"/>
          </w:tcPr>
          <w:p>
            <w:pPr>
              <w:jc w:val="right"/>
              <w:ind w:right="12"/>
              <w:spacing w:after="0" w:line="202" w:lineRule="exact"/>
              <w:rPr>
                <w:sz w:val="20"/>
                <w:szCs w:val="20"/>
                <w:color w:val="auto"/>
              </w:rPr>
            </w:pPr>
            <w:r>
              <w:rPr>
                <w:rFonts w:ascii="Arial" w:cs="Arial" w:eastAsia="Arial" w:hAnsi="Arial"/>
                <w:sz w:val="18"/>
                <w:szCs w:val="18"/>
                <w:color w:val="auto"/>
              </w:rPr>
              <w:t>33</w:t>
            </w:r>
          </w:p>
        </w:tc>
        <w:tc>
          <w:tcPr>
            <w:tcW w:w="340" w:type="dxa"/>
            <w:vAlign w:val="bottom"/>
            <w:shd w:val="clear" w:color="auto" w:fill="E5FFFF"/>
          </w:tcPr>
          <w:p>
            <w:pPr>
              <w:spacing w:after="0"/>
              <w:rPr>
                <w:sz w:val="17"/>
                <w:szCs w:val="17"/>
                <w:color w:val="auto"/>
              </w:rPr>
            </w:pPr>
          </w:p>
        </w:tc>
        <w:tc>
          <w:tcPr>
            <w:tcW w:w="300" w:type="dxa"/>
            <w:vAlign w:val="bottom"/>
            <w:tcBorders>
              <w:bottom w:val="single" w:sz="8" w:color="auto"/>
            </w:tcBorders>
            <w:shd w:val="clear" w:color="auto" w:fill="E5FFFF"/>
          </w:tcPr>
          <w:p>
            <w:pPr>
              <w:spacing w:after="0"/>
              <w:rPr>
                <w:sz w:val="17"/>
                <w:szCs w:val="17"/>
                <w:color w:val="auto"/>
              </w:rPr>
            </w:pPr>
          </w:p>
        </w:tc>
        <w:tc>
          <w:tcPr>
            <w:tcW w:w="1060" w:type="dxa"/>
            <w:vAlign w:val="bottom"/>
            <w:tcBorders>
              <w:bottom w:val="single" w:sz="8" w:color="auto"/>
            </w:tcBorders>
            <w:shd w:val="clear" w:color="auto" w:fill="E5FFFF"/>
          </w:tcPr>
          <w:p>
            <w:pPr>
              <w:jc w:val="right"/>
              <w:ind w:right="35"/>
              <w:spacing w:after="0" w:line="202" w:lineRule="exact"/>
              <w:rPr>
                <w:sz w:val="20"/>
                <w:szCs w:val="20"/>
                <w:color w:val="auto"/>
              </w:rPr>
            </w:pPr>
            <w:r>
              <w:rPr>
                <w:rFonts w:ascii="Arial" w:cs="Arial" w:eastAsia="Arial" w:hAnsi="Arial"/>
                <w:sz w:val="18"/>
                <w:szCs w:val="18"/>
                <w:color w:val="auto"/>
              </w:rPr>
              <w:t>50</w:t>
            </w:r>
          </w:p>
        </w:tc>
        <w:tc>
          <w:tcPr>
            <w:tcW w:w="32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480" w:type="dxa"/>
            <w:vAlign w:val="bottom"/>
            <w:tcBorders>
              <w:bottom w:val="single" w:sz="8" w:color="auto"/>
            </w:tcBorders>
            <w:shd w:val="clear" w:color="auto" w:fill="E5FFFF"/>
          </w:tcPr>
          <w:p>
            <w:pPr>
              <w:spacing w:after="0"/>
              <w:rPr>
                <w:sz w:val="17"/>
                <w:szCs w:val="17"/>
                <w:color w:val="auto"/>
              </w:rPr>
            </w:pPr>
          </w:p>
        </w:tc>
        <w:tc>
          <w:tcPr>
            <w:tcW w:w="860" w:type="dxa"/>
            <w:vAlign w:val="bottom"/>
            <w:tcBorders>
              <w:bottom w:val="single" w:sz="8" w:color="auto"/>
            </w:tcBorders>
            <w:shd w:val="clear" w:color="auto" w:fill="E5FFFF"/>
          </w:tcPr>
          <w:p>
            <w:pPr>
              <w:jc w:val="right"/>
              <w:ind w:right="12"/>
              <w:spacing w:after="0" w:line="202" w:lineRule="exact"/>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(316)</w:t>
            </w:r>
          </w:p>
        </w:tc>
        <w:tc>
          <w:tcPr>
            <w:tcW w:w="360" w:type="dxa"/>
            <w:vAlign w:val="bottom"/>
          </w:tcPr>
          <w:p>
            <w:pPr>
              <w:spacing w:after="0"/>
              <w:rPr>
                <w:sz w:val="17"/>
                <w:szCs w:val="17"/>
                <w:color w:val="auto"/>
              </w:rPr>
            </w:pPr>
          </w:p>
        </w:tc>
        <w:tc>
          <w:tcPr>
            <w:tcW w:w="520" w:type="dxa"/>
            <w:vAlign w:val="bottom"/>
            <w:tcBorders>
              <w:bottom w:val="single" w:sz="8" w:color="auto"/>
            </w:tcBorders>
          </w:tcPr>
          <w:p>
            <w:pPr>
              <w:jc w:val="right"/>
              <w:ind w:right="33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(259)</w:t>
            </w:r>
          </w:p>
        </w:tc>
        <w:tc>
          <w:tcPr>
            <w:tcW w:w="340" w:type="dxa"/>
            <w:vAlign w:val="bottom"/>
          </w:tcPr>
          <w:p>
            <w:pPr>
              <w:spacing w:after="0"/>
              <w:rPr>
                <w:sz w:val="17"/>
                <w:szCs w:val="17"/>
                <w:color w:val="auto"/>
              </w:rPr>
            </w:pPr>
          </w:p>
        </w:tc>
        <w:tc>
          <w:tcPr>
            <w:tcW w:w="30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(584)</w:t>
            </w:r>
          </w:p>
        </w:tc>
        <w:tc>
          <w:tcPr>
            <w:tcW w:w="32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ind w:right="32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8"/>
          <w:szCs w:val="18"/>
          <w:color w:val="auto"/>
        </w:rPr>
        <w:t>Separation costs are associated with our previously announced spin-offs of our Homes and Global Distribution business and Transportation Systems business, and are primarily associated with third party services.</w:t>
      </w:r>
    </w:p>
    <w:p>
      <w:pPr>
        <w:spacing w:after="0" w:line="183" w:lineRule="exact"/>
        <w:rPr>
          <w:sz w:val="20"/>
          <w:szCs w:val="20"/>
          <w:color w:val="auto"/>
        </w:rPr>
      </w:pPr>
    </w:p>
    <w:p>
      <w:pPr>
        <w:jc w:val="both"/>
        <w:ind w:right="20" w:firstLine="648"/>
        <w:spacing w:after="0"/>
        <w:rPr>
          <w:sz w:val="20"/>
          <w:szCs w:val="20"/>
          <w:color w:val="auto"/>
        </w:rPr>
      </w:pPr>
      <w:r>
        <w:rPr>
          <w:rFonts w:ascii="Arial" w:cs="Arial" w:eastAsia="Arial" w:hAnsi="Arial"/>
          <w:sz w:val="18"/>
          <w:szCs w:val="18"/>
          <w:color w:val="auto"/>
        </w:rPr>
        <w:t xml:space="preserve">For the six months ended June 30, 2018 and three and six months ended June 30, 2017, Other (net) includes asset impairments in our Corporate segment related to the write-down of a legacy property in connection with its planned disposition. Refer to Note 3 </w:t>
      </w:r>
      <w:r>
        <w:rPr>
          <w:rFonts w:ascii="Arial" w:cs="Arial" w:eastAsia="Arial" w:hAnsi="Arial"/>
          <w:sz w:val="18"/>
          <w:szCs w:val="18"/>
          <w:i w:val="1"/>
          <w:iCs w:val="1"/>
          <w:color w:val="auto"/>
        </w:rPr>
        <w:t>Repositioning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Other Charges </w:t>
      </w:r>
      <w:r>
        <w:rPr>
          <w:rFonts w:ascii="Arial" w:cs="Arial" w:eastAsia="Arial" w:hAnsi="Arial"/>
          <w:sz w:val="18"/>
          <w:szCs w:val="18"/>
          <w:color w:val="auto"/>
        </w:rPr>
        <w:t>for further details.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Income Taxes</w:t>
      </w:r>
    </w:p>
    <w:p>
      <w:pPr>
        <w:spacing w:after="0" w:line="220"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The effective tax rate increased for the quarter primarily driven by $291 million of tax costs associated with the internal restructuring of the transportation systems business in advance of its anticipated spin-off and decreased tax benefits from employee share-based payments, partially offset by tax benefits from U.S. Tax Reform.</w:t>
      </w:r>
    </w:p>
    <w:p>
      <w:pPr>
        <w:spacing w:after="0" w:line="189"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The effective tax rate increased for the six months primarily driven by $291 million of tax costs associated with the internal restructuring of the transportation systems business in advance of its anticipated spin-off and decreased tax benefits from employee share-based payments, partially offset by tax benefits from U.S. Tax Reform and decreased tax expense for reserves.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0"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Honeywell International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jc w:val="center"/>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198"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The effective tax rate for the quarter and six months ended June 30, 2018 was higher than the U.S. federal statutory rate of 21% primarily from tax costs associated with the internal restructuring of the transportation systems business in advance of its anticipated spin-off, state income taxes and U.S tax reform’s expansion of the anti-deferral rules that impose U.S. taxes on foreign earnings.</w:t>
      </w:r>
    </w:p>
    <w:p>
      <w:pPr>
        <w:spacing w:after="0" w:line="189"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On December 22, 2017, the U.S. government enacted tax legislation that included changes to the taxation of foreign earnings by implementing a dividend exemption system, expansion of the current anti-deferral rules, a minimum tax on low-taxed foreign earnings and new measures to deter base erosion. The tax legislation also included a permanent reduction in the corporate tax rate to 21%, repeal of the corporate alternative minimum tax, expensing of capital investment, and limitation of the deduction for interest expense. Furthermore, as part of the transition to the new tax system, a one-time transition tax was imposed on a U.S. shareholder’s historical undistributed earnings of foreign affiliates.</w:t>
      </w:r>
    </w:p>
    <w:p>
      <w:pPr>
        <w:spacing w:after="0" w:line="174"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8"/>
          <w:szCs w:val="18"/>
          <w:color w:val="auto"/>
        </w:rPr>
        <w:t xml:space="preserve">As described in Note 5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in our 2017 Annual Report on Form 10-K, we were able to reasonably estimate certain effects of the tax legislation and, therefore, recorded provisional amounts, including the deemed repatriation transition tax. The Company has not finalized the accounting for the tax effects of the tax legislation and for the six months ended June 30, 2018, we have not made any material measurement period adjustments related to the provisional amounts. However, we continue to gather additional information and expect to complete our accounting within the prescribed measurement period.</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Earnings Per Share</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94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80" w:type="dxa"/>
            <w:vAlign w:val="bottom"/>
            <w:gridSpan w:val="3"/>
          </w:tcPr>
          <w:p>
            <w:pPr>
              <w:jc w:val="center"/>
              <w:ind w:left="478"/>
              <w:spacing w:after="0"/>
              <w:rPr>
                <w:sz w:val="20"/>
                <w:szCs w:val="20"/>
                <w:color w:val="auto"/>
              </w:rPr>
            </w:pPr>
            <w:r>
              <w:rPr>
                <w:rFonts w:ascii="Arial" w:cs="Arial" w:eastAsia="Arial" w:hAnsi="Arial"/>
                <w:sz w:val="14"/>
                <w:szCs w:val="14"/>
                <w:b w:val="1"/>
                <w:bCs w:val="1"/>
                <w:color w:val="auto"/>
              </w:rPr>
              <w:t>Six Months Ended</w:t>
            </w: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18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Basic</w:t>
            </w:r>
          </w:p>
        </w:tc>
        <w:tc>
          <w:tcPr>
            <w:tcW w:w="7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gridSpan w:val="3"/>
          </w:tcPr>
          <w:p>
            <w:pPr>
              <w:jc w:val="right"/>
              <w:ind w:right="330"/>
              <w:spacing w:after="0"/>
              <w:rPr>
                <w:sz w:val="20"/>
                <w:szCs w:val="20"/>
                <w:color w:val="auto"/>
              </w:rPr>
            </w:pPr>
            <w:r>
              <w:rPr>
                <w:rFonts w:ascii="Arial" w:cs="Arial" w:eastAsia="Arial" w:hAnsi="Arial"/>
                <w:sz w:val="14"/>
                <w:szCs w:val="14"/>
                <w:b w:val="1"/>
                <w:bCs w:val="1"/>
                <w:color w:val="auto"/>
              </w:rPr>
              <w:t>June 30,</w:t>
            </w:r>
          </w:p>
        </w:tc>
        <w:tc>
          <w:tcPr>
            <w:tcW w:w="840" w:type="dxa"/>
            <w:vAlign w:val="bottom"/>
            <w:tcBorders>
              <w:bottom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gridSpan w:val="3"/>
          </w:tcPr>
          <w:p>
            <w:pPr>
              <w:jc w:val="center"/>
              <w:ind w:left="478"/>
              <w:spacing w:after="0"/>
              <w:rPr>
                <w:sz w:val="20"/>
                <w:szCs w:val="20"/>
                <w:color w:val="auto"/>
              </w:rPr>
            </w:pPr>
            <w:r>
              <w:rPr>
                <w:rFonts w:ascii="Arial" w:cs="Arial" w:eastAsia="Arial" w:hAnsi="Arial"/>
                <w:sz w:val="14"/>
                <w:szCs w:val="14"/>
                <w:b w:val="1"/>
                <w:bCs w:val="1"/>
                <w:color w:val="auto"/>
                <w:w w:val="99"/>
              </w:rPr>
              <w:t>June 30,</w:t>
            </w:r>
          </w:p>
        </w:tc>
        <w:tc>
          <w:tcPr>
            <w:tcW w:w="8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4180" w:type="dxa"/>
            <w:vAlign w:val="bottom"/>
            <w:gridSpan w:val="5"/>
            <w:vMerge w:val="continue"/>
          </w:tcPr>
          <w:p>
            <w:pPr>
              <w:spacing w:after="0"/>
              <w:rPr>
                <w:sz w:val="13"/>
                <w:szCs w:val="13"/>
                <w:color w:val="auto"/>
              </w:rPr>
            </w:pPr>
          </w:p>
        </w:tc>
        <w:tc>
          <w:tcPr>
            <w:tcW w:w="7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jc w:val="right"/>
              <w:ind w:right="438"/>
              <w:spacing w:after="0" w:line="155" w:lineRule="exact"/>
              <w:rPr>
                <w:sz w:val="20"/>
                <w:szCs w:val="20"/>
                <w:color w:val="auto"/>
              </w:rPr>
            </w:pPr>
            <w:r>
              <w:rPr>
                <w:rFonts w:ascii="Arial" w:cs="Arial" w:eastAsia="Arial" w:hAnsi="Arial"/>
                <w:sz w:val="14"/>
                <w:szCs w:val="14"/>
                <w:b w:val="1"/>
                <w:bCs w:val="1"/>
                <w:color w:val="auto"/>
              </w:rPr>
              <w:t>2018</w:t>
            </w:r>
          </w:p>
        </w:tc>
        <w:tc>
          <w:tcPr>
            <w:tcW w:w="3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40" w:type="dxa"/>
            <w:vAlign w:val="bottom"/>
          </w:tcPr>
          <w:p>
            <w:pPr>
              <w:jc w:val="right"/>
              <w:ind w:right="434"/>
              <w:spacing w:after="0" w:line="155" w:lineRule="exact"/>
              <w:rPr>
                <w:sz w:val="20"/>
                <w:szCs w:val="20"/>
                <w:color w:val="auto"/>
              </w:rPr>
            </w:pPr>
            <w:r>
              <w:rPr>
                <w:rFonts w:ascii="Arial" w:cs="Arial" w:eastAsia="Arial" w:hAnsi="Arial"/>
                <w:sz w:val="14"/>
                <w:szCs w:val="14"/>
                <w:b w:val="1"/>
                <w:bCs w:val="1"/>
                <w:color w:val="auto"/>
                <w:w w:val="96"/>
              </w:rPr>
              <w:t>2017</w:t>
            </w:r>
          </w:p>
        </w:tc>
        <w:tc>
          <w:tcPr>
            <w:tcW w:w="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tcPr>
          <w:p>
            <w:pPr>
              <w:jc w:val="right"/>
              <w:ind w:right="438"/>
              <w:spacing w:after="0" w:line="155" w:lineRule="exact"/>
              <w:rPr>
                <w:sz w:val="20"/>
                <w:szCs w:val="20"/>
                <w:color w:val="auto"/>
              </w:rPr>
            </w:pPr>
            <w:r>
              <w:rPr>
                <w:rFonts w:ascii="Arial" w:cs="Arial" w:eastAsia="Arial" w:hAnsi="Arial"/>
                <w:sz w:val="14"/>
                <w:szCs w:val="14"/>
                <w:b w:val="1"/>
                <w:bCs w:val="1"/>
                <w:color w:val="auto"/>
              </w:rPr>
              <w:t>2018</w:t>
            </w:r>
          </w:p>
        </w:tc>
        <w:tc>
          <w:tcPr>
            <w:tcW w:w="3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60" w:type="dxa"/>
            <w:vAlign w:val="bottom"/>
          </w:tcPr>
          <w:p>
            <w:pPr>
              <w:jc w:val="right"/>
              <w:ind w:right="434"/>
              <w:spacing w:after="0" w:line="155" w:lineRule="exact"/>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Borders>
              <w:bottom w:val="single" w:sz="8" w:color="E5FFFF"/>
            </w:tcBorders>
            <w:shd w:val="clear" w:color="auto" w:fill="000000"/>
          </w:tcPr>
          <w:p>
            <w:pPr>
              <w:spacing w:after="0" w:line="20" w:lineRule="exact"/>
              <w:rPr>
                <w:sz w:val="1"/>
                <w:szCs w:val="1"/>
                <w:color w:val="auto"/>
              </w:rPr>
            </w:pPr>
          </w:p>
        </w:tc>
        <w:tc>
          <w:tcPr>
            <w:tcW w:w="700" w:type="dxa"/>
            <w:vAlign w:val="bottom"/>
            <w:tcBorders>
              <w:bottom w:val="single" w:sz="8" w:color="E5FFFF"/>
            </w:tcBorders>
          </w:tcPr>
          <w:p>
            <w:pPr>
              <w:spacing w:after="0" w:line="20" w:lineRule="exact"/>
              <w:rPr>
                <w:sz w:val="1"/>
                <w:szCs w:val="1"/>
                <w:color w:val="auto"/>
              </w:rPr>
            </w:pPr>
          </w:p>
        </w:tc>
        <w:tc>
          <w:tcPr>
            <w:tcW w:w="200" w:type="dxa"/>
            <w:vAlign w:val="bottom"/>
            <w:tcBorders>
              <w:bottom w:val="single" w:sz="8" w:color="E5FFFF"/>
            </w:tcBorders>
          </w:tcPr>
          <w:p>
            <w:pPr>
              <w:spacing w:after="0" w:line="20" w:lineRule="exact"/>
              <w:rPr>
                <w:sz w:val="1"/>
                <w:szCs w:val="1"/>
                <w:color w:val="auto"/>
              </w:rPr>
            </w:pPr>
          </w:p>
        </w:tc>
        <w:tc>
          <w:tcPr>
            <w:tcW w:w="2900" w:type="dxa"/>
            <w:vAlign w:val="bottom"/>
            <w:tcBorders>
              <w:bottom w:val="single" w:sz="8" w:color="E5FFFF"/>
            </w:tcBorders>
          </w:tcPr>
          <w:p>
            <w:pPr>
              <w:spacing w:after="0" w:line="20" w:lineRule="exact"/>
              <w:rPr>
                <w:sz w:val="1"/>
                <w:szCs w:val="1"/>
                <w:color w:val="auto"/>
              </w:rPr>
            </w:pPr>
          </w:p>
        </w:tc>
        <w:tc>
          <w:tcPr>
            <w:tcW w:w="760" w:type="dxa"/>
            <w:vAlign w:val="bottom"/>
            <w:tcBorders>
              <w:bottom w:val="single" w:sz="8" w:color="E5FF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E5FF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E5FF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E5FF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4160" w:type="dxa"/>
            <w:vAlign w:val="bottom"/>
            <w:gridSpan w:val="4"/>
            <w:shd w:val="clear" w:color="auto" w:fill="E5FFFF"/>
          </w:tcPr>
          <w:p>
            <w:pPr>
              <w:spacing w:after="0" w:line="189" w:lineRule="exact"/>
              <w:rPr>
                <w:sz w:val="20"/>
                <w:szCs w:val="20"/>
                <w:color w:val="auto"/>
              </w:rPr>
            </w:pPr>
            <w:r>
              <w:rPr>
                <w:rFonts w:ascii="Arial" w:cs="Arial" w:eastAsia="Arial" w:hAnsi="Arial"/>
                <w:sz w:val="18"/>
                <w:szCs w:val="18"/>
                <w:color w:val="auto"/>
              </w:rPr>
              <w:t>Net income attributable to Honeywell</w:t>
            </w:r>
          </w:p>
        </w:tc>
        <w:tc>
          <w:tcPr>
            <w:tcW w:w="760" w:type="dxa"/>
            <w:vAlign w:val="bottom"/>
            <w:shd w:val="clear" w:color="auto" w:fill="E5FFFF"/>
          </w:tcPr>
          <w:p>
            <w:pPr>
              <w:spacing w:after="0"/>
              <w:rPr>
                <w:sz w:val="16"/>
                <w:szCs w:val="16"/>
                <w:color w:val="auto"/>
              </w:rPr>
            </w:pPr>
          </w:p>
        </w:tc>
        <w:tc>
          <w:tcPr>
            <w:tcW w:w="320" w:type="dxa"/>
            <w:vAlign w:val="bottom"/>
            <w:shd w:val="clear" w:color="auto" w:fill="E5FFFF"/>
          </w:tcPr>
          <w:p>
            <w:pPr>
              <w:jc w:val="right"/>
              <w:ind w:right="130"/>
              <w:spacing w:after="0" w:line="189" w:lineRule="exact"/>
              <w:rPr>
                <w:sz w:val="20"/>
                <w:szCs w:val="20"/>
                <w:color w:val="auto"/>
              </w:rPr>
            </w:pPr>
            <w:r>
              <w:rPr>
                <w:rFonts w:ascii="Arial" w:cs="Arial" w:eastAsia="Arial" w:hAnsi="Arial"/>
                <w:sz w:val="18"/>
                <w:szCs w:val="18"/>
                <w:color w:val="auto"/>
                <w:w w:val="79"/>
              </w:rPr>
              <w:t>$</w:t>
            </w:r>
          </w:p>
        </w:tc>
        <w:tc>
          <w:tcPr>
            <w:tcW w:w="1060" w:type="dxa"/>
            <w:vAlign w:val="bottom"/>
            <w:shd w:val="clear" w:color="auto" w:fill="E5FFFF"/>
          </w:tcPr>
          <w:p>
            <w:pPr>
              <w:jc w:val="right"/>
              <w:ind w:right="38"/>
              <w:spacing w:after="0" w:line="189" w:lineRule="exact"/>
              <w:rPr>
                <w:sz w:val="20"/>
                <w:szCs w:val="20"/>
                <w:color w:val="auto"/>
              </w:rPr>
            </w:pPr>
            <w:r>
              <w:rPr>
                <w:rFonts w:ascii="Arial" w:cs="Arial" w:eastAsia="Arial" w:hAnsi="Arial"/>
                <w:sz w:val="18"/>
                <w:szCs w:val="18"/>
                <w:color w:val="auto"/>
              </w:rPr>
              <w:t>1,267</w:t>
            </w:r>
          </w:p>
        </w:tc>
        <w:tc>
          <w:tcPr>
            <w:tcW w:w="360" w:type="dxa"/>
            <w:vAlign w:val="bottom"/>
            <w:shd w:val="clear" w:color="auto" w:fill="E5FFFF"/>
          </w:tcPr>
          <w:p>
            <w:pPr>
              <w:spacing w:after="0"/>
              <w:rPr>
                <w:sz w:val="16"/>
                <w:szCs w:val="16"/>
                <w:color w:val="auto"/>
              </w:rPr>
            </w:pPr>
          </w:p>
        </w:tc>
        <w:tc>
          <w:tcPr>
            <w:tcW w:w="520" w:type="dxa"/>
            <w:vAlign w:val="bottom"/>
            <w:shd w:val="clear" w:color="auto" w:fill="E5FFFF"/>
          </w:tcPr>
          <w:p>
            <w:pPr>
              <w:jc w:val="right"/>
              <w:ind w:right="330"/>
              <w:spacing w:after="0" w:line="189" w:lineRule="exact"/>
              <w:rPr>
                <w:sz w:val="20"/>
                <w:szCs w:val="20"/>
                <w:color w:val="auto"/>
              </w:rPr>
            </w:pPr>
            <w:r>
              <w:rPr>
                <w:rFonts w:ascii="Arial" w:cs="Arial" w:eastAsia="Arial" w:hAnsi="Arial"/>
                <w:sz w:val="18"/>
                <w:szCs w:val="18"/>
                <w:color w:val="auto"/>
                <w:w w:val="79"/>
              </w:rPr>
              <w:t>$</w:t>
            </w:r>
          </w:p>
        </w:tc>
        <w:tc>
          <w:tcPr>
            <w:tcW w:w="840" w:type="dxa"/>
            <w:vAlign w:val="bottom"/>
            <w:shd w:val="clear" w:color="auto" w:fill="E5FFFF"/>
          </w:tcPr>
          <w:p>
            <w:pPr>
              <w:jc w:val="right"/>
              <w:ind w:right="14"/>
              <w:spacing w:after="0" w:line="189" w:lineRule="exact"/>
              <w:rPr>
                <w:sz w:val="20"/>
                <w:szCs w:val="20"/>
                <w:color w:val="auto"/>
              </w:rPr>
            </w:pPr>
            <w:r>
              <w:rPr>
                <w:rFonts w:ascii="Arial" w:cs="Arial" w:eastAsia="Arial" w:hAnsi="Arial"/>
                <w:sz w:val="18"/>
                <w:szCs w:val="18"/>
                <w:color w:val="auto"/>
              </w:rPr>
              <w:t>1,392</w:t>
            </w:r>
          </w:p>
        </w:tc>
        <w:tc>
          <w:tcPr>
            <w:tcW w:w="340" w:type="dxa"/>
            <w:vAlign w:val="bottom"/>
            <w:shd w:val="clear" w:color="auto" w:fill="E5FFFF"/>
          </w:tcPr>
          <w:p>
            <w:pPr>
              <w:spacing w:after="0"/>
              <w:rPr>
                <w:sz w:val="16"/>
                <w:szCs w:val="16"/>
                <w:color w:val="auto"/>
              </w:rPr>
            </w:pPr>
          </w:p>
        </w:tc>
        <w:tc>
          <w:tcPr>
            <w:tcW w:w="300" w:type="dxa"/>
            <w:vAlign w:val="bottom"/>
            <w:shd w:val="clear" w:color="auto" w:fill="E5FFFF"/>
          </w:tcPr>
          <w:p>
            <w:pPr>
              <w:jc w:val="right"/>
              <w:ind w:right="110"/>
              <w:spacing w:after="0" w:line="189" w:lineRule="exact"/>
              <w:rPr>
                <w:sz w:val="20"/>
                <w:szCs w:val="20"/>
                <w:color w:val="auto"/>
              </w:rPr>
            </w:pPr>
            <w:r>
              <w:rPr>
                <w:rFonts w:ascii="Arial" w:cs="Arial" w:eastAsia="Arial" w:hAnsi="Arial"/>
                <w:sz w:val="18"/>
                <w:szCs w:val="18"/>
                <w:color w:val="auto"/>
                <w:w w:val="79"/>
              </w:rPr>
              <w:t>$</w:t>
            </w:r>
          </w:p>
        </w:tc>
        <w:tc>
          <w:tcPr>
            <w:tcW w:w="1060" w:type="dxa"/>
            <w:vAlign w:val="bottom"/>
            <w:shd w:val="clear" w:color="auto" w:fill="E5FFFF"/>
          </w:tcPr>
          <w:p>
            <w:pPr>
              <w:jc w:val="right"/>
              <w:ind w:right="38"/>
              <w:spacing w:after="0" w:line="189" w:lineRule="exact"/>
              <w:rPr>
                <w:sz w:val="20"/>
                <w:szCs w:val="20"/>
                <w:color w:val="auto"/>
              </w:rPr>
            </w:pPr>
            <w:r>
              <w:rPr>
                <w:rFonts w:ascii="Arial" w:cs="Arial" w:eastAsia="Arial" w:hAnsi="Arial"/>
                <w:sz w:val="18"/>
                <w:szCs w:val="18"/>
                <w:color w:val="auto"/>
              </w:rPr>
              <w:t>2,705</w:t>
            </w:r>
          </w:p>
        </w:tc>
        <w:tc>
          <w:tcPr>
            <w:tcW w:w="320" w:type="dxa"/>
            <w:vAlign w:val="bottom"/>
            <w:shd w:val="clear" w:color="auto" w:fill="E5FFFF"/>
          </w:tcPr>
          <w:p>
            <w:pPr>
              <w:spacing w:after="0"/>
              <w:rPr>
                <w:sz w:val="16"/>
                <w:szCs w:val="16"/>
                <w:color w:val="auto"/>
              </w:rPr>
            </w:pPr>
          </w:p>
        </w:tc>
        <w:tc>
          <w:tcPr>
            <w:tcW w:w="500" w:type="dxa"/>
            <w:vAlign w:val="bottom"/>
            <w:shd w:val="clear" w:color="auto" w:fill="E5FFFF"/>
          </w:tcPr>
          <w:p>
            <w:pPr>
              <w:jc w:val="right"/>
              <w:ind w:right="310"/>
              <w:spacing w:after="0" w:line="189" w:lineRule="exact"/>
              <w:rPr>
                <w:sz w:val="20"/>
                <w:szCs w:val="20"/>
                <w:color w:val="auto"/>
              </w:rPr>
            </w:pPr>
            <w:r>
              <w:rPr>
                <w:rFonts w:ascii="Arial" w:cs="Arial" w:eastAsia="Arial" w:hAnsi="Arial"/>
                <w:sz w:val="18"/>
                <w:szCs w:val="18"/>
                <w:color w:val="auto"/>
                <w:w w:val="79"/>
              </w:rPr>
              <w:t>$</w:t>
            </w:r>
          </w:p>
        </w:tc>
        <w:tc>
          <w:tcPr>
            <w:tcW w:w="860" w:type="dxa"/>
            <w:vAlign w:val="bottom"/>
            <w:shd w:val="clear" w:color="auto" w:fill="E5FFFF"/>
          </w:tcPr>
          <w:p>
            <w:pPr>
              <w:jc w:val="right"/>
              <w:ind w:right="14"/>
              <w:spacing w:after="0" w:line="189" w:lineRule="exact"/>
              <w:rPr>
                <w:sz w:val="20"/>
                <w:szCs w:val="20"/>
                <w:color w:val="auto"/>
              </w:rPr>
            </w:pPr>
            <w:r>
              <w:rPr>
                <w:rFonts w:ascii="Arial" w:cs="Arial" w:eastAsia="Arial" w:hAnsi="Arial"/>
                <w:sz w:val="18"/>
                <w:szCs w:val="18"/>
                <w:color w:val="auto"/>
              </w:rPr>
              <w:t>2,718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60" w:type="dxa"/>
            <w:vAlign w:val="bottom"/>
            <w:gridSpan w:val="4"/>
          </w:tcPr>
          <w:p>
            <w:pPr>
              <w:spacing w:after="0" w:line="202" w:lineRule="exact"/>
              <w:rPr>
                <w:sz w:val="20"/>
                <w:szCs w:val="20"/>
                <w:color w:val="auto"/>
              </w:rPr>
            </w:pPr>
            <w:r>
              <w:rPr>
                <w:rFonts w:ascii="Arial" w:cs="Arial" w:eastAsia="Arial" w:hAnsi="Arial"/>
                <w:sz w:val="18"/>
                <w:szCs w:val="18"/>
                <w:color w:val="auto"/>
              </w:rPr>
              <w:t>Weighted average shares outstanding</w:t>
            </w: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ind w:right="38"/>
              <w:spacing w:after="0" w:line="202" w:lineRule="exact"/>
              <w:rPr>
                <w:sz w:val="20"/>
                <w:szCs w:val="20"/>
                <w:color w:val="auto"/>
              </w:rPr>
            </w:pPr>
            <w:r>
              <w:rPr>
                <w:rFonts w:ascii="Arial" w:cs="Arial" w:eastAsia="Arial" w:hAnsi="Arial"/>
                <w:sz w:val="18"/>
                <w:szCs w:val="18"/>
                <w:color w:val="auto"/>
              </w:rPr>
              <w:t>745.5</w:t>
            </w:r>
          </w:p>
        </w:tc>
        <w:tc>
          <w:tcPr>
            <w:tcW w:w="3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40" w:type="dxa"/>
            <w:vAlign w:val="bottom"/>
          </w:tcPr>
          <w:p>
            <w:pPr>
              <w:jc w:val="right"/>
              <w:ind w:right="14"/>
              <w:spacing w:after="0" w:line="202" w:lineRule="exact"/>
              <w:rPr>
                <w:sz w:val="20"/>
                <w:szCs w:val="20"/>
                <w:color w:val="auto"/>
              </w:rPr>
            </w:pPr>
            <w:r>
              <w:rPr>
                <w:rFonts w:ascii="Arial" w:cs="Arial" w:eastAsia="Arial" w:hAnsi="Arial"/>
                <w:sz w:val="18"/>
                <w:szCs w:val="18"/>
                <w:color w:val="auto"/>
              </w:rPr>
              <w:t>764.2</w:t>
            </w: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ind w:right="38"/>
              <w:spacing w:after="0" w:line="202" w:lineRule="exact"/>
              <w:rPr>
                <w:sz w:val="20"/>
                <w:szCs w:val="20"/>
                <w:color w:val="auto"/>
              </w:rPr>
            </w:pPr>
            <w:r>
              <w:rPr>
                <w:rFonts w:ascii="Arial" w:cs="Arial" w:eastAsia="Arial" w:hAnsi="Arial"/>
                <w:sz w:val="18"/>
                <w:szCs w:val="18"/>
                <w:color w:val="auto"/>
              </w:rPr>
              <w:t>748.0</w:t>
            </w: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60" w:type="dxa"/>
            <w:vAlign w:val="bottom"/>
          </w:tcPr>
          <w:p>
            <w:pPr>
              <w:jc w:val="right"/>
              <w:ind w:right="14"/>
              <w:spacing w:after="0" w:line="202" w:lineRule="exact"/>
              <w:rPr>
                <w:sz w:val="20"/>
                <w:szCs w:val="20"/>
                <w:color w:val="auto"/>
              </w:rPr>
            </w:pPr>
            <w:r>
              <w:rPr>
                <w:rFonts w:ascii="Arial" w:cs="Arial" w:eastAsia="Arial" w:hAnsi="Arial"/>
                <w:sz w:val="18"/>
                <w:szCs w:val="18"/>
                <w:color w:val="auto"/>
              </w:rPr>
              <w:t>763.6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60" w:type="dxa"/>
            <w:vAlign w:val="bottom"/>
            <w:gridSpan w:val="4"/>
            <w:shd w:val="clear" w:color="auto" w:fill="E5FFFF"/>
          </w:tcPr>
          <w:p>
            <w:pPr>
              <w:spacing w:after="0" w:line="202" w:lineRule="exact"/>
              <w:rPr>
                <w:sz w:val="20"/>
                <w:szCs w:val="20"/>
                <w:color w:val="auto"/>
              </w:rPr>
            </w:pPr>
            <w:r>
              <w:rPr>
                <w:rFonts w:ascii="Arial" w:cs="Arial" w:eastAsia="Arial" w:hAnsi="Arial"/>
                <w:sz w:val="18"/>
                <w:szCs w:val="18"/>
                <w:color w:val="auto"/>
              </w:rPr>
              <w:t>Earnings per share of common stock</w:t>
            </w:r>
          </w:p>
        </w:tc>
        <w:tc>
          <w:tcPr>
            <w:tcW w:w="1080" w:type="dxa"/>
            <w:vAlign w:val="bottom"/>
            <w:gridSpan w:val="2"/>
            <w:shd w:val="clear" w:color="auto" w:fill="E5FFFF"/>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1060" w:type="dxa"/>
            <w:vAlign w:val="bottom"/>
            <w:shd w:val="clear" w:color="auto" w:fill="E5FFFF"/>
          </w:tcPr>
          <w:p>
            <w:pPr>
              <w:jc w:val="right"/>
              <w:ind w:right="38"/>
              <w:spacing w:after="0" w:line="202" w:lineRule="exact"/>
              <w:rPr>
                <w:sz w:val="20"/>
                <w:szCs w:val="20"/>
                <w:color w:val="auto"/>
              </w:rPr>
            </w:pPr>
            <w:r>
              <w:rPr>
                <w:rFonts w:ascii="Arial" w:cs="Arial" w:eastAsia="Arial" w:hAnsi="Arial"/>
                <w:sz w:val="18"/>
                <w:szCs w:val="18"/>
                <w:color w:val="auto"/>
              </w:rPr>
              <w:t>1.70</w:t>
            </w:r>
          </w:p>
        </w:tc>
        <w:tc>
          <w:tcPr>
            <w:tcW w:w="880" w:type="dxa"/>
            <w:vAlign w:val="bottom"/>
            <w:gridSpan w:val="2"/>
            <w:shd w:val="clear" w:color="auto" w:fill="E5FFFF"/>
          </w:tcPr>
          <w:p>
            <w:pPr>
              <w:jc w:val="right"/>
              <w:ind w:right="330"/>
              <w:spacing w:after="0" w:line="202" w:lineRule="exact"/>
              <w:rPr>
                <w:sz w:val="20"/>
                <w:szCs w:val="20"/>
                <w:color w:val="auto"/>
              </w:rPr>
            </w:pPr>
            <w:r>
              <w:rPr>
                <w:rFonts w:ascii="Arial" w:cs="Arial" w:eastAsia="Arial" w:hAnsi="Arial"/>
                <w:sz w:val="18"/>
                <w:szCs w:val="18"/>
                <w:color w:val="auto"/>
              </w:rPr>
              <w:t>$</w:t>
            </w:r>
          </w:p>
        </w:tc>
        <w:tc>
          <w:tcPr>
            <w:tcW w:w="840" w:type="dxa"/>
            <w:vAlign w:val="bottom"/>
            <w:shd w:val="clear" w:color="auto" w:fill="E5FFFF"/>
          </w:tcPr>
          <w:p>
            <w:pPr>
              <w:jc w:val="right"/>
              <w:ind w:right="14"/>
              <w:spacing w:after="0" w:line="202" w:lineRule="exact"/>
              <w:rPr>
                <w:sz w:val="20"/>
                <w:szCs w:val="20"/>
                <w:color w:val="auto"/>
              </w:rPr>
            </w:pPr>
            <w:r>
              <w:rPr>
                <w:rFonts w:ascii="Arial" w:cs="Arial" w:eastAsia="Arial" w:hAnsi="Arial"/>
                <w:sz w:val="18"/>
                <w:szCs w:val="18"/>
                <w:color w:val="auto"/>
              </w:rPr>
              <w:t>1.82</w:t>
            </w:r>
          </w:p>
        </w:tc>
        <w:tc>
          <w:tcPr>
            <w:tcW w:w="640" w:type="dxa"/>
            <w:vAlign w:val="bottom"/>
            <w:gridSpan w:val="2"/>
            <w:shd w:val="clear" w:color="auto" w:fill="E5FFFF"/>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060" w:type="dxa"/>
            <w:vAlign w:val="bottom"/>
            <w:shd w:val="clear" w:color="auto" w:fill="E5FFFF"/>
          </w:tcPr>
          <w:p>
            <w:pPr>
              <w:jc w:val="right"/>
              <w:ind w:right="38"/>
              <w:spacing w:after="0" w:line="202" w:lineRule="exact"/>
              <w:rPr>
                <w:sz w:val="20"/>
                <w:szCs w:val="20"/>
                <w:color w:val="auto"/>
              </w:rPr>
            </w:pPr>
            <w:r>
              <w:rPr>
                <w:rFonts w:ascii="Arial" w:cs="Arial" w:eastAsia="Arial" w:hAnsi="Arial"/>
                <w:sz w:val="18"/>
                <w:szCs w:val="18"/>
                <w:color w:val="auto"/>
              </w:rPr>
              <w:t>3.62</w:t>
            </w:r>
          </w:p>
        </w:tc>
        <w:tc>
          <w:tcPr>
            <w:tcW w:w="820" w:type="dxa"/>
            <w:vAlign w:val="bottom"/>
            <w:gridSpan w:val="2"/>
            <w:shd w:val="clear" w:color="auto" w:fill="E5FFFF"/>
          </w:tcPr>
          <w:p>
            <w:pPr>
              <w:jc w:val="right"/>
              <w:ind w:right="310"/>
              <w:spacing w:after="0" w:line="202" w:lineRule="exact"/>
              <w:rPr>
                <w:sz w:val="20"/>
                <w:szCs w:val="20"/>
                <w:color w:val="auto"/>
              </w:rPr>
            </w:pPr>
            <w:r>
              <w:rPr>
                <w:rFonts w:ascii="Arial" w:cs="Arial" w:eastAsia="Arial" w:hAnsi="Arial"/>
                <w:sz w:val="18"/>
                <w:szCs w:val="18"/>
                <w:color w:val="auto"/>
              </w:rPr>
              <w:t>$</w:t>
            </w:r>
          </w:p>
        </w:tc>
        <w:tc>
          <w:tcPr>
            <w:tcW w:w="860" w:type="dxa"/>
            <w:vAlign w:val="bottom"/>
            <w:shd w:val="clear" w:color="auto" w:fill="E5FFFF"/>
          </w:tcPr>
          <w:p>
            <w:pPr>
              <w:jc w:val="right"/>
              <w:ind w:right="14"/>
              <w:spacing w:after="0" w:line="202" w:lineRule="exact"/>
              <w:rPr>
                <w:sz w:val="20"/>
                <w:szCs w:val="20"/>
                <w:color w:val="auto"/>
              </w:rPr>
            </w:pPr>
            <w:r>
              <w:rPr>
                <w:rFonts w:ascii="Arial" w:cs="Arial" w:eastAsia="Arial" w:hAnsi="Arial"/>
                <w:sz w:val="18"/>
                <w:szCs w:val="18"/>
                <w:color w:val="auto"/>
              </w:rPr>
              <w:t>3.56</w:t>
            </w:r>
          </w:p>
        </w:tc>
        <w:tc>
          <w:tcPr>
            <w:tcW w:w="0" w:type="dxa"/>
            <w:vAlign w:val="bottom"/>
          </w:tcPr>
          <w:p>
            <w:pPr>
              <w:spacing w:after="0"/>
              <w:rPr>
                <w:sz w:val="1"/>
                <w:szCs w:val="1"/>
                <w:color w:val="auto"/>
              </w:rPr>
            </w:pPr>
          </w:p>
        </w:tc>
      </w:tr>
      <w:tr>
        <w:trPr>
          <w:trHeight w:val="351"/>
        </w:trPr>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94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80" w:type="dxa"/>
            <w:vAlign w:val="bottom"/>
            <w:gridSpan w:val="3"/>
          </w:tcPr>
          <w:p>
            <w:pPr>
              <w:jc w:val="center"/>
              <w:ind w:left="478"/>
              <w:spacing w:after="0"/>
              <w:rPr>
                <w:sz w:val="20"/>
                <w:szCs w:val="20"/>
                <w:color w:val="auto"/>
              </w:rPr>
            </w:pPr>
            <w:r>
              <w:rPr>
                <w:rFonts w:ascii="Arial" w:cs="Arial" w:eastAsia="Arial" w:hAnsi="Arial"/>
                <w:sz w:val="14"/>
                <w:szCs w:val="14"/>
                <w:b w:val="1"/>
                <w:bCs w:val="1"/>
                <w:color w:val="auto"/>
              </w:rPr>
              <w:t>Six Months Ended</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418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Assuming Dilution</w:t>
            </w:r>
          </w:p>
        </w:tc>
        <w:tc>
          <w:tcPr>
            <w:tcW w:w="7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gridSpan w:val="3"/>
          </w:tcPr>
          <w:p>
            <w:pPr>
              <w:jc w:val="right"/>
              <w:ind w:right="330"/>
              <w:spacing w:after="0"/>
              <w:rPr>
                <w:sz w:val="20"/>
                <w:szCs w:val="20"/>
                <w:color w:val="auto"/>
              </w:rPr>
            </w:pPr>
            <w:r>
              <w:rPr>
                <w:rFonts w:ascii="Arial" w:cs="Arial" w:eastAsia="Arial" w:hAnsi="Arial"/>
                <w:sz w:val="14"/>
                <w:szCs w:val="14"/>
                <w:b w:val="1"/>
                <w:bCs w:val="1"/>
                <w:color w:val="auto"/>
              </w:rPr>
              <w:t>June 30,</w:t>
            </w:r>
          </w:p>
        </w:tc>
        <w:tc>
          <w:tcPr>
            <w:tcW w:w="840" w:type="dxa"/>
            <w:vAlign w:val="bottom"/>
            <w:tcBorders>
              <w:bottom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gridSpan w:val="3"/>
          </w:tcPr>
          <w:p>
            <w:pPr>
              <w:jc w:val="center"/>
              <w:ind w:left="478"/>
              <w:spacing w:after="0"/>
              <w:rPr>
                <w:sz w:val="20"/>
                <w:szCs w:val="20"/>
                <w:color w:val="auto"/>
              </w:rPr>
            </w:pPr>
            <w:r>
              <w:rPr>
                <w:rFonts w:ascii="Arial" w:cs="Arial" w:eastAsia="Arial" w:hAnsi="Arial"/>
                <w:sz w:val="14"/>
                <w:szCs w:val="14"/>
                <w:b w:val="1"/>
                <w:bCs w:val="1"/>
                <w:color w:val="auto"/>
                <w:w w:val="99"/>
              </w:rPr>
              <w:t>June 30,</w:t>
            </w:r>
          </w:p>
        </w:tc>
        <w:tc>
          <w:tcPr>
            <w:tcW w:w="8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180" w:type="dxa"/>
            <w:vAlign w:val="bottom"/>
            <w:gridSpan w:val="5"/>
            <w:vMerge w:val="continue"/>
          </w:tcPr>
          <w:p>
            <w:pPr>
              <w:spacing w:after="0"/>
              <w:rPr>
                <w:sz w:val="12"/>
                <w:szCs w:val="12"/>
                <w:color w:val="auto"/>
              </w:rPr>
            </w:pPr>
          </w:p>
        </w:tc>
        <w:tc>
          <w:tcPr>
            <w:tcW w:w="7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jc w:val="right"/>
              <w:ind w:right="438"/>
              <w:spacing w:after="0" w:line="142" w:lineRule="exact"/>
              <w:rPr>
                <w:sz w:val="20"/>
                <w:szCs w:val="20"/>
                <w:color w:val="auto"/>
              </w:rPr>
            </w:pPr>
            <w:r>
              <w:rPr>
                <w:rFonts w:ascii="Arial" w:cs="Arial" w:eastAsia="Arial" w:hAnsi="Arial"/>
                <w:sz w:val="14"/>
                <w:szCs w:val="14"/>
                <w:b w:val="1"/>
                <w:bCs w:val="1"/>
                <w:color w:val="auto"/>
              </w:rPr>
              <w:t>2018</w:t>
            </w:r>
          </w:p>
        </w:tc>
        <w:tc>
          <w:tcPr>
            <w:tcW w:w="3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40" w:type="dxa"/>
            <w:vAlign w:val="bottom"/>
          </w:tcPr>
          <w:p>
            <w:pPr>
              <w:jc w:val="right"/>
              <w:ind w:right="434"/>
              <w:spacing w:after="0" w:line="142" w:lineRule="exact"/>
              <w:rPr>
                <w:sz w:val="20"/>
                <w:szCs w:val="20"/>
                <w:color w:val="auto"/>
              </w:rPr>
            </w:pPr>
            <w:r>
              <w:rPr>
                <w:rFonts w:ascii="Arial" w:cs="Arial" w:eastAsia="Arial" w:hAnsi="Arial"/>
                <w:sz w:val="14"/>
                <w:szCs w:val="14"/>
                <w:b w:val="1"/>
                <w:bCs w:val="1"/>
                <w:color w:val="auto"/>
                <w:w w:val="96"/>
              </w:rPr>
              <w:t>2017</w:t>
            </w: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Pr>
          <w:p>
            <w:pPr>
              <w:jc w:val="right"/>
              <w:ind w:right="438"/>
              <w:spacing w:after="0" w:line="142" w:lineRule="exact"/>
              <w:rPr>
                <w:sz w:val="20"/>
                <w:szCs w:val="20"/>
                <w:color w:val="auto"/>
              </w:rPr>
            </w:pPr>
            <w:r>
              <w:rPr>
                <w:rFonts w:ascii="Arial" w:cs="Arial" w:eastAsia="Arial" w:hAnsi="Arial"/>
                <w:sz w:val="14"/>
                <w:szCs w:val="14"/>
                <w:b w:val="1"/>
                <w:bCs w:val="1"/>
                <w:color w:val="auto"/>
              </w:rPr>
              <w:t>2018</w:t>
            </w:r>
          </w:p>
        </w:tc>
        <w:tc>
          <w:tcPr>
            <w:tcW w:w="3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60" w:type="dxa"/>
            <w:vAlign w:val="bottom"/>
          </w:tcPr>
          <w:p>
            <w:pPr>
              <w:jc w:val="right"/>
              <w:ind w:right="434"/>
              <w:spacing w:after="0" w:line="142" w:lineRule="exact"/>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Borders>
              <w:bottom w:val="single" w:sz="8" w:color="E5FFFF"/>
            </w:tcBorders>
            <w:shd w:val="clear" w:color="auto" w:fill="000000"/>
          </w:tcPr>
          <w:p>
            <w:pPr>
              <w:spacing w:after="0" w:line="20" w:lineRule="exact"/>
              <w:rPr>
                <w:sz w:val="1"/>
                <w:szCs w:val="1"/>
                <w:color w:val="auto"/>
              </w:rPr>
            </w:pPr>
          </w:p>
        </w:tc>
        <w:tc>
          <w:tcPr>
            <w:tcW w:w="700" w:type="dxa"/>
            <w:vAlign w:val="bottom"/>
            <w:tcBorders>
              <w:bottom w:val="single" w:sz="8" w:color="E5FFFF"/>
            </w:tcBorders>
            <w:shd w:val="clear" w:color="auto" w:fill="000000"/>
          </w:tcPr>
          <w:p>
            <w:pPr>
              <w:spacing w:after="0" w:line="20" w:lineRule="exact"/>
              <w:rPr>
                <w:sz w:val="1"/>
                <w:szCs w:val="1"/>
                <w:color w:val="auto"/>
              </w:rPr>
            </w:pPr>
          </w:p>
        </w:tc>
        <w:tc>
          <w:tcPr>
            <w:tcW w:w="200" w:type="dxa"/>
            <w:vAlign w:val="bottom"/>
            <w:tcBorders>
              <w:bottom w:val="single" w:sz="8" w:color="E5FFFF"/>
            </w:tcBorders>
            <w:shd w:val="clear" w:color="auto" w:fill="000000"/>
          </w:tcPr>
          <w:p>
            <w:pPr>
              <w:spacing w:after="0" w:line="20" w:lineRule="exact"/>
              <w:rPr>
                <w:sz w:val="1"/>
                <w:szCs w:val="1"/>
                <w:color w:val="auto"/>
              </w:rPr>
            </w:pPr>
          </w:p>
        </w:tc>
        <w:tc>
          <w:tcPr>
            <w:tcW w:w="2900" w:type="dxa"/>
            <w:vAlign w:val="bottom"/>
            <w:tcBorders>
              <w:bottom w:val="single" w:sz="8" w:color="E5FFFF"/>
            </w:tcBorders>
          </w:tcPr>
          <w:p>
            <w:pPr>
              <w:spacing w:after="0" w:line="20" w:lineRule="exact"/>
              <w:rPr>
                <w:sz w:val="1"/>
                <w:szCs w:val="1"/>
                <w:color w:val="auto"/>
              </w:rPr>
            </w:pPr>
          </w:p>
        </w:tc>
        <w:tc>
          <w:tcPr>
            <w:tcW w:w="760" w:type="dxa"/>
            <w:vAlign w:val="bottom"/>
            <w:tcBorders>
              <w:bottom w:val="single" w:sz="8" w:color="E5FF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E5FF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E5FF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E5FF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4160" w:type="dxa"/>
            <w:vAlign w:val="bottom"/>
            <w:gridSpan w:val="4"/>
            <w:shd w:val="clear" w:color="auto" w:fill="E5FFFF"/>
          </w:tcPr>
          <w:p>
            <w:pPr>
              <w:spacing w:after="0" w:line="189" w:lineRule="exact"/>
              <w:rPr>
                <w:sz w:val="20"/>
                <w:szCs w:val="20"/>
                <w:color w:val="auto"/>
              </w:rPr>
            </w:pPr>
            <w:r>
              <w:rPr>
                <w:rFonts w:ascii="Arial" w:cs="Arial" w:eastAsia="Arial" w:hAnsi="Arial"/>
                <w:sz w:val="18"/>
                <w:szCs w:val="18"/>
                <w:color w:val="auto"/>
              </w:rPr>
              <w:t>Net income attributable to Honeywell</w:t>
            </w:r>
          </w:p>
        </w:tc>
        <w:tc>
          <w:tcPr>
            <w:tcW w:w="760" w:type="dxa"/>
            <w:vAlign w:val="bottom"/>
            <w:shd w:val="clear" w:color="auto" w:fill="E5FFFF"/>
          </w:tcPr>
          <w:p>
            <w:pPr>
              <w:spacing w:after="0"/>
              <w:rPr>
                <w:sz w:val="16"/>
                <w:szCs w:val="16"/>
                <w:color w:val="auto"/>
              </w:rPr>
            </w:pPr>
          </w:p>
        </w:tc>
        <w:tc>
          <w:tcPr>
            <w:tcW w:w="320" w:type="dxa"/>
            <w:vAlign w:val="bottom"/>
            <w:shd w:val="clear" w:color="auto" w:fill="E5FFFF"/>
          </w:tcPr>
          <w:p>
            <w:pPr>
              <w:jc w:val="right"/>
              <w:ind w:right="130"/>
              <w:spacing w:after="0" w:line="189" w:lineRule="exact"/>
              <w:rPr>
                <w:sz w:val="20"/>
                <w:szCs w:val="20"/>
                <w:color w:val="auto"/>
              </w:rPr>
            </w:pPr>
            <w:r>
              <w:rPr>
                <w:rFonts w:ascii="Arial" w:cs="Arial" w:eastAsia="Arial" w:hAnsi="Arial"/>
                <w:sz w:val="18"/>
                <w:szCs w:val="18"/>
                <w:color w:val="auto"/>
                <w:w w:val="79"/>
              </w:rPr>
              <w:t>$</w:t>
            </w:r>
          </w:p>
        </w:tc>
        <w:tc>
          <w:tcPr>
            <w:tcW w:w="1060" w:type="dxa"/>
            <w:vAlign w:val="bottom"/>
            <w:shd w:val="clear" w:color="auto" w:fill="E5FFFF"/>
          </w:tcPr>
          <w:p>
            <w:pPr>
              <w:jc w:val="right"/>
              <w:ind w:right="38"/>
              <w:spacing w:after="0" w:line="189" w:lineRule="exact"/>
              <w:rPr>
                <w:sz w:val="20"/>
                <w:szCs w:val="20"/>
                <w:color w:val="auto"/>
              </w:rPr>
            </w:pPr>
            <w:r>
              <w:rPr>
                <w:rFonts w:ascii="Arial" w:cs="Arial" w:eastAsia="Arial" w:hAnsi="Arial"/>
                <w:sz w:val="18"/>
                <w:szCs w:val="18"/>
                <w:color w:val="auto"/>
              </w:rPr>
              <w:t>1,267</w:t>
            </w:r>
          </w:p>
        </w:tc>
        <w:tc>
          <w:tcPr>
            <w:tcW w:w="360" w:type="dxa"/>
            <w:vAlign w:val="bottom"/>
            <w:shd w:val="clear" w:color="auto" w:fill="E5FFFF"/>
          </w:tcPr>
          <w:p>
            <w:pPr>
              <w:spacing w:after="0"/>
              <w:rPr>
                <w:sz w:val="16"/>
                <w:szCs w:val="16"/>
                <w:color w:val="auto"/>
              </w:rPr>
            </w:pPr>
          </w:p>
        </w:tc>
        <w:tc>
          <w:tcPr>
            <w:tcW w:w="520" w:type="dxa"/>
            <w:vAlign w:val="bottom"/>
            <w:shd w:val="clear" w:color="auto" w:fill="E5FFFF"/>
          </w:tcPr>
          <w:p>
            <w:pPr>
              <w:jc w:val="right"/>
              <w:ind w:right="330"/>
              <w:spacing w:after="0" w:line="189" w:lineRule="exact"/>
              <w:rPr>
                <w:sz w:val="20"/>
                <w:szCs w:val="20"/>
                <w:color w:val="auto"/>
              </w:rPr>
            </w:pPr>
            <w:r>
              <w:rPr>
                <w:rFonts w:ascii="Arial" w:cs="Arial" w:eastAsia="Arial" w:hAnsi="Arial"/>
                <w:sz w:val="18"/>
                <w:szCs w:val="18"/>
                <w:color w:val="auto"/>
                <w:w w:val="79"/>
              </w:rPr>
              <w:t>$</w:t>
            </w:r>
          </w:p>
        </w:tc>
        <w:tc>
          <w:tcPr>
            <w:tcW w:w="840" w:type="dxa"/>
            <w:vAlign w:val="bottom"/>
            <w:shd w:val="clear" w:color="auto" w:fill="E5FFFF"/>
          </w:tcPr>
          <w:p>
            <w:pPr>
              <w:jc w:val="right"/>
              <w:ind w:right="14"/>
              <w:spacing w:after="0" w:line="189" w:lineRule="exact"/>
              <w:rPr>
                <w:sz w:val="20"/>
                <w:szCs w:val="20"/>
                <w:color w:val="auto"/>
              </w:rPr>
            </w:pPr>
            <w:r>
              <w:rPr>
                <w:rFonts w:ascii="Arial" w:cs="Arial" w:eastAsia="Arial" w:hAnsi="Arial"/>
                <w:sz w:val="18"/>
                <w:szCs w:val="18"/>
                <w:color w:val="auto"/>
              </w:rPr>
              <w:t>1,392</w:t>
            </w:r>
          </w:p>
        </w:tc>
        <w:tc>
          <w:tcPr>
            <w:tcW w:w="340" w:type="dxa"/>
            <w:vAlign w:val="bottom"/>
            <w:shd w:val="clear" w:color="auto" w:fill="E5FFFF"/>
          </w:tcPr>
          <w:p>
            <w:pPr>
              <w:spacing w:after="0"/>
              <w:rPr>
                <w:sz w:val="16"/>
                <w:szCs w:val="16"/>
                <w:color w:val="auto"/>
              </w:rPr>
            </w:pPr>
          </w:p>
        </w:tc>
        <w:tc>
          <w:tcPr>
            <w:tcW w:w="300" w:type="dxa"/>
            <w:vAlign w:val="bottom"/>
            <w:shd w:val="clear" w:color="auto" w:fill="E5FFFF"/>
          </w:tcPr>
          <w:p>
            <w:pPr>
              <w:jc w:val="right"/>
              <w:ind w:right="110"/>
              <w:spacing w:after="0" w:line="189" w:lineRule="exact"/>
              <w:rPr>
                <w:sz w:val="20"/>
                <w:szCs w:val="20"/>
                <w:color w:val="auto"/>
              </w:rPr>
            </w:pPr>
            <w:r>
              <w:rPr>
                <w:rFonts w:ascii="Arial" w:cs="Arial" w:eastAsia="Arial" w:hAnsi="Arial"/>
                <w:sz w:val="18"/>
                <w:szCs w:val="18"/>
                <w:color w:val="auto"/>
                <w:w w:val="79"/>
              </w:rPr>
              <w:t>$</w:t>
            </w:r>
          </w:p>
        </w:tc>
        <w:tc>
          <w:tcPr>
            <w:tcW w:w="1060" w:type="dxa"/>
            <w:vAlign w:val="bottom"/>
            <w:shd w:val="clear" w:color="auto" w:fill="E5FFFF"/>
          </w:tcPr>
          <w:p>
            <w:pPr>
              <w:jc w:val="right"/>
              <w:ind w:right="38"/>
              <w:spacing w:after="0" w:line="189" w:lineRule="exact"/>
              <w:rPr>
                <w:sz w:val="20"/>
                <w:szCs w:val="20"/>
                <w:color w:val="auto"/>
              </w:rPr>
            </w:pPr>
            <w:r>
              <w:rPr>
                <w:rFonts w:ascii="Arial" w:cs="Arial" w:eastAsia="Arial" w:hAnsi="Arial"/>
                <w:sz w:val="18"/>
                <w:szCs w:val="18"/>
                <w:color w:val="auto"/>
              </w:rPr>
              <w:t>2,705</w:t>
            </w:r>
          </w:p>
        </w:tc>
        <w:tc>
          <w:tcPr>
            <w:tcW w:w="320" w:type="dxa"/>
            <w:vAlign w:val="bottom"/>
            <w:shd w:val="clear" w:color="auto" w:fill="E5FFFF"/>
          </w:tcPr>
          <w:p>
            <w:pPr>
              <w:spacing w:after="0"/>
              <w:rPr>
                <w:sz w:val="16"/>
                <w:szCs w:val="16"/>
                <w:color w:val="auto"/>
              </w:rPr>
            </w:pPr>
          </w:p>
        </w:tc>
        <w:tc>
          <w:tcPr>
            <w:tcW w:w="500" w:type="dxa"/>
            <w:vAlign w:val="bottom"/>
            <w:shd w:val="clear" w:color="auto" w:fill="E5FFFF"/>
          </w:tcPr>
          <w:p>
            <w:pPr>
              <w:jc w:val="right"/>
              <w:ind w:right="310"/>
              <w:spacing w:after="0" w:line="189" w:lineRule="exact"/>
              <w:rPr>
                <w:sz w:val="20"/>
                <w:szCs w:val="20"/>
                <w:color w:val="auto"/>
              </w:rPr>
            </w:pPr>
            <w:r>
              <w:rPr>
                <w:rFonts w:ascii="Arial" w:cs="Arial" w:eastAsia="Arial" w:hAnsi="Arial"/>
                <w:sz w:val="18"/>
                <w:szCs w:val="18"/>
                <w:color w:val="auto"/>
                <w:w w:val="79"/>
              </w:rPr>
              <w:t>$</w:t>
            </w:r>
          </w:p>
        </w:tc>
        <w:tc>
          <w:tcPr>
            <w:tcW w:w="860" w:type="dxa"/>
            <w:vAlign w:val="bottom"/>
            <w:shd w:val="clear" w:color="auto" w:fill="E5FFFF"/>
          </w:tcPr>
          <w:p>
            <w:pPr>
              <w:jc w:val="right"/>
              <w:ind w:right="14"/>
              <w:spacing w:after="0" w:line="189" w:lineRule="exact"/>
              <w:rPr>
                <w:sz w:val="20"/>
                <w:szCs w:val="20"/>
                <w:color w:val="auto"/>
              </w:rPr>
            </w:pPr>
            <w:r>
              <w:rPr>
                <w:rFonts w:ascii="Arial" w:cs="Arial" w:eastAsia="Arial" w:hAnsi="Arial"/>
                <w:sz w:val="18"/>
                <w:szCs w:val="18"/>
                <w:color w:val="auto"/>
              </w:rPr>
              <w:t>2,718</w:t>
            </w:r>
          </w:p>
        </w:tc>
        <w:tc>
          <w:tcPr>
            <w:tcW w:w="0" w:type="dxa"/>
            <w:vAlign w:val="bottom"/>
          </w:tcPr>
          <w:p>
            <w:pPr>
              <w:spacing w:after="0"/>
              <w:rPr>
                <w:sz w:val="1"/>
                <w:szCs w:val="1"/>
                <w:color w:val="auto"/>
              </w:rPr>
            </w:pPr>
          </w:p>
        </w:tc>
      </w:tr>
      <w:tr>
        <w:trPr>
          <w:trHeight w:val="365"/>
        </w:trPr>
        <w:tc>
          <w:tcPr>
            <w:tcW w:w="4180" w:type="dxa"/>
            <w:vAlign w:val="bottom"/>
            <w:gridSpan w:val="5"/>
          </w:tcPr>
          <w:p>
            <w:pPr>
              <w:spacing w:after="0"/>
              <w:rPr>
                <w:sz w:val="20"/>
                <w:szCs w:val="20"/>
                <w:color w:val="auto"/>
              </w:rPr>
            </w:pPr>
            <w:r>
              <w:rPr>
                <w:rFonts w:ascii="Arial" w:cs="Arial" w:eastAsia="Arial" w:hAnsi="Arial"/>
                <w:sz w:val="14"/>
                <w:szCs w:val="14"/>
                <w:b w:val="1"/>
                <w:bCs w:val="1"/>
                <w:color w:val="auto"/>
              </w:rPr>
              <w:t>Average Shares</w:t>
            </w: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4160" w:type="dxa"/>
            <w:vAlign w:val="bottom"/>
            <w:gridSpan w:val="4"/>
            <w:shd w:val="clear" w:color="auto" w:fill="E5FFFF"/>
          </w:tcPr>
          <w:p>
            <w:pPr>
              <w:spacing w:after="0" w:line="196" w:lineRule="exact"/>
              <w:rPr>
                <w:sz w:val="20"/>
                <w:szCs w:val="20"/>
                <w:color w:val="auto"/>
              </w:rPr>
            </w:pPr>
            <w:r>
              <w:rPr>
                <w:rFonts w:ascii="Arial" w:cs="Arial" w:eastAsia="Arial" w:hAnsi="Arial"/>
                <w:sz w:val="18"/>
                <w:szCs w:val="18"/>
                <w:color w:val="auto"/>
              </w:rPr>
              <w:t>Weighted average shares outstanding</w:t>
            </w:r>
          </w:p>
        </w:tc>
        <w:tc>
          <w:tcPr>
            <w:tcW w:w="760" w:type="dxa"/>
            <w:vAlign w:val="bottom"/>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1060" w:type="dxa"/>
            <w:vAlign w:val="bottom"/>
            <w:shd w:val="clear" w:color="auto" w:fill="E5FFFF"/>
          </w:tcPr>
          <w:p>
            <w:pPr>
              <w:jc w:val="right"/>
              <w:ind w:right="38"/>
              <w:spacing w:after="0" w:line="196" w:lineRule="exact"/>
              <w:rPr>
                <w:sz w:val="20"/>
                <w:szCs w:val="20"/>
                <w:color w:val="auto"/>
              </w:rPr>
            </w:pPr>
            <w:r>
              <w:rPr>
                <w:rFonts w:ascii="Arial" w:cs="Arial" w:eastAsia="Arial" w:hAnsi="Arial"/>
                <w:sz w:val="18"/>
                <w:szCs w:val="18"/>
                <w:color w:val="auto"/>
              </w:rPr>
              <w:t>745.5</w:t>
            </w:r>
          </w:p>
        </w:tc>
        <w:tc>
          <w:tcPr>
            <w:tcW w:w="360" w:type="dxa"/>
            <w:vAlign w:val="bottom"/>
            <w:shd w:val="clear" w:color="auto" w:fill="E5FFFF"/>
          </w:tcPr>
          <w:p>
            <w:pPr>
              <w:spacing w:after="0"/>
              <w:rPr>
                <w:sz w:val="17"/>
                <w:szCs w:val="17"/>
                <w:color w:val="auto"/>
              </w:rPr>
            </w:pPr>
          </w:p>
        </w:tc>
        <w:tc>
          <w:tcPr>
            <w:tcW w:w="520" w:type="dxa"/>
            <w:vAlign w:val="bottom"/>
            <w:shd w:val="clear" w:color="auto" w:fill="E5FFFF"/>
          </w:tcPr>
          <w:p>
            <w:pPr>
              <w:spacing w:after="0"/>
              <w:rPr>
                <w:sz w:val="17"/>
                <w:szCs w:val="17"/>
                <w:color w:val="auto"/>
              </w:rPr>
            </w:pPr>
          </w:p>
        </w:tc>
        <w:tc>
          <w:tcPr>
            <w:tcW w:w="840" w:type="dxa"/>
            <w:vAlign w:val="bottom"/>
            <w:shd w:val="clear" w:color="auto" w:fill="E5FFFF"/>
          </w:tcPr>
          <w:p>
            <w:pPr>
              <w:jc w:val="right"/>
              <w:ind w:right="14"/>
              <w:spacing w:after="0" w:line="196" w:lineRule="exact"/>
              <w:rPr>
                <w:sz w:val="20"/>
                <w:szCs w:val="20"/>
                <w:color w:val="auto"/>
              </w:rPr>
            </w:pPr>
            <w:r>
              <w:rPr>
                <w:rFonts w:ascii="Arial" w:cs="Arial" w:eastAsia="Arial" w:hAnsi="Arial"/>
                <w:sz w:val="18"/>
                <w:szCs w:val="18"/>
                <w:color w:val="auto"/>
              </w:rPr>
              <w:t>764.2</w:t>
            </w:r>
          </w:p>
        </w:tc>
        <w:tc>
          <w:tcPr>
            <w:tcW w:w="34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1060" w:type="dxa"/>
            <w:vAlign w:val="bottom"/>
            <w:shd w:val="clear" w:color="auto" w:fill="E5FFFF"/>
          </w:tcPr>
          <w:p>
            <w:pPr>
              <w:jc w:val="right"/>
              <w:ind w:right="38"/>
              <w:spacing w:after="0" w:line="196" w:lineRule="exact"/>
              <w:rPr>
                <w:sz w:val="20"/>
                <w:szCs w:val="20"/>
                <w:color w:val="auto"/>
              </w:rPr>
            </w:pPr>
            <w:r>
              <w:rPr>
                <w:rFonts w:ascii="Arial" w:cs="Arial" w:eastAsia="Arial" w:hAnsi="Arial"/>
                <w:sz w:val="18"/>
                <w:szCs w:val="18"/>
                <w:color w:val="auto"/>
              </w:rPr>
              <w:t>748.0</w:t>
            </w:r>
          </w:p>
        </w:tc>
        <w:tc>
          <w:tcPr>
            <w:tcW w:w="320" w:type="dxa"/>
            <w:vAlign w:val="bottom"/>
            <w:shd w:val="clear" w:color="auto" w:fill="E5FFFF"/>
          </w:tcPr>
          <w:p>
            <w:pPr>
              <w:spacing w:after="0"/>
              <w:rPr>
                <w:sz w:val="17"/>
                <w:szCs w:val="17"/>
                <w:color w:val="auto"/>
              </w:rPr>
            </w:pPr>
          </w:p>
        </w:tc>
        <w:tc>
          <w:tcPr>
            <w:tcW w:w="500" w:type="dxa"/>
            <w:vAlign w:val="bottom"/>
            <w:shd w:val="clear" w:color="auto" w:fill="E5FFFF"/>
          </w:tcPr>
          <w:p>
            <w:pPr>
              <w:spacing w:after="0"/>
              <w:rPr>
                <w:sz w:val="17"/>
                <w:szCs w:val="17"/>
                <w:color w:val="auto"/>
              </w:rPr>
            </w:pPr>
          </w:p>
        </w:tc>
        <w:tc>
          <w:tcPr>
            <w:tcW w:w="860" w:type="dxa"/>
            <w:vAlign w:val="bottom"/>
            <w:shd w:val="clear" w:color="auto" w:fill="E5FFFF"/>
          </w:tcPr>
          <w:p>
            <w:pPr>
              <w:jc w:val="right"/>
              <w:ind w:right="14"/>
              <w:spacing w:after="0" w:line="196" w:lineRule="exact"/>
              <w:rPr>
                <w:sz w:val="20"/>
                <w:szCs w:val="20"/>
                <w:color w:val="auto"/>
              </w:rPr>
            </w:pPr>
            <w:r>
              <w:rPr>
                <w:rFonts w:ascii="Arial" w:cs="Arial" w:eastAsia="Arial" w:hAnsi="Arial"/>
                <w:sz w:val="18"/>
                <w:szCs w:val="18"/>
                <w:color w:val="auto"/>
              </w:rPr>
              <w:t>763.6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60" w:type="dxa"/>
            <w:vAlign w:val="bottom"/>
            <w:tcBorders>
              <w:bottom w:val="single" w:sz="8" w:color="E5FFFF"/>
            </w:tcBorders>
            <w:gridSpan w:val="4"/>
          </w:tcPr>
          <w:p>
            <w:pPr>
              <w:spacing w:after="0" w:line="202" w:lineRule="exact"/>
              <w:rPr>
                <w:sz w:val="20"/>
                <w:szCs w:val="20"/>
                <w:color w:val="auto"/>
              </w:rPr>
            </w:pPr>
            <w:r>
              <w:rPr>
                <w:rFonts w:ascii="Arial" w:cs="Arial" w:eastAsia="Arial" w:hAnsi="Arial"/>
                <w:sz w:val="18"/>
                <w:szCs w:val="18"/>
                <w:color w:val="auto"/>
              </w:rPr>
              <w:t>Dilutive securities issuable - stock plans</w:t>
            </w:r>
          </w:p>
        </w:tc>
        <w:tc>
          <w:tcPr>
            <w:tcW w:w="760" w:type="dxa"/>
            <w:vAlign w:val="bottom"/>
            <w:tcBorders>
              <w:bottom w:val="single" w:sz="8" w:color="E5FF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8"/>
              <w:spacing w:after="0" w:line="202" w:lineRule="exact"/>
              <w:rPr>
                <w:sz w:val="20"/>
                <w:szCs w:val="20"/>
                <w:color w:val="auto"/>
              </w:rPr>
            </w:pPr>
            <w:r>
              <w:rPr>
                <w:rFonts w:ascii="Arial" w:cs="Arial" w:eastAsia="Arial" w:hAnsi="Arial"/>
                <w:sz w:val="18"/>
                <w:szCs w:val="18"/>
                <w:color w:val="auto"/>
              </w:rPr>
              <w:t>9.5</w:t>
            </w:r>
          </w:p>
        </w:tc>
        <w:tc>
          <w:tcPr>
            <w:tcW w:w="360" w:type="dxa"/>
            <w:vAlign w:val="bottom"/>
            <w:tcBorders>
              <w:bottom w:val="single" w:sz="8" w:color="E5FF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4"/>
              <w:spacing w:after="0" w:line="202" w:lineRule="exact"/>
              <w:rPr>
                <w:sz w:val="20"/>
                <w:szCs w:val="20"/>
                <w:color w:val="auto"/>
              </w:rPr>
            </w:pPr>
            <w:r>
              <w:rPr>
                <w:rFonts w:ascii="Arial" w:cs="Arial" w:eastAsia="Arial" w:hAnsi="Arial"/>
                <w:sz w:val="18"/>
                <w:szCs w:val="18"/>
                <w:color w:val="auto"/>
              </w:rPr>
              <w:t>9.8</w:t>
            </w:r>
          </w:p>
        </w:tc>
        <w:tc>
          <w:tcPr>
            <w:tcW w:w="340" w:type="dxa"/>
            <w:vAlign w:val="bottom"/>
            <w:tcBorders>
              <w:bottom w:val="single" w:sz="8" w:color="E5FF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8"/>
              <w:spacing w:after="0" w:line="202" w:lineRule="exact"/>
              <w:rPr>
                <w:sz w:val="20"/>
                <w:szCs w:val="20"/>
                <w:color w:val="auto"/>
              </w:rPr>
            </w:pPr>
            <w:r>
              <w:rPr>
                <w:rFonts w:ascii="Arial" w:cs="Arial" w:eastAsia="Arial" w:hAnsi="Arial"/>
                <w:sz w:val="18"/>
                <w:szCs w:val="18"/>
                <w:color w:val="auto"/>
              </w:rPr>
              <w:t>10.0</w:t>
            </w:r>
          </w:p>
        </w:tc>
        <w:tc>
          <w:tcPr>
            <w:tcW w:w="320" w:type="dxa"/>
            <w:vAlign w:val="bottom"/>
            <w:tcBorders>
              <w:bottom w:val="single" w:sz="8" w:color="E5FF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14"/>
              <w:spacing w:after="0" w:line="202" w:lineRule="exact"/>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160" w:type="dxa"/>
            <w:vAlign w:val="bottom"/>
            <w:tcBorders>
              <w:bottom w:val="single" w:sz="8" w:color="E5FFFF"/>
            </w:tcBorders>
            <w:gridSpan w:val="4"/>
            <w:shd w:val="clear" w:color="auto" w:fill="E5FFFF"/>
          </w:tcPr>
          <w:p>
            <w:pPr>
              <w:spacing w:after="0" w:line="196" w:lineRule="exact"/>
              <w:rPr>
                <w:sz w:val="20"/>
                <w:szCs w:val="20"/>
                <w:color w:val="auto"/>
              </w:rPr>
            </w:pPr>
            <w:r>
              <w:rPr>
                <w:rFonts w:ascii="Arial" w:cs="Arial" w:eastAsia="Arial" w:hAnsi="Arial"/>
                <w:sz w:val="18"/>
                <w:szCs w:val="18"/>
                <w:color w:val="auto"/>
              </w:rPr>
              <w:t>Total weighted average shares outstanding</w:t>
            </w:r>
          </w:p>
        </w:tc>
        <w:tc>
          <w:tcPr>
            <w:tcW w:w="760" w:type="dxa"/>
            <w:vAlign w:val="bottom"/>
            <w:tcBorders>
              <w:bottom w:val="single" w:sz="8" w:color="E5FFFF"/>
            </w:tcBorders>
            <w:shd w:val="clear" w:color="auto" w:fill="E5FFFF"/>
          </w:tcPr>
          <w:p>
            <w:pPr>
              <w:spacing w:after="0"/>
              <w:rPr>
                <w:sz w:val="17"/>
                <w:szCs w:val="17"/>
                <w:color w:val="auto"/>
              </w:rPr>
            </w:pPr>
          </w:p>
        </w:tc>
        <w:tc>
          <w:tcPr>
            <w:tcW w:w="320" w:type="dxa"/>
            <w:vAlign w:val="bottom"/>
            <w:tcBorders>
              <w:bottom w:val="single" w:sz="8" w:color="auto"/>
            </w:tcBorders>
            <w:shd w:val="clear" w:color="auto" w:fill="E5FFFF"/>
          </w:tcPr>
          <w:p>
            <w:pPr>
              <w:spacing w:after="0"/>
              <w:rPr>
                <w:sz w:val="17"/>
                <w:szCs w:val="17"/>
                <w:color w:val="auto"/>
              </w:rPr>
            </w:pPr>
          </w:p>
        </w:tc>
        <w:tc>
          <w:tcPr>
            <w:tcW w:w="1060" w:type="dxa"/>
            <w:vAlign w:val="bottom"/>
            <w:tcBorders>
              <w:bottom w:val="single" w:sz="8" w:color="auto"/>
            </w:tcBorders>
            <w:shd w:val="clear" w:color="auto" w:fill="E5FFFF"/>
          </w:tcPr>
          <w:p>
            <w:pPr>
              <w:jc w:val="right"/>
              <w:ind w:right="38"/>
              <w:spacing w:after="0" w:line="196" w:lineRule="exact"/>
              <w:rPr>
                <w:sz w:val="20"/>
                <w:szCs w:val="20"/>
                <w:color w:val="auto"/>
              </w:rPr>
            </w:pPr>
            <w:r>
              <w:rPr>
                <w:rFonts w:ascii="Arial" w:cs="Arial" w:eastAsia="Arial" w:hAnsi="Arial"/>
                <w:sz w:val="18"/>
                <w:szCs w:val="18"/>
                <w:color w:val="auto"/>
              </w:rPr>
              <w:t>755.0</w:t>
            </w:r>
          </w:p>
        </w:tc>
        <w:tc>
          <w:tcPr>
            <w:tcW w:w="360" w:type="dxa"/>
            <w:vAlign w:val="bottom"/>
            <w:tcBorders>
              <w:bottom w:val="single" w:sz="8" w:color="E5FFFF"/>
            </w:tcBorders>
            <w:shd w:val="clear" w:color="auto" w:fill="E5FFFF"/>
          </w:tcPr>
          <w:p>
            <w:pPr>
              <w:spacing w:after="0"/>
              <w:rPr>
                <w:sz w:val="17"/>
                <w:szCs w:val="17"/>
                <w:color w:val="auto"/>
              </w:rPr>
            </w:pPr>
          </w:p>
        </w:tc>
        <w:tc>
          <w:tcPr>
            <w:tcW w:w="520" w:type="dxa"/>
            <w:vAlign w:val="bottom"/>
            <w:tcBorders>
              <w:bottom w:val="single" w:sz="8" w:color="auto"/>
            </w:tcBorders>
            <w:shd w:val="clear" w:color="auto" w:fill="E5FFFF"/>
          </w:tcPr>
          <w:p>
            <w:pPr>
              <w:spacing w:after="0"/>
              <w:rPr>
                <w:sz w:val="17"/>
                <w:szCs w:val="17"/>
                <w:color w:val="auto"/>
              </w:rPr>
            </w:pPr>
          </w:p>
        </w:tc>
        <w:tc>
          <w:tcPr>
            <w:tcW w:w="840" w:type="dxa"/>
            <w:vAlign w:val="bottom"/>
            <w:tcBorders>
              <w:bottom w:val="single" w:sz="8" w:color="auto"/>
            </w:tcBorders>
            <w:shd w:val="clear" w:color="auto" w:fill="E5FFFF"/>
          </w:tcPr>
          <w:p>
            <w:pPr>
              <w:jc w:val="right"/>
              <w:ind w:right="14"/>
              <w:spacing w:after="0" w:line="196" w:lineRule="exact"/>
              <w:rPr>
                <w:sz w:val="20"/>
                <w:szCs w:val="20"/>
                <w:color w:val="auto"/>
              </w:rPr>
            </w:pPr>
            <w:r>
              <w:rPr>
                <w:rFonts w:ascii="Arial" w:cs="Arial" w:eastAsia="Arial" w:hAnsi="Arial"/>
                <w:sz w:val="18"/>
                <w:szCs w:val="18"/>
                <w:color w:val="auto"/>
              </w:rPr>
              <w:t>774.0</w:t>
            </w:r>
          </w:p>
        </w:tc>
        <w:tc>
          <w:tcPr>
            <w:tcW w:w="340" w:type="dxa"/>
            <w:vAlign w:val="bottom"/>
            <w:tcBorders>
              <w:bottom w:val="single" w:sz="8" w:color="E5FFFF"/>
            </w:tcBorders>
            <w:shd w:val="clear" w:color="auto" w:fill="E5FFFF"/>
          </w:tcPr>
          <w:p>
            <w:pPr>
              <w:spacing w:after="0"/>
              <w:rPr>
                <w:sz w:val="17"/>
                <w:szCs w:val="17"/>
                <w:color w:val="auto"/>
              </w:rPr>
            </w:pPr>
          </w:p>
        </w:tc>
        <w:tc>
          <w:tcPr>
            <w:tcW w:w="300" w:type="dxa"/>
            <w:vAlign w:val="bottom"/>
            <w:tcBorders>
              <w:bottom w:val="single" w:sz="8" w:color="auto"/>
            </w:tcBorders>
            <w:shd w:val="clear" w:color="auto" w:fill="E5FFFF"/>
          </w:tcPr>
          <w:p>
            <w:pPr>
              <w:spacing w:after="0"/>
              <w:rPr>
                <w:sz w:val="17"/>
                <w:szCs w:val="17"/>
                <w:color w:val="auto"/>
              </w:rPr>
            </w:pPr>
          </w:p>
        </w:tc>
        <w:tc>
          <w:tcPr>
            <w:tcW w:w="1060" w:type="dxa"/>
            <w:vAlign w:val="bottom"/>
            <w:tcBorders>
              <w:bottom w:val="single" w:sz="8" w:color="auto"/>
            </w:tcBorders>
            <w:shd w:val="clear" w:color="auto" w:fill="E5FFFF"/>
          </w:tcPr>
          <w:p>
            <w:pPr>
              <w:jc w:val="right"/>
              <w:ind w:right="38"/>
              <w:spacing w:after="0" w:line="196" w:lineRule="exact"/>
              <w:rPr>
                <w:sz w:val="20"/>
                <w:szCs w:val="20"/>
                <w:color w:val="auto"/>
              </w:rPr>
            </w:pPr>
            <w:r>
              <w:rPr>
                <w:rFonts w:ascii="Arial" w:cs="Arial" w:eastAsia="Arial" w:hAnsi="Arial"/>
                <w:sz w:val="18"/>
                <w:szCs w:val="18"/>
                <w:color w:val="auto"/>
              </w:rPr>
              <w:t>758.0</w:t>
            </w:r>
          </w:p>
        </w:tc>
        <w:tc>
          <w:tcPr>
            <w:tcW w:w="320" w:type="dxa"/>
            <w:vAlign w:val="bottom"/>
            <w:tcBorders>
              <w:bottom w:val="single" w:sz="8" w:color="E5FFFF"/>
            </w:tcBorders>
            <w:shd w:val="clear" w:color="auto" w:fill="E5FFFF"/>
          </w:tcPr>
          <w:p>
            <w:pPr>
              <w:spacing w:after="0"/>
              <w:rPr>
                <w:sz w:val="17"/>
                <w:szCs w:val="17"/>
                <w:color w:val="auto"/>
              </w:rPr>
            </w:pPr>
          </w:p>
        </w:tc>
        <w:tc>
          <w:tcPr>
            <w:tcW w:w="500" w:type="dxa"/>
            <w:vAlign w:val="bottom"/>
            <w:tcBorders>
              <w:bottom w:val="single" w:sz="8" w:color="auto"/>
            </w:tcBorders>
            <w:shd w:val="clear" w:color="auto" w:fill="E5FFFF"/>
          </w:tcPr>
          <w:p>
            <w:pPr>
              <w:spacing w:after="0"/>
              <w:rPr>
                <w:sz w:val="17"/>
                <w:szCs w:val="17"/>
                <w:color w:val="auto"/>
              </w:rPr>
            </w:pPr>
          </w:p>
        </w:tc>
        <w:tc>
          <w:tcPr>
            <w:tcW w:w="860" w:type="dxa"/>
            <w:vAlign w:val="bottom"/>
            <w:tcBorders>
              <w:bottom w:val="single" w:sz="8" w:color="auto"/>
            </w:tcBorders>
            <w:shd w:val="clear" w:color="auto" w:fill="E5FFFF"/>
          </w:tcPr>
          <w:p>
            <w:pPr>
              <w:jc w:val="right"/>
              <w:ind w:right="14"/>
              <w:spacing w:after="0" w:line="196" w:lineRule="exact"/>
              <w:rPr>
                <w:sz w:val="20"/>
                <w:szCs w:val="20"/>
                <w:color w:val="auto"/>
              </w:rPr>
            </w:pPr>
            <w:r>
              <w:rPr>
                <w:rFonts w:ascii="Arial" w:cs="Arial" w:eastAsia="Arial" w:hAnsi="Arial"/>
                <w:sz w:val="18"/>
                <w:szCs w:val="18"/>
                <w:color w:val="auto"/>
              </w:rPr>
              <w:t>774.0</w:t>
            </w:r>
          </w:p>
        </w:tc>
        <w:tc>
          <w:tcPr>
            <w:tcW w:w="0" w:type="dxa"/>
            <w:vAlign w:val="bottom"/>
          </w:tcPr>
          <w:p>
            <w:pPr>
              <w:spacing w:after="0"/>
              <w:rPr>
                <w:sz w:val="1"/>
                <w:szCs w:val="1"/>
                <w:color w:val="auto"/>
              </w:rPr>
            </w:pPr>
          </w:p>
        </w:tc>
      </w:tr>
      <w:tr>
        <w:trPr>
          <w:trHeight w:val="20"/>
        </w:trPr>
        <w:tc>
          <w:tcPr>
            <w:tcW w:w="4180" w:type="dxa"/>
            <w:vAlign w:val="bottom"/>
            <w:gridSpan w:val="5"/>
            <w:vMerge w:val="restart"/>
          </w:tcPr>
          <w:p>
            <w:pPr>
              <w:spacing w:after="0"/>
              <w:rPr>
                <w:sz w:val="20"/>
                <w:szCs w:val="20"/>
                <w:color w:val="auto"/>
              </w:rPr>
            </w:pPr>
            <w:r>
              <w:rPr>
                <w:rFonts w:ascii="Arial" w:cs="Arial" w:eastAsia="Arial" w:hAnsi="Arial"/>
                <w:sz w:val="18"/>
                <w:szCs w:val="18"/>
                <w:color w:val="auto"/>
              </w:rPr>
              <w:t>Earnings per share of common stock</w:t>
            </w:r>
          </w:p>
        </w:tc>
        <w:tc>
          <w:tcPr>
            <w:tcW w:w="108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180" w:type="dxa"/>
            <w:vAlign w:val="bottom"/>
            <w:gridSpan w:val="5"/>
            <w:vMerge w:val="continue"/>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Borders>
              <w:top w:val="single" w:sz="8" w:color="auto"/>
            </w:tcBorders>
          </w:tcPr>
          <w:p>
            <w:pPr>
              <w:jc w:val="right"/>
              <w:ind w:right="130"/>
              <w:spacing w:after="0" w:line="197" w:lineRule="exact"/>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ind w:right="38"/>
              <w:spacing w:after="0" w:line="197" w:lineRule="exact"/>
              <w:rPr>
                <w:sz w:val="20"/>
                <w:szCs w:val="20"/>
                <w:color w:val="auto"/>
              </w:rPr>
            </w:pPr>
            <w:r>
              <w:rPr>
                <w:rFonts w:ascii="Arial" w:cs="Arial" w:eastAsia="Arial" w:hAnsi="Arial"/>
                <w:sz w:val="18"/>
                <w:szCs w:val="18"/>
                <w:color w:val="auto"/>
              </w:rPr>
              <w:t>1.68</w:t>
            </w:r>
          </w:p>
        </w:tc>
        <w:tc>
          <w:tcPr>
            <w:tcW w:w="360" w:type="dxa"/>
            <w:vAlign w:val="bottom"/>
          </w:tcPr>
          <w:p>
            <w:pPr>
              <w:spacing w:after="0"/>
              <w:rPr>
                <w:sz w:val="17"/>
                <w:szCs w:val="17"/>
                <w:color w:val="auto"/>
              </w:rPr>
            </w:pPr>
          </w:p>
        </w:tc>
        <w:tc>
          <w:tcPr>
            <w:tcW w:w="520" w:type="dxa"/>
            <w:vAlign w:val="bottom"/>
            <w:tcBorders>
              <w:top w:val="single" w:sz="8" w:color="auto"/>
            </w:tcBorders>
          </w:tcPr>
          <w:p>
            <w:pPr>
              <w:jc w:val="right"/>
              <w:ind w:right="330"/>
              <w:spacing w:after="0" w:line="197" w:lineRule="exact"/>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tcPr>
          <w:p>
            <w:pPr>
              <w:jc w:val="right"/>
              <w:ind w:right="14"/>
              <w:spacing w:after="0" w:line="197" w:lineRule="exact"/>
              <w:rPr>
                <w:sz w:val="20"/>
                <w:szCs w:val="20"/>
                <w:color w:val="auto"/>
              </w:rPr>
            </w:pPr>
            <w:r>
              <w:rPr>
                <w:rFonts w:ascii="Arial" w:cs="Arial" w:eastAsia="Arial" w:hAnsi="Arial"/>
                <w:sz w:val="18"/>
                <w:szCs w:val="18"/>
                <w:color w:val="auto"/>
              </w:rPr>
              <w:t>1.80</w:t>
            </w:r>
          </w:p>
        </w:tc>
        <w:tc>
          <w:tcPr>
            <w:tcW w:w="340" w:type="dxa"/>
            <w:vAlign w:val="bottom"/>
          </w:tcPr>
          <w:p>
            <w:pPr>
              <w:spacing w:after="0"/>
              <w:rPr>
                <w:sz w:val="17"/>
                <w:szCs w:val="17"/>
                <w:color w:val="auto"/>
              </w:rPr>
            </w:pPr>
          </w:p>
        </w:tc>
        <w:tc>
          <w:tcPr>
            <w:tcW w:w="300" w:type="dxa"/>
            <w:vAlign w:val="bottom"/>
            <w:tcBorders>
              <w:top w:val="single" w:sz="8" w:color="auto"/>
            </w:tcBorders>
          </w:tcPr>
          <w:p>
            <w:pPr>
              <w:jc w:val="right"/>
              <w:ind w:right="110"/>
              <w:spacing w:after="0" w:line="197" w:lineRule="exact"/>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ind w:right="38"/>
              <w:spacing w:after="0" w:line="197" w:lineRule="exact"/>
              <w:rPr>
                <w:sz w:val="20"/>
                <w:szCs w:val="20"/>
                <w:color w:val="auto"/>
              </w:rPr>
            </w:pPr>
            <w:r>
              <w:rPr>
                <w:rFonts w:ascii="Arial" w:cs="Arial" w:eastAsia="Arial" w:hAnsi="Arial"/>
                <w:sz w:val="18"/>
                <w:szCs w:val="18"/>
                <w:color w:val="auto"/>
              </w:rPr>
              <w:t>3.57</w:t>
            </w:r>
          </w:p>
        </w:tc>
        <w:tc>
          <w:tcPr>
            <w:tcW w:w="320" w:type="dxa"/>
            <w:vAlign w:val="bottom"/>
          </w:tcPr>
          <w:p>
            <w:pPr>
              <w:spacing w:after="0"/>
              <w:rPr>
                <w:sz w:val="17"/>
                <w:szCs w:val="17"/>
                <w:color w:val="auto"/>
              </w:rPr>
            </w:pPr>
          </w:p>
        </w:tc>
        <w:tc>
          <w:tcPr>
            <w:tcW w:w="500" w:type="dxa"/>
            <w:vAlign w:val="bottom"/>
            <w:tcBorders>
              <w:top w:val="single" w:sz="8" w:color="auto"/>
            </w:tcBorders>
          </w:tcPr>
          <w:p>
            <w:pPr>
              <w:jc w:val="right"/>
              <w:ind w:right="310"/>
              <w:spacing w:after="0" w:line="197"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tcPr>
          <w:p>
            <w:pPr>
              <w:jc w:val="right"/>
              <w:ind w:right="14"/>
              <w:spacing w:after="0" w:line="197" w:lineRule="exact"/>
              <w:rPr>
                <w:sz w:val="20"/>
                <w:szCs w:val="20"/>
                <w:color w:val="auto"/>
              </w:rPr>
            </w:pPr>
            <w:r>
              <w:rPr>
                <w:rFonts w:ascii="Arial" w:cs="Arial" w:eastAsia="Arial" w:hAnsi="Arial"/>
                <w:sz w:val="18"/>
                <w:szCs w:val="18"/>
                <w:color w:val="auto"/>
              </w:rPr>
              <w:t>3.51</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The diluted earnings per share calculations exclude the effect of stock options when the options’ assumed proceeds exceed the average market price of the common shares during the period. For the three and six months ended June 30, 2018, the weighted average number of stock options excluded from the computations were 3.1 million and 2.1 million. For the three and six months ended June 30, 2017, the weighted average number of stock options excluded from the computations were 5.0 million and 3.5 million. These stock options were outstanding at the end of each period.</w:t>
      </w:r>
    </w:p>
    <w:p>
      <w:pPr>
        <w:spacing w:after="0" w:line="189"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8"/>
          <w:szCs w:val="18"/>
          <w:color w:val="auto"/>
        </w:rPr>
        <w:t>As of June 30, 2018 and 2017, total shares outstanding were 742.6 million and 760.6 million and as of June 30, 2018 and 2017, total shares issued were 957.6 million.</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0"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Honeywell International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jc w:val="center"/>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Revenue Recognition and Contracts with Customers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Adoption</w:t>
      </w:r>
    </w:p>
    <w:p>
      <w:pPr>
        <w:spacing w:after="0" w:line="220"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On January 1, 2018, the Company adopted new guidance on revenue from contracts with customers using the modified retrospective method applied to contracts that were not completed as of January 1, 2018. Results for reporting periods beginning after January 1, 2018 are presented under the new guidance, while prior period amounts are not adjusted and continue to be reported in accordance with previous guidance.</w:t>
      </w:r>
    </w:p>
    <w:p>
      <w:pPr>
        <w:spacing w:after="0" w:line="188"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We recorded a net decrease to opening retained earnings of $75 million as of January 1, 2018, for the cumulative impact of adopting the new guidance. The impact primarily related to the change in accounting for mechanical service programs (change from input to output method, resulting in unbilled receivables (within Accounts receivable – net) and deferred revenue (within Accrued liabilities) being eliminated through Retained earnings) and for customer funding and the related costs incurred for nonrecurring engineering and development activities (deferral of revenues and related incurred costs until products are delivered to customers, resulting in increases in both deferred costs (assets) and deferred revenue (liability) by approximately $1.1 billion at adoption).</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jc w:val="center"/>
              <w:ind w:right="136"/>
              <w:spacing w:after="0"/>
              <w:rPr>
                <w:sz w:val="20"/>
                <w:szCs w:val="20"/>
                <w:color w:val="auto"/>
              </w:rPr>
            </w:pPr>
            <w:r>
              <w:rPr>
                <w:rFonts w:ascii="Arial" w:cs="Arial" w:eastAsia="Arial" w:hAnsi="Arial"/>
                <w:sz w:val="14"/>
                <w:szCs w:val="14"/>
                <w:b w:val="1"/>
                <w:bCs w:val="1"/>
                <w:color w:val="auto"/>
              </w:rPr>
              <w:t>New</w:t>
            </w: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2"/>
        </w:trPr>
        <w:tc>
          <w:tcPr>
            <w:tcW w:w="6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jc w:val="center"/>
              <w:ind w:right="74"/>
              <w:spacing w:after="0"/>
              <w:rPr>
                <w:sz w:val="20"/>
                <w:szCs w:val="20"/>
                <w:color w:val="auto"/>
              </w:rPr>
            </w:pPr>
            <w:r>
              <w:rPr>
                <w:rFonts w:ascii="Arial" w:cs="Arial" w:eastAsia="Arial" w:hAnsi="Arial"/>
                <w:sz w:val="14"/>
                <w:szCs w:val="14"/>
                <w:b w:val="1"/>
                <w:bCs w:val="1"/>
                <w:color w:val="auto"/>
              </w:rPr>
              <w:t>Balance at</w:t>
            </w: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jc w:val="center"/>
              <w:ind w:right="116"/>
              <w:spacing w:after="0"/>
              <w:rPr>
                <w:sz w:val="20"/>
                <w:szCs w:val="20"/>
                <w:color w:val="auto"/>
              </w:rPr>
            </w:pPr>
            <w:r>
              <w:rPr>
                <w:rFonts w:ascii="Arial" w:cs="Arial" w:eastAsia="Arial" w:hAnsi="Arial"/>
                <w:sz w:val="14"/>
                <w:szCs w:val="14"/>
                <w:b w:val="1"/>
                <w:bCs w:val="1"/>
                <w:color w:val="auto"/>
              </w:rPr>
              <w:t>Revenue</w:t>
            </w: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jc w:val="center"/>
              <w:ind w:right="134"/>
              <w:spacing w:after="0"/>
              <w:rPr>
                <w:sz w:val="20"/>
                <w:szCs w:val="20"/>
                <w:color w:val="auto"/>
              </w:rPr>
            </w:pPr>
            <w:r>
              <w:rPr>
                <w:rFonts w:ascii="Arial" w:cs="Arial" w:eastAsia="Arial" w:hAnsi="Arial"/>
                <w:sz w:val="14"/>
                <w:szCs w:val="14"/>
                <w:b w:val="1"/>
                <w:bCs w:val="1"/>
                <w:color w:val="auto"/>
              </w:rPr>
              <w:t>Balance at</w:t>
            </w:r>
          </w:p>
        </w:tc>
      </w:tr>
      <w:tr>
        <w:trPr>
          <w:trHeight w:val="162"/>
        </w:trPr>
        <w:tc>
          <w:tcPr>
            <w:tcW w:w="6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jc w:val="center"/>
              <w:ind w:right="94"/>
              <w:spacing w:after="0"/>
              <w:rPr>
                <w:sz w:val="20"/>
                <w:szCs w:val="20"/>
                <w:color w:val="auto"/>
              </w:rPr>
            </w:pPr>
            <w:r>
              <w:rPr>
                <w:rFonts w:ascii="Arial" w:cs="Arial" w:eastAsia="Arial" w:hAnsi="Arial"/>
                <w:sz w:val="14"/>
                <w:szCs w:val="14"/>
                <w:b w:val="1"/>
                <w:bCs w:val="1"/>
                <w:color w:val="auto"/>
              </w:rPr>
              <w:t>December 31,</w:t>
            </w: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jc w:val="center"/>
              <w:ind w:right="136"/>
              <w:spacing w:after="0"/>
              <w:rPr>
                <w:sz w:val="20"/>
                <w:szCs w:val="20"/>
                <w:color w:val="auto"/>
              </w:rPr>
            </w:pPr>
            <w:r>
              <w:rPr>
                <w:rFonts w:ascii="Arial" w:cs="Arial" w:eastAsia="Arial" w:hAnsi="Arial"/>
                <w:sz w:val="14"/>
                <w:szCs w:val="14"/>
                <w:b w:val="1"/>
                <w:bCs w:val="1"/>
                <w:color w:val="auto"/>
              </w:rPr>
              <w:t>Standard</w:t>
            </w: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jc w:val="center"/>
              <w:ind w:right="134"/>
              <w:spacing w:after="0"/>
              <w:rPr>
                <w:sz w:val="20"/>
                <w:szCs w:val="20"/>
                <w:color w:val="auto"/>
              </w:rPr>
            </w:pPr>
            <w:r>
              <w:rPr>
                <w:rFonts w:ascii="Arial" w:cs="Arial" w:eastAsia="Arial" w:hAnsi="Arial"/>
                <w:sz w:val="14"/>
                <w:szCs w:val="14"/>
                <w:b w:val="1"/>
                <w:bCs w:val="1"/>
                <w:color w:val="auto"/>
              </w:rPr>
              <w:t>January 1,</w:t>
            </w:r>
          </w:p>
        </w:tc>
      </w:tr>
      <w:tr>
        <w:trPr>
          <w:trHeight w:val="175"/>
        </w:trPr>
        <w:tc>
          <w:tcPr>
            <w:tcW w:w="6640" w:type="dxa"/>
            <w:vAlign w:val="bottom"/>
            <w:tcBorders>
              <w:bottom w:val="single" w:sz="8" w:color="E5FF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b w:val="1"/>
                <w:bCs w:val="1"/>
                <w:color w:val="auto"/>
              </w:rPr>
              <w:t>2017</w:t>
            </w:r>
          </w:p>
        </w:tc>
        <w:tc>
          <w:tcPr>
            <w:tcW w:w="340" w:type="dxa"/>
            <w:vAlign w:val="bottom"/>
            <w:tcBorders>
              <w:bottom w:val="single" w:sz="8" w:color="E5FF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center"/>
              <w:ind w:right="116"/>
              <w:spacing w:after="0"/>
              <w:rPr>
                <w:sz w:val="20"/>
                <w:szCs w:val="20"/>
                <w:color w:val="auto"/>
              </w:rPr>
            </w:pPr>
            <w:r>
              <w:rPr>
                <w:rFonts w:ascii="Arial" w:cs="Arial" w:eastAsia="Arial" w:hAnsi="Arial"/>
                <w:sz w:val="14"/>
                <w:szCs w:val="14"/>
                <w:b w:val="1"/>
                <w:bCs w:val="1"/>
                <w:color w:val="auto"/>
              </w:rPr>
              <w:t>Adjustment</w:t>
            </w:r>
          </w:p>
        </w:tc>
        <w:tc>
          <w:tcPr>
            <w:tcW w:w="320" w:type="dxa"/>
            <w:vAlign w:val="bottom"/>
            <w:tcBorders>
              <w:bottom w:val="single" w:sz="8" w:color="E5FF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rPr>
              <w:t>2018</w:t>
            </w:r>
          </w:p>
        </w:tc>
      </w:tr>
      <w:tr>
        <w:trPr>
          <w:trHeight w:val="196"/>
        </w:trPr>
        <w:tc>
          <w:tcPr>
            <w:tcW w:w="6640" w:type="dxa"/>
            <w:vAlign w:val="bottom"/>
            <w:shd w:val="clear" w:color="auto" w:fill="E5FF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60" w:type="dxa"/>
            <w:vAlign w:val="bottom"/>
            <w:shd w:val="clear" w:color="auto" w:fill="E5FFFF"/>
          </w:tcPr>
          <w:p>
            <w:pPr>
              <w:spacing w:after="0"/>
              <w:rPr>
                <w:sz w:val="17"/>
                <w:szCs w:val="17"/>
                <w:color w:val="auto"/>
              </w:rPr>
            </w:pPr>
          </w:p>
        </w:tc>
        <w:tc>
          <w:tcPr>
            <w:tcW w:w="1240" w:type="dxa"/>
            <w:vAlign w:val="bottom"/>
            <w:shd w:val="clear" w:color="auto" w:fill="E5FFFF"/>
          </w:tcPr>
          <w:p>
            <w:pPr>
              <w:spacing w:after="0"/>
              <w:rPr>
                <w:sz w:val="17"/>
                <w:szCs w:val="17"/>
                <w:color w:val="auto"/>
              </w:rPr>
            </w:pPr>
          </w:p>
        </w:tc>
        <w:tc>
          <w:tcPr>
            <w:tcW w:w="34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1160" w:type="dxa"/>
            <w:vAlign w:val="bottom"/>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140" w:type="dxa"/>
            <w:vAlign w:val="bottom"/>
            <w:shd w:val="clear" w:color="auto" w:fill="E5FFFF"/>
          </w:tcPr>
          <w:p>
            <w:pPr>
              <w:spacing w:after="0"/>
              <w:rPr>
                <w:sz w:val="17"/>
                <w:szCs w:val="17"/>
                <w:color w:val="auto"/>
              </w:rPr>
            </w:pPr>
          </w:p>
        </w:tc>
      </w:tr>
      <w:tr>
        <w:trPr>
          <w:trHeight w:val="203"/>
        </w:trPr>
        <w:tc>
          <w:tcPr>
            <w:tcW w:w="6640" w:type="dxa"/>
            <w:vAlign w:val="bottom"/>
          </w:tcPr>
          <w:p>
            <w:pPr>
              <w:spacing w:after="0" w:line="202" w:lineRule="exact"/>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3"/>
        </w:trPr>
        <w:tc>
          <w:tcPr>
            <w:tcW w:w="6640" w:type="dxa"/>
            <w:vAlign w:val="bottom"/>
            <w:shd w:val="clear" w:color="auto" w:fill="E5FFFF"/>
          </w:tcPr>
          <w:p>
            <w:pPr>
              <w:ind w:left="180"/>
              <w:spacing w:after="0" w:line="202" w:lineRule="exact"/>
              <w:rPr>
                <w:sz w:val="20"/>
                <w:szCs w:val="20"/>
                <w:color w:val="auto"/>
              </w:rPr>
            </w:pPr>
            <w:r>
              <w:rPr>
                <w:rFonts w:ascii="Arial" w:cs="Arial" w:eastAsia="Arial" w:hAnsi="Arial"/>
                <w:sz w:val="18"/>
                <w:szCs w:val="18"/>
                <w:color w:val="auto"/>
              </w:rPr>
              <w:t>Accounts receivable - net</w:t>
            </w:r>
          </w:p>
        </w:tc>
        <w:tc>
          <w:tcPr>
            <w:tcW w:w="16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w w:val="79"/>
              </w:rPr>
              <w:t>$</w:t>
            </w:r>
          </w:p>
        </w:tc>
        <w:tc>
          <w:tcPr>
            <w:tcW w:w="1240" w:type="dxa"/>
            <w:vAlign w:val="bottom"/>
            <w:shd w:val="clear" w:color="auto" w:fill="E5FFFF"/>
          </w:tcPr>
          <w:p>
            <w:pPr>
              <w:jc w:val="right"/>
              <w:ind w:right="54"/>
              <w:spacing w:after="0" w:line="202" w:lineRule="exact"/>
              <w:rPr>
                <w:sz w:val="20"/>
                <w:szCs w:val="20"/>
                <w:color w:val="auto"/>
              </w:rPr>
            </w:pPr>
            <w:r>
              <w:rPr>
                <w:rFonts w:ascii="Arial" w:cs="Arial" w:eastAsia="Arial" w:hAnsi="Arial"/>
                <w:sz w:val="18"/>
                <w:szCs w:val="18"/>
                <w:color w:val="auto"/>
              </w:rPr>
              <w:t>8,866</w:t>
            </w:r>
          </w:p>
        </w:tc>
        <w:tc>
          <w:tcPr>
            <w:tcW w:w="540" w:type="dxa"/>
            <w:vAlign w:val="bottom"/>
            <w:gridSpan w:val="2"/>
            <w:shd w:val="clear" w:color="auto" w:fill="E5FF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16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(149)</w:t>
            </w:r>
          </w:p>
        </w:tc>
        <w:tc>
          <w:tcPr>
            <w:tcW w:w="540" w:type="dxa"/>
            <w:vAlign w:val="bottom"/>
            <w:gridSpan w:val="2"/>
            <w:shd w:val="clear" w:color="auto" w:fill="E5FF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140" w:type="dxa"/>
            <w:vAlign w:val="bottom"/>
            <w:shd w:val="clear" w:color="auto" w:fill="E5FFFF"/>
          </w:tcPr>
          <w:p>
            <w:pPr>
              <w:jc w:val="right"/>
              <w:ind w:right="14"/>
              <w:spacing w:after="0" w:line="202" w:lineRule="exact"/>
              <w:rPr>
                <w:sz w:val="20"/>
                <w:szCs w:val="20"/>
                <w:color w:val="auto"/>
              </w:rPr>
            </w:pPr>
            <w:r>
              <w:rPr>
                <w:rFonts w:ascii="Arial" w:cs="Arial" w:eastAsia="Arial" w:hAnsi="Arial"/>
                <w:sz w:val="18"/>
                <w:szCs w:val="18"/>
                <w:color w:val="auto"/>
              </w:rPr>
              <w:t>8,717</w:t>
            </w:r>
          </w:p>
        </w:tc>
      </w:tr>
      <w:tr>
        <w:trPr>
          <w:trHeight w:val="203"/>
        </w:trPr>
        <w:tc>
          <w:tcPr>
            <w:tcW w:w="6640" w:type="dxa"/>
            <w:vAlign w:val="bottom"/>
          </w:tcPr>
          <w:p>
            <w:pPr>
              <w:ind w:left="180"/>
              <w:spacing w:after="0" w:line="202" w:lineRule="exact"/>
              <w:rPr>
                <w:sz w:val="20"/>
                <w:szCs w:val="20"/>
                <w:color w:val="auto"/>
              </w:rPr>
            </w:pPr>
            <w:r>
              <w:rPr>
                <w:rFonts w:ascii="Arial" w:cs="Arial" w:eastAsia="Arial" w:hAnsi="Arial"/>
                <w:sz w:val="18"/>
                <w:szCs w:val="18"/>
                <w:color w:val="auto"/>
              </w:rPr>
              <w:t>Inventories</w:t>
            </w:r>
          </w:p>
        </w:tc>
        <w:tc>
          <w:tcPr>
            <w:tcW w:w="160" w:type="dxa"/>
            <w:vAlign w:val="bottom"/>
          </w:tcPr>
          <w:p>
            <w:pPr>
              <w:spacing w:after="0"/>
              <w:rPr>
                <w:sz w:val="17"/>
                <w:szCs w:val="17"/>
                <w:color w:val="auto"/>
              </w:rPr>
            </w:pPr>
          </w:p>
        </w:tc>
        <w:tc>
          <w:tcPr>
            <w:tcW w:w="1240" w:type="dxa"/>
            <w:vAlign w:val="bottom"/>
          </w:tcPr>
          <w:p>
            <w:pPr>
              <w:jc w:val="right"/>
              <w:ind w:right="54"/>
              <w:spacing w:after="0" w:line="202" w:lineRule="exact"/>
              <w:rPr>
                <w:sz w:val="20"/>
                <w:szCs w:val="20"/>
                <w:color w:val="auto"/>
              </w:rPr>
            </w:pPr>
            <w:r>
              <w:rPr>
                <w:rFonts w:ascii="Arial" w:cs="Arial" w:eastAsia="Arial" w:hAnsi="Arial"/>
                <w:sz w:val="18"/>
                <w:szCs w:val="18"/>
                <w:color w:val="auto"/>
              </w:rPr>
              <w:t>4,613</w:t>
            </w: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(10)</w:t>
            </w: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jc w:val="right"/>
              <w:ind w:right="14"/>
              <w:spacing w:after="0" w:line="202" w:lineRule="exact"/>
              <w:rPr>
                <w:sz w:val="20"/>
                <w:szCs w:val="20"/>
                <w:color w:val="auto"/>
              </w:rPr>
            </w:pPr>
            <w:r>
              <w:rPr>
                <w:rFonts w:ascii="Arial" w:cs="Arial" w:eastAsia="Arial" w:hAnsi="Arial"/>
                <w:sz w:val="18"/>
                <w:szCs w:val="18"/>
                <w:color w:val="auto"/>
              </w:rPr>
              <w:t>4,603</w:t>
            </w:r>
          </w:p>
        </w:tc>
      </w:tr>
      <w:tr>
        <w:trPr>
          <w:trHeight w:val="203"/>
        </w:trPr>
        <w:tc>
          <w:tcPr>
            <w:tcW w:w="664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Deferred income taxes</w:t>
            </w:r>
          </w:p>
        </w:tc>
        <w:tc>
          <w:tcPr>
            <w:tcW w:w="160" w:type="dxa"/>
            <w:vAlign w:val="bottom"/>
            <w:shd w:val="clear" w:color="auto" w:fill="E5FFFF"/>
          </w:tcPr>
          <w:p>
            <w:pPr>
              <w:spacing w:after="0"/>
              <w:rPr>
                <w:sz w:val="17"/>
                <w:szCs w:val="17"/>
                <w:color w:val="auto"/>
              </w:rPr>
            </w:pPr>
          </w:p>
        </w:tc>
        <w:tc>
          <w:tcPr>
            <w:tcW w:w="1240" w:type="dxa"/>
            <w:vAlign w:val="bottom"/>
            <w:shd w:val="clear" w:color="auto" w:fill="E5FFFF"/>
          </w:tcPr>
          <w:p>
            <w:pPr>
              <w:jc w:val="right"/>
              <w:ind w:right="54"/>
              <w:spacing w:after="0" w:line="202" w:lineRule="exact"/>
              <w:rPr>
                <w:sz w:val="20"/>
                <w:szCs w:val="20"/>
                <w:color w:val="auto"/>
              </w:rPr>
            </w:pPr>
            <w:r>
              <w:rPr>
                <w:rFonts w:ascii="Arial" w:cs="Arial" w:eastAsia="Arial" w:hAnsi="Arial"/>
                <w:sz w:val="18"/>
                <w:szCs w:val="18"/>
                <w:color w:val="auto"/>
              </w:rPr>
              <w:t>236</w:t>
            </w:r>
          </w:p>
        </w:tc>
        <w:tc>
          <w:tcPr>
            <w:tcW w:w="34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1160" w:type="dxa"/>
            <w:vAlign w:val="bottom"/>
            <w:shd w:val="clear" w:color="auto" w:fill="E5FFFF"/>
          </w:tcPr>
          <w:p>
            <w:pPr>
              <w:jc w:val="right"/>
              <w:ind w:right="36"/>
              <w:spacing w:after="0" w:line="202" w:lineRule="exact"/>
              <w:rPr>
                <w:sz w:val="20"/>
                <w:szCs w:val="20"/>
                <w:color w:val="auto"/>
              </w:rPr>
            </w:pPr>
            <w:r>
              <w:rPr>
                <w:rFonts w:ascii="Arial" w:cs="Arial" w:eastAsia="Arial" w:hAnsi="Arial"/>
                <w:sz w:val="18"/>
                <w:szCs w:val="18"/>
                <w:color w:val="auto"/>
              </w:rPr>
              <w:t>40</w:t>
            </w:r>
          </w:p>
        </w:tc>
        <w:tc>
          <w:tcPr>
            <w:tcW w:w="32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140" w:type="dxa"/>
            <w:vAlign w:val="bottom"/>
            <w:shd w:val="clear" w:color="auto" w:fill="E5FFFF"/>
          </w:tcPr>
          <w:p>
            <w:pPr>
              <w:jc w:val="right"/>
              <w:ind w:right="14"/>
              <w:spacing w:after="0" w:line="202" w:lineRule="exact"/>
              <w:rPr>
                <w:sz w:val="20"/>
                <w:szCs w:val="20"/>
                <w:color w:val="auto"/>
              </w:rPr>
            </w:pPr>
            <w:r>
              <w:rPr>
                <w:rFonts w:ascii="Arial" w:cs="Arial" w:eastAsia="Arial" w:hAnsi="Arial"/>
                <w:sz w:val="18"/>
                <w:szCs w:val="18"/>
                <w:color w:val="auto"/>
              </w:rPr>
              <w:t>276</w:t>
            </w:r>
          </w:p>
        </w:tc>
      </w:tr>
      <w:tr>
        <w:trPr>
          <w:trHeight w:val="203"/>
        </w:trPr>
        <w:tc>
          <w:tcPr>
            <w:tcW w:w="6640" w:type="dxa"/>
            <w:vAlign w:val="bottom"/>
          </w:tcPr>
          <w:p>
            <w:pPr>
              <w:spacing w:after="0" w:line="202" w:lineRule="exact"/>
              <w:rPr>
                <w:sz w:val="20"/>
                <w:szCs w:val="20"/>
                <w:color w:val="auto"/>
              </w:rPr>
            </w:pPr>
            <w:r>
              <w:rPr>
                <w:rFonts w:ascii="Arial" w:cs="Arial" w:eastAsia="Arial" w:hAnsi="Arial"/>
                <w:sz w:val="18"/>
                <w:szCs w:val="18"/>
                <w:color w:val="auto"/>
              </w:rPr>
              <w:t>Other assets</w:t>
            </w:r>
          </w:p>
        </w:tc>
        <w:tc>
          <w:tcPr>
            <w:tcW w:w="160" w:type="dxa"/>
            <w:vAlign w:val="bottom"/>
          </w:tcPr>
          <w:p>
            <w:pPr>
              <w:spacing w:after="0"/>
              <w:rPr>
                <w:sz w:val="17"/>
                <w:szCs w:val="17"/>
                <w:color w:val="auto"/>
              </w:rPr>
            </w:pPr>
          </w:p>
        </w:tc>
        <w:tc>
          <w:tcPr>
            <w:tcW w:w="1240" w:type="dxa"/>
            <w:vAlign w:val="bottom"/>
          </w:tcPr>
          <w:p>
            <w:pPr>
              <w:jc w:val="right"/>
              <w:ind w:right="54"/>
              <w:spacing w:after="0" w:line="202" w:lineRule="exact"/>
              <w:rPr>
                <w:sz w:val="20"/>
                <w:szCs w:val="20"/>
                <w:color w:val="auto"/>
              </w:rPr>
            </w:pPr>
            <w:r>
              <w:rPr>
                <w:rFonts w:ascii="Arial" w:cs="Arial" w:eastAsia="Arial" w:hAnsi="Arial"/>
                <w:sz w:val="18"/>
                <w:szCs w:val="18"/>
                <w:color w:val="auto"/>
              </w:rPr>
              <w:t>3,372</w:t>
            </w: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jc w:val="right"/>
              <w:ind w:right="36"/>
              <w:spacing w:after="0" w:line="202" w:lineRule="exact"/>
              <w:rPr>
                <w:sz w:val="20"/>
                <w:szCs w:val="20"/>
                <w:color w:val="auto"/>
              </w:rPr>
            </w:pPr>
            <w:r>
              <w:rPr>
                <w:rFonts w:ascii="Arial" w:cs="Arial" w:eastAsia="Arial" w:hAnsi="Arial"/>
                <w:sz w:val="18"/>
                <w:szCs w:val="18"/>
                <w:color w:val="auto"/>
              </w:rPr>
              <w:t>1,082</w:t>
            </w: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jc w:val="right"/>
              <w:ind w:right="14"/>
              <w:spacing w:after="0" w:line="202" w:lineRule="exact"/>
              <w:rPr>
                <w:sz w:val="20"/>
                <w:szCs w:val="20"/>
                <w:color w:val="auto"/>
              </w:rPr>
            </w:pPr>
            <w:r>
              <w:rPr>
                <w:rFonts w:ascii="Arial" w:cs="Arial" w:eastAsia="Arial" w:hAnsi="Arial"/>
                <w:sz w:val="18"/>
                <w:szCs w:val="18"/>
                <w:color w:val="auto"/>
              </w:rPr>
              <w:t>4,454</w:t>
            </w:r>
          </w:p>
        </w:tc>
      </w:tr>
      <w:tr>
        <w:trPr>
          <w:trHeight w:val="203"/>
        </w:trPr>
        <w:tc>
          <w:tcPr>
            <w:tcW w:w="6640" w:type="dxa"/>
            <w:vAlign w:val="bottom"/>
            <w:shd w:val="clear" w:color="auto" w:fill="E5FFFF"/>
          </w:tcPr>
          <w:p>
            <w:pPr>
              <w:spacing w:after="0" w:line="202" w:lineRule="exact"/>
              <w:rPr>
                <w:sz w:val="20"/>
                <w:szCs w:val="20"/>
                <w:color w:val="auto"/>
              </w:rPr>
            </w:pPr>
            <w:r>
              <w:rPr>
                <w:rFonts w:ascii="Arial" w:cs="Arial" w:eastAsia="Arial" w:hAnsi="Arial"/>
                <w:sz w:val="18"/>
                <w:szCs w:val="18"/>
                <w:b w:val="1"/>
                <w:bCs w:val="1"/>
                <w:color w:val="auto"/>
              </w:rPr>
              <w:t>LIABILITIES</w:t>
            </w:r>
          </w:p>
        </w:tc>
        <w:tc>
          <w:tcPr>
            <w:tcW w:w="160" w:type="dxa"/>
            <w:vAlign w:val="bottom"/>
            <w:shd w:val="clear" w:color="auto" w:fill="E5FFFF"/>
          </w:tcPr>
          <w:p>
            <w:pPr>
              <w:spacing w:after="0"/>
              <w:rPr>
                <w:sz w:val="17"/>
                <w:szCs w:val="17"/>
                <w:color w:val="auto"/>
              </w:rPr>
            </w:pPr>
          </w:p>
        </w:tc>
        <w:tc>
          <w:tcPr>
            <w:tcW w:w="1240" w:type="dxa"/>
            <w:vAlign w:val="bottom"/>
            <w:shd w:val="clear" w:color="auto" w:fill="E5FFFF"/>
          </w:tcPr>
          <w:p>
            <w:pPr>
              <w:spacing w:after="0"/>
              <w:rPr>
                <w:sz w:val="17"/>
                <w:szCs w:val="17"/>
                <w:color w:val="auto"/>
              </w:rPr>
            </w:pPr>
          </w:p>
        </w:tc>
        <w:tc>
          <w:tcPr>
            <w:tcW w:w="34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1160" w:type="dxa"/>
            <w:vAlign w:val="bottom"/>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140" w:type="dxa"/>
            <w:vAlign w:val="bottom"/>
            <w:shd w:val="clear" w:color="auto" w:fill="E5FFFF"/>
          </w:tcPr>
          <w:p>
            <w:pPr>
              <w:spacing w:after="0"/>
              <w:rPr>
                <w:sz w:val="17"/>
                <w:szCs w:val="17"/>
                <w:color w:val="auto"/>
              </w:rPr>
            </w:pPr>
          </w:p>
        </w:tc>
      </w:tr>
      <w:tr>
        <w:trPr>
          <w:trHeight w:val="203"/>
        </w:trPr>
        <w:tc>
          <w:tcPr>
            <w:tcW w:w="6640" w:type="dxa"/>
            <w:vAlign w:val="bottom"/>
          </w:tcPr>
          <w:p>
            <w:pPr>
              <w:spacing w:after="0" w:line="202" w:lineRule="exact"/>
              <w:rPr>
                <w:sz w:val="20"/>
                <w:szCs w:val="20"/>
                <w:color w:val="auto"/>
              </w:rPr>
            </w:pPr>
            <w:r>
              <w:rPr>
                <w:rFonts w:ascii="Arial" w:cs="Arial" w:eastAsia="Arial" w:hAnsi="Arial"/>
                <w:sz w:val="18"/>
                <w:szCs w:val="18"/>
                <w:color w:val="auto"/>
              </w:rPr>
              <w:t>Current liabilities:</w:t>
            </w: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3"/>
        </w:trPr>
        <w:tc>
          <w:tcPr>
            <w:tcW w:w="6640" w:type="dxa"/>
            <w:vAlign w:val="bottom"/>
            <w:shd w:val="clear" w:color="auto" w:fill="E5FFFF"/>
          </w:tcPr>
          <w:p>
            <w:pPr>
              <w:ind w:left="180"/>
              <w:spacing w:after="0" w:line="202" w:lineRule="exact"/>
              <w:rPr>
                <w:sz w:val="20"/>
                <w:szCs w:val="20"/>
                <w:color w:val="auto"/>
              </w:rPr>
            </w:pPr>
            <w:r>
              <w:rPr>
                <w:rFonts w:ascii="Arial" w:cs="Arial" w:eastAsia="Arial" w:hAnsi="Arial"/>
                <w:sz w:val="18"/>
                <w:szCs w:val="18"/>
                <w:color w:val="auto"/>
              </w:rPr>
              <w:t>Accrued liabilities</w:t>
            </w:r>
          </w:p>
        </w:tc>
        <w:tc>
          <w:tcPr>
            <w:tcW w:w="160" w:type="dxa"/>
            <w:vAlign w:val="bottom"/>
            <w:shd w:val="clear" w:color="auto" w:fill="E5FFFF"/>
          </w:tcPr>
          <w:p>
            <w:pPr>
              <w:spacing w:after="0"/>
              <w:rPr>
                <w:sz w:val="17"/>
                <w:szCs w:val="17"/>
                <w:color w:val="auto"/>
              </w:rPr>
            </w:pPr>
          </w:p>
        </w:tc>
        <w:tc>
          <w:tcPr>
            <w:tcW w:w="1240" w:type="dxa"/>
            <w:vAlign w:val="bottom"/>
            <w:shd w:val="clear" w:color="auto" w:fill="E5FFFF"/>
          </w:tcPr>
          <w:p>
            <w:pPr>
              <w:jc w:val="right"/>
              <w:ind w:right="54"/>
              <w:spacing w:after="0" w:line="202" w:lineRule="exact"/>
              <w:rPr>
                <w:sz w:val="20"/>
                <w:szCs w:val="20"/>
                <w:color w:val="auto"/>
              </w:rPr>
            </w:pPr>
            <w:r>
              <w:rPr>
                <w:rFonts w:ascii="Arial" w:cs="Arial" w:eastAsia="Arial" w:hAnsi="Arial"/>
                <w:sz w:val="18"/>
                <w:szCs w:val="18"/>
                <w:color w:val="auto"/>
              </w:rPr>
              <w:t>6,584</w:t>
            </w:r>
          </w:p>
        </w:tc>
        <w:tc>
          <w:tcPr>
            <w:tcW w:w="34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116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(48)</w:t>
            </w:r>
          </w:p>
        </w:tc>
        <w:tc>
          <w:tcPr>
            <w:tcW w:w="32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140" w:type="dxa"/>
            <w:vAlign w:val="bottom"/>
            <w:shd w:val="clear" w:color="auto" w:fill="E5FFFF"/>
          </w:tcPr>
          <w:p>
            <w:pPr>
              <w:jc w:val="right"/>
              <w:ind w:right="14"/>
              <w:spacing w:after="0" w:line="202" w:lineRule="exact"/>
              <w:rPr>
                <w:sz w:val="20"/>
                <w:szCs w:val="20"/>
                <w:color w:val="auto"/>
              </w:rPr>
            </w:pPr>
            <w:r>
              <w:rPr>
                <w:rFonts w:ascii="Arial" w:cs="Arial" w:eastAsia="Arial" w:hAnsi="Arial"/>
                <w:sz w:val="18"/>
                <w:szCs w:val="18"/>
                <w:color w:val="auto"/>
              </w:rPr>
              <w:t>6,536</w:t>
            </w:r>
          </w:p>
        </w:tc>
      </w:tr>
      <w:tr>
        <w:trPr>
          <w:trHeight w:val="203"/>
        </w:trPr>
        <w:tc>
          <w:tcPr>
            <w:tcW w:w="6640" w:type="dxa"/>
            <w:vAlign w:val="bottom"/>
          </w:tcPr>
          <w:p>
            <w:pPr>
              <w:spacing w:after="0" w:line="202" w:lineRule="exact"/>
              <w:rPr>
                <w:sz w:val="20"/>
                <w:szCs w:val="20"/>
                <w:color w:val="auto"/>
              </w:rPr>
            </w:pPr>
            <w:r>
              <w:rPr>
                <w:rFonts w:ascii="Arial" w:cs="Arial" w:eastAsia="Arial" w:hAnsi="Arial"/>
                <w:sz w:val="18"/>
                <w:szCs w:val="18"/>
                <w:color w:val="auto"/>
              </w:rPr>
              <w:t>Deferred income taxes</w:t>
            </w:r>
          </w:p>
        </w:tc>
        <w:tc>
          <w:tcPr>
            <w:tcW w:w="160" w:type="dxa"/>
            <w:vAlign w:val="bottom"/>
          </w:tcPr>
          <w:p>
            <w:pPr>
              <w:spacing w:after="0"/>
              <w:rPr>
                <w:sz w:val="17"/>
                <w:szCs w:val="17"/>
                <w:color w:val="auto"/>
              </w:rPr>
            </w:pPr>
          </w:p>
        </w:tc>
        <w:tc>
          <w:tcPr>
            <w:tcW w:w="1240" w:type="dxa"/>
            <w:vAlign w:val="bottom"/>
          </w:tcPr>
          <w:p>
            <w:pPr>
              <w:jc w:val="right"/>
              <w:ind w:right="54"/>
              <w:spacing w:after="0" w:line="202" w:lineRule="exact"/>
              <w:rPr>
                <w:sz w:val="20"/>
                <w:szCs w:val="20"/>
                <w:color w:val="auto"/>
              </w:rPr>
            </w:pPr>
            <w:r>
              <w:rPr>
                <w:rFonts w:ascii="Arial" w:cs="Arial" w:eastAsia="Arial" w:hAnsi="Arial"/>
                <w:sz w:val="18"/>
                <w:szCs w:val="18"/>
                <w:color w:val="auto"/>
              </w:rPr>
              <w:t>2,894</w:t>
            </w: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jc w:val="right"/>
              <w:ind w:right="36"/>
              <w:spacing w:after="0" w:line="202" w:lineRule="exact"/>
              <w:rPr>
                <w:sz w:val="20"/>
                <w:szCs w:val="20"/>
                <w:color w:val="auto"/>
              </w:rPr>
            </w:pPr>
            <w:r>
              <w:rPr>
                <w:rFonts w:ascii="Arial" w:cs="Arial" w:eastAsia="Arial" w:hAnsi="Arial"/>
                <w:sz w:val="18"/>
                <w:szCs w:val="18"/>
                <w:color w:val="auto"/>
              </w:rPr>
              <w:t>1</w:t>
            </w: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jc w:val="right"/>
              <w:ind w:right="14"/>
              <w:spacing w:after="0" w:line="202" w:lineRule="exact"/>
              <w:rPr>
                <w:sz w:val="20"/>
                <w:szCs w:val="20"/>
                <w:color w:val="auto"/>
              </w:rPr>
            </w:pPr>
            <w:r>
              <w:rPr>
                <w:rFonts w:ascii="Arial" w:cs="Arial" w:eastAsia="Arial" w:hAnsi="Arial"/>
                <w:sz w:val="18"/>
                <w:szCs w:val="18"/>
                <w:color w:val="auto"/>
              </w:rPr>
              <w:t>2,895</w:t>
            </w:r>
          </w:p>
        </w:tc>
      </w:tr>
      <w:tr>
        <w:trPr>
          <w:trHeight w:val="203"/>
        </w:trPr>
        <w:tc>
          <w:tcPr>
            <w:tcW w:w="664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Other liabilities</w:t>
            </w:r>
          </w:p>
        </w:tc>
        <w:tc>
          <w:tcPr>
            <w:tcW w:w="160" w:type="dxa"/>
            <w:vAlign w:val="bottom"/>
            <w:shd w:val="clear" w:color="auto" w:fill="E5FFFF"/>
          </w:tcPr>
          <w:p>
            <w:pPr>
              <w:spacing w:after="0"/>
              <w:rPr>
                <w:sz w:val="17"/>
                <w:szCs w:val="17"/>
                <w:color w:val="auto"/>
              </w:rPr>
            </w:pPr>
          </w:p>
        </w:tc>
        <w:tc>
          <w:tcPr>
            <w:tcW w:w="1240" w:type="dxa"/>
            <w:vAlign w:val="bottom"/>
            <w:shd w:val="clear" w:color="auto" w:fill="E5FFFF"/>
          </w:tcPr>
          <w:p>
            <w:pPr>
              <w:jc w:val="right"/>
              <w:ind w:right="54"/>
              <w:spacing w:after="0" w:line="202" w:lineRule="exact"/>
              <w:rPr>
                <w:sz w:val="20"/>
                <w:szCs w:val="20"/>
                <w:color w:val="auto"/>
              </w:rPr>
            </w:pPr>
            <w:r>
              <w:rPr>
                <w:rFonts w:ascii="Arial" w:cs="Arial" w:eastAsia="Arial" w:hAnsi="Arial"/>
                <w:sz w:val="18"/>
                <w:szCs w:val="18"/>
                <w:color w:val="auto"/>
              </w:rPr>
              <w:t>5,930</w:t>
            </w:r>
          </w:p>
        </w:tc>
        <w:tc>
          <w:tcPr>
            <w:tcW w:w="34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1160" w:type="dxa"/>
            <w:vAlign w:val="bottom"/>
            <w:shd w:val="clear" w:color="auto" w:fill="E5FFFF"/>
          </w:tcPr>
          <w:p>
            <w:pPr>
              <w:jc w:val="right"/>
              <w:ind w:right="36"/>
              <w:spacing w:after="0" w:line="202" w:lineRule="exact"/>
              <w:rPr>
                <w:sz w:val="20"/>
                <w:szCs w:val="20"/>
                <w:color w:val="auto"/>
              </w:rPr>
            </w:pPr>
            <w:r>
              <w:rPr>
                <w:rFonts w:ascii="Arial" w:cs="Arial" w:eastAsia="Arial" w:hAnsi="Arial"/>
                <w:sz w:val="18"/>
                <w:szCs w:val="18"/>
                <w:color w:val="auto"/>
              </w:rPr>
              <w:t>1,084</w:t>
            </w:r>
          </w:p>
        </w:tc>
        <w:tc>
          <w:tcPr>
            <w:tcW w:w="32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140" w:type="dxa"/>
            <w:vAlign w:val="bottom"/>
            <w:shd w:val="clear" w:color="auto" w:fill="E5FFFF"/>
          </w:tcPr>
          <w:p>
            <w:pPr>
              <w:jc w:val="right"/>
              <w:ind w:right="14"/>
              <w:spacing w:after="0" w:line="202" w:lineRule="exact"/>
              <w:rPr>
                <w:sz w:val="20"/>
                <w:szCs w:val="20"/>
                <w:color w:val="auto"/>
              </w:rPr>
            </w:pPr>
            <w:r>
              <w:rPr>
                <w:rFonts w:ascii="Arial" w:cs="Arial" w:eastAsia="Arial" w:hAnsi="Arial"/>
                <w:sz w:val="18"/>
                <w:szCs w:val="18"/>
                <w:color w:val="auto"/>
              </w:rPr>
              <w:t>7,014</w:t>
            </w:r>
          </w:p>
        </w:tc>
      </w:tr>
      <w:tr>
        <w:trPr>
          <w:trHeight w:val="203"/>
        </w:trPr>
        <w:tc>
          <w:tcPr>
            <w:tcW w:w="6640" w:type="dxa"/>
            <w:vAlign w:val="bottom"/>
          </w:tcPr>
          <w:p>
            <w:pPr>
              <w:spacing w:after="0" w:line="202" w:lineRule="exact"/>
              <w:rPr>
                <w:sz w:val="20"/>
                <w:szCs w:val="20"/>
                <w:color w:val="auto"/>
              </w:rPr>
            </w:pPr>
            <w:r>
              <w:rPr>
                <w:rFonts w:ascii="Arial" w:cs="Arial" w:eastAsia="Arial" w:hAnsi="Arial"/>
                <w:sz w:val="18"/>
                <w:szCs w:val="18"/>
                <w:b w:val="1"/>
                <w:bCs w:val="1"/>
                <w:color w:val="auto"/>
              </w:rPr>
              <w:t>SHAREOWNERS’ EQUITY</w:t>
            </w: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3"/>
        </w:trPr>
        <w:tc>
          <w:tcPr>
            <w:tcW w:w="664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Retained earnings</w:t>
            </w:r>
          </w:p>
        </w:tc>
        <w:tc>
          <w:tcPr>
            <w:tcW w:w="160" w:type="dxa"/>
            <w:vAlign w:val="bottom"/>
            <w:shd w:val="clear" w:color="auto" w:fill="E5FFFF"/>
          </w:tcPr>
          <w:p>
            <w:pPr>
              <w:spacing w:after="0"/>
              <w:rPr>
                <w:sz w:val="17"/>
                <w:szCs w:val="17"/>
                <w:color w:val="auto"/>
              </w:rPr>
            </w:pPr>
          </w:p>
        </w:tc>
        <w:tc>
          <w:tcPr>
            <w:tcW w:w="1240" w:type="dxa"/>
            <w:vAlign w:val="bottom"/>
            <w:shd w:val="clear" w:color="auto" w:fill="E5FFFF"/>
          </w:tcPr>
          <w:p>
            <w:pPr>
              <w:jc w:val="right"/>
              <w:ind w:right="54"/>
              <w:spacing w:after="0" w:line="202" w:lineRule="exact"/>
              <w:rPr>
                <w:sz w:val="20"/>
                <w:szCs w:val="20"/>
                <w:color w:val="auto"/>
              </w:rPr>
            </w:pPr>
            <w:r>
              <w:rPr>
                <w:rFonts w:ascii="Arial" w:cs="Arial" w:eastAsia="Arial" w:hAnsi="Arial"/>
                <w:sz w:val="18"/>
                <w:szCs w:val="18"/>
                <w:color w:val="auto"/>
              </w:rPr>
              <w:t>28,255</w:t>
            </w:r>
          </w:p>
        </w:tc>
        <w:tc>
          <w:tcPr>
            <w:tcW w:w="34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116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(75)</w:t>
            </w:r>
          </w:p>
        </w:tc>
        <w:tc>
          <w:tcPr>
            <w:tcW w:w="32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140" w:type="dxa"/>
            <w:vAlign w:val="bottom"/>
            <w:shd w:val="clear" w:color="auto" w:fill="E5FFFF"/>
          </w:tcPr>
          <w:p>
            <w:pPr>
              <w:jc w:val="right"/>
              <w:ind w:right="14"/>
              <w:spacing w:after="0" w:line="202" w:lineRule="exact"/>
              <w:rPr>
                <w:sz w:val="20"/>
                <w:szCs w:val="20"/>
                <w:color w:val="auto"/>
              </w:rPr>
            </w:pPr>
            <w:r>
              <w:rPr>
                <w:rFonts w:ascii="Arial" w:cs="Arial" w:eastAsia="Arial" w:hAnsi="Arial"/>
                <w:sz w:val="18"/>
                <w:szCs w:val="18"/>
                <w:color w:val="auto"/>
              </w:rPr>
              <w:t>28,180</w:t>
            </w:r>
          </w:p>
        </w:tc>
      </w:tr>
      <w:tr>
        <w:trPr>
          <w:trHeight w:val="217"/>
        </w:trPr>
        <w:tc>
          <w:tcPr>
            <w:tcW w:w="6640" w:type="dxa"/>
            <w:vAlign w:val="bottom"/>
          </w:tcPr>
          <w:p>
            <w:pPr>
              <w:spacing w:after="0"/>
              <w:rPr>
                <w:sz w:val="20"/>
                <w:szCs w:val="20"/>
                <w:color w:val="auto"/>
              </w:rPr>
            </w:pPr>
            <w:r>
              <w:rPr>
                <w:rFonts w:ascii="Arial" w:cs="Arial" w:eastAsia="Arial" w:hAnsi="Arial"/>
                <w:sz w:val="18"/>
                <w:szCs w:val="18"/>
                <w:color w:val="auto"/>
              </w:rPr>
              <w:t>Noncontrolling interest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54"/>
              <w:spacing w:after="0"/>
              <w:rPr>
                <w:sz w:val="20"/>
                <w:szCs w:val="20"/>
                <w:color w:val="auto"/>
              </w:rPr>
            </w:pPr>
            <w:r>
              <w:rPr>
                <w:rFonts w:ascii="Arial" w:cs="Arial" w:eastAsia="Arial" w:hAnsi="Arial"/>
                <w:sz w:val="18"/>
                <w:szCs w:val="18"/>
                <w:color w:val="auto"/>
              </w:rPr>
              <w:t>163</w:t>
            </w: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6"/>
              <w:spacing w:after="0"/>
              <w:rPr>
                <w:sz w:val="20"/>
                <w:szCs w:val="20"/>
                <w:color w:val="auto"/>
              </w:rPr>
            </w:pPr>
            <w:r>
              <w:rPr>
                <w:rFonts w:ascii="Arial" w:cs="Arial" w:eastAsia="Arial" w:hAnsi="Arial"/>
                <w:sz w:val="18"/>
                <w:szCs w:val="18"/>
                <w:color w:val="auto"/>
              </w:rPr>
              <w:t>1</w:t>
            </w: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164</w:t>
            </w:r>
          </w:p>
        </w:tc>
      </w:tr>
    </w:tbl>
    <w:p>
      <w:pPr>
        <w:spacing w:after="0" w:line="187"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Under the modified retrospective method of adoption, we are required to disclose the impact to revenues had we continued to follow our accounting policies under the previous revenue recognition guidance. We estimate that the impact to revenues for the quarter and six months ended June 30, 2018 would have been a decrease of approximately $75 million and $195 million, which is primarily due to the net impact of the classification change and deferral impact of nonrecurring engineering and development activities, and the net impact from service programs with certain amounts being recognized that would have previously been deferred, and certain amount being deferred that would have previously been recognized.</w:t>
      </w:r>
    </w:p>
    <w:p>
      <w:pPr>
        <w:spacing w:after="0" w:line="174" w:lineRule="exact"/>
        <w:rPr>
          <w:sz w:val="20"/>
          <w:szCs w:val="20"/>
          <w:color w:val="auto"/>
        </w:rPr>
      </w:pPr>
    </w:p>
    <w:p>
      <w:pPr>
        <w:ind w:right="880" w:firstLine="648"/>
        <w:spacing w:after="0" w:line="480" w:lineRule="auto"/>
        <w:rPr>
          <w:sz w:val="20"/>
          <w:szCs w:val="20"/>
          <w:color w:val="auto"/>
        </w:rPr>
      </w:pPr>
      <w:r>
        <w:rPr>
          <w:rFonts w:ascii="Arial" w:cs="Arial" w:eastAsia="Arial" w:hAnsi="Arial"/>
          <w:sz w:val="18"/>
          <w:szCs w:val="18"/>
          <w:color w:val="auto"/>
        </w:rPr>
        <w:t xml:space="preserve">Refer to Note 2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xml:space="preserve"> for a summary of our significant policies for revenue recognition. </w:t>
      </w:r>
      <w:r>
        <w:rPr>
          <w:rFonts w:ascii="Arial" w:cs="Arial" w:eastAsia="Arial" w:hAnsi="Arial"/>
          <w:sz w:val="18"/>
          <w:szCs w:val="18"/>
          <w:b w:val="1"/>
          <w:bCs w:val="1"/>
          <w:color w:val="auto"/>
        </w:rPr>
        <w:t>Disaggregated Revenue</w:t>
      </w:r>
    </w:p>
    <w:p>
      <w:pPr>
        <w:jc w:val="both"/>
        <w:ind w:firstLine="648"/>
        <w:spacing w:after="0" w:line="246" w:lineRule="auto"/>
        <w:rPr>
          <w:sz w:val="20"/>
          <w:szCs w:val="20"/>
          <w:color w:val="auto"/>
        </w:rPr>
      </w:pPr>
      <w:r>
        <w:rPr>
          <w:rFonts w:ascii="Arial" w:cs="Arial" w:eastAsia="Arial" w:hAnsi="Arial"/>
          <w:sz w:val="18"/>
          <w:szCs w:val="18"/>
          <w:color w:val="auto"/>
        </w:rPr>
        <w:t>Honeywell has a comprehensive offering of products and services, including software and technologies, that are sold to a variety of customers in multiple end markets. See the following table and related discussions by operating segment for details.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0"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Honeywell International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jc w:val="center"/>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600" w:type="dxa"/>
            <w:vAlign w:val="bottom"/>
            <w:gridSpan w:val="2"/>
          </w:tcPr>
          <w:p>
            <w:pPr>
              <w:jc w:val="center"/>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tcPr>
          <w:p>
            <w:pPr>
              <w:jc w:val="center"/>
              <w:ind w:right="52"/>
              <w:spacing w:after="0"/>
              <w:rPr>
                <w:sz w:val="20"/>
                <w:szCs w:val="20"/>
                <w:color w:val="auto"/>
              </w:rPr>
            </w:pPr>
            <w:r>
              <w:rPr>
                <w:rFonts w:ascii="Arial" w:cs="Arial" w:eastAsia="Arial" w:hAnsi="Arial"/>
                <w:sz w:val="14"/>
                <w:szCs w:val="14"/>
                <w:b w:val="1"/>
                <w:bCs w:val="1"/>
                <w:color w:val="auto"/>
              </w:rPr>
              <w:t>Six Months Ended</w:t>
            </w:r>
          </w:p>
        </w:tc>
      </w:tr>
      <w:tr>
        <w:trPr>
          <w:trHeight w:val="162"/>
        </w:trPr>
        <w:tc>
          <w:tcPr>
            <w:tcW w:w="8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tcPr>
          <w:p>
            <w:pPr>
              <w:jc w:val="center"/>
              <w:ind w:right="211"/>
              <w:spacing w:after="0"/>
              <w:rPr>
                <w:sz w:val="20"/>
                <w:szCs w:val="20"/>
                <w:color w:val="auto"/>
              </w:rPr>
            </w:pPr>
            <w:r>
              <w:rPr>
                <w:rFonts w:ascii="Arial" w:cs="Arial" w:eastAsia="Arial" w:hAnsi="Arial"/>
                <w:sz w:val="14"/>
                <w:szCs w:val="14"/>
                <w:b w:val="1"/>
                <w:bCs w:val="1"/>
                <w:color w:val="auto"/>
                <w:w w:val="99"/>
              </w:rPr>
              <w:t>June 30,</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tcPr>
          <w:p>
            <w:pPr>
              <w:jc w:val="center"/>
              <w:ind w:right="52"/>
              <w:spacing w:after="0"/>
              <w:rPr>
                <w:sz w:val="20"/>
                <w:szCs w:val="20"/>
                <w:color w:val="auto"/>
              </w:rPr>
            </w:pPr>
            <w:r>
              <w:rPr>
                <w:rFonts w:ascii="Arial" w:cs="Arial" w:eastAsia="Arial" w:hAnsi="Arial"/>
                <w:sz w:val="14"/>
                <w:szCs w:val="14"/>
                <w:b w:val="1"/>
                <w:bCs w:val="1"/>
                <w:color w:val="auto"/>
              </w:rPr>
              <w:t>June 30,</w:t>
            </w:r>
          </w:p>
        </w:tc>
      </w:tr>
      <w:tr>
        <w:trPr>
          <w:trHeight w:val="175"/>
        </w:trPr>
        <w:tc>
          <w:tcPr>
            <w:tcW w:w="860" w:type="dxa"/>
            <w:vAlign w:val="bottom"/>
            <w:tcBorders>
              <w:bottom w:val="single" w:sz="8" w:color="E5FFFF"/>
            </w:tcBorders>
          </w:tcPr>
          <w:p>
            <w:pPr>
              <w:spacing w:after="0"/>
              <w:rPr>
                <w:sz w:val="15"/>
                <w:szCs w:val="15"/>
                <w:color w:val="auto"/>
              </w:rPr>
            </w:pPr>
          </w:p>
        </w:tc>
        <w:tc>
          <w:tcPr>
            <w:tcW w:w="1760" w:type="dxa"/>
            <w:vAlign w:val="bottom"/>
            <w:tcBorders>
              <w:bottom w:val="single" w:sz="8" w:color="E5FFFF"/>
            </w:tcBorders>
          </w:tcPr>
          <w:p>
            <w:pPr>
              <w:spacing w:after="0"/>
              <w:rPr>
                <w:sz w:val="15"/>
                <w:szCs w:val="15"/>
                <w:color w:val="auto"/>
              </w:rPr>
            </w:pPr>
          </w:p>
        </w:tc>
        <w:tc>
          <w:tcPr>
            <w:tcW w:w="20" w:type="dxa"/>
            <w:vAlign w:val="bottom"/>
            <w:tcBorders>
              <w:bottom w:val="single" w:sz="8" w:color="E5FFFF"/>
            </w:tcBorders>
          </w:tcPr>
          <w:p>
            <w:pPr>
              <w:spacing w:after="0"/>
              <w:rPr>
                <w:sz w:val="15"/>
                <w:szCs w:val="15"/>
                <w:color w:val="auto"/>
              </w:rPr>
            </w:pPr>
          </w:p>
        </w:tc>
        <w:tc>
          <w:tcPr>
            <w:tcW w:w="620" w:type="dxa"/>
            <w:vAlign w:val="bottom"/>
            <w:tcBorders>
              <w:bottom w:val="single" w:sz="8" w:color="E5FFFF"/>
            </w:tcBorders>
          </w:tcPr>
          <w:p>
            <w:pPr>
              <w:spacing w:after="0"/>
              <w:rPr>
                <w:sz w:val="15"/>
                <w:szCs w:val="15"/>
                <w:color w:val="auto"/>
              </w:rPr>
            </w:pPr>
          </w:p>
        </w:tc>
        <w:tc>
          <w:tcPr>
            <w:tcW w:w="2400" w:type="dxa"/>
            <w:vAlign w:val="bottom"/>
            <w:tcBorders>
              <w:bottom w:val="single" w:sz="8" w:color="E5FFFF"/>
            </w:tcBorders>
          </w:tcPr>
          <w:p>
            <w:pPr>
              <w:spacing w:after="0"/>
              <w:rPr>
                <w:sz w:val="15"/>
                <w:szCs w:val="15"/>
                <w:color w:val="auto"/>
              </w:rPr>
            </w:pPr>
          </w:p>
        </w:tc>
        <w:tc>
          <w:tcPr>
            <w:tcW w:w="2240" w:type="dxa"/>
            <w:vAlign w:val="bottom"/>
            <w:tcBorders>
              <w:bottom w:val="single" w:sz="8" w:color="E5FF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center"/>
              <w:ind w:right="211"/>
              <w:spacing w:after="0"/>
              <w:rPr>
                <w:sz w:val="20"/>
                <w:szCs w:val="20"/>
                <w:color w:val="auto"/>
              </w:rPr>
            </w:pPr>
            <w:r>
              <w:rPr>
                <w:rFonts w:ascii="Arial" w:cs="Arial" w:eastAsia="Arial" w:hAnsi="Arial"/>
                <w:sz w:val="14"/>
                <w:szCs w:val="14"/>
                <w:b w:val="1"/>
                <w:bCs w:val="1"/>
                <w:color w:val="auto"/>
              </w:rPr>
              <w:t>2018</w:t>
            </w:r>
          </w:p>
        </w:tc>
        <w:tc>
          <w:tcPr>
            <w:tcW w:w="340" w:type="dxa"/>
            <w:vAlign w:val="bottom"/>
            <w:tcBorders>
              <w:bottom w:val="single" w:sz="8" w:color="E5FF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center"/>
              <w:ind w:right="72"/>
              <w:spacing w:after="0"/>
              <w:rPr>
                <w:sz w:val="20"/>
                <w:szCs w:val="20"/>
                <w:color w:val="auto"/>
              </w:rPr>
            </w:pPr>
            <w:r>
              <w:rPr>
                <w:rFonts w:ascii="Arial" w:cs="Arial" w:eastAsia="Arial" w:hAnsi="Arial"/>
                <w:sz w:val="14"/>
                <w:szCs w:val="14"/>
                <w:b w:val="1"/>
                <w:bCs w:val="1"/>
                <w:color w:val="auto"/>
              </w:rPr>
              <w:t>2018</w:t>
            </w:r>
          </w:p>
        </w:tc>
      </w:tr>
      <w:tr>
        <w:trPr>
          <w:trHeight w:val="169"/>
        </w:trPr>
        <w:tc>
          <w:tcPr>
            <w:tcW w:w="5660" w:type="dxa"/>
            <w:vAlign w:val="bottom"/>
            <w:gridSpan w:val="5"/>
            <w:shd w:val="clear" w:color="auto" w:fill="E5FFFF"/>
          </w:tcPr>
          <w:p>
            <w:pPr>
              <w:spacing w:after="0" w:line="170" w:lineRule="exact"/>
              <w:rPr>
                <w:sz w:val="20"/>
                <w:szCs w:val="20"/>
                <w:color w:val="auto"/>
              </w:rPr>
            </w:pPr>
            <w:r>
              <w:rPr>
                <w:rFonts w:ascii="Arial" w:cs="Arial" w:eastAsia="Arial" w:hAnsi="Arial"/>
                <w:sz w:val="18"/>
                <w:szCs w:val="18"/>
                <w:color w:val="auto"/>
              </w:rPr>
              <w:t>Aerospace</w:t>
            </w:r>
          </w:p>
        </w:tc>
        <w:tc>
          <w:tcPr>
            <w:tcW w:w="2240" w:type="dxa"/>
            <w:vAlign w:val="bottom"/>
            <w:shd w:val="clear" w:color="auto" w:fill="E5FFFF"/>
          </w:tcPr>
          <w:p>
            <w:pPr>
              <w:spacing w:after="0"/>
              <w:rPr>
                <w:sz w:val="14"/>
                <w:szCs w:val="14"/>
                <w:color w:val="auto"/>
              </w:rPr>
            </w:pPr>
          </w:p>
        </w:tc>
        <w:tc>
          <w:tcPr>
            <w:tcW w:w="300" w:type="dxa"/>
            <w:vAlign w:val="bottom"/>
            <w:shd w:val="clear" w:color="auto" w:fill="E5FFFF"/>
          </w:tcPr>
          <w:p>
            <w:pPr>
              <w:spacing w:after="0"/>
              <w:rPr>
                <w:sz w:val="14"/>
                <w:szCs w:val="14"/>
                <w:color w:val="auto"/>
              </w:rPr>
            </w:pPr>
          </w:p>
        </w:tc>
        <w:tc>
          <w:tcPr>
            <w:tcW w:w="1300" w:type="dxa"/>
            <w:vAlign w:val="bottom"/>
            <w:shd w:val="clear" w:color="auto" w:fill="E5FFFF"/>
          </w:tcPr>
          <w:p>
            <w:pPr>
              <w:spacing w:after="0"/>
              <w:rPr>
                <w:sz w:val="14"/>
                <w:szCs w:val="14"/>
                <w:color w:val="auto"/>
              </w:rPr>
            </w:pPr>
          </w:p>
        </w:tc>
        <w:tc>
          <w:tcPr>
            <w:tcW w:w="340" w:type="dxa"/>
            <w:vAlign w:val="bottom"/>
            <w:shd w:val="clear" w:color="auto" w:fill="E5FFFF"/>
          </w:tcPr>
          <w:p>
            <w:pPr>
              <w:spacing w:after="0"/>
              <w:rPr>
                <w:sz w:val="14"/>
                <w:szCs w:val="14"/>
                <w:color w:val="auto"/>
              </w:rPr>
            </w:pPr>
          </w:p>
        </w:tc>
        <w:tc>
          <w:tcPr>
            <w:tcW w:w="140" w:type="dxa"/>
            <w:vAlign w:val="bottom"/>
            <w:shd w:val="clear" w:color="auto" w:fill="E5FFFF"/>
          </w:tcPr>
          <w:p>
            <w:pPr>
              <w:spacing w:after="0"/>
              <w:rPr>
                <w:sz w:val="14"/>
                <w:szCs w:val="14"/>
                <w:color w:val="auto"/>
              </w:rPr>
            </w:pPr>
          </w:p>
        </w:tc>
        <w:tc>
          <w:tcPr>
            <w:tcW w:w="1440" w:type="dxa"/>
            <w:vAlign w:val="bottom"/>
            <w:shd w:val="clear" w:color="auto" w:fill="E5FFFF"/>
          </w:tcPr>
          <w:p>
            <w:pPr>
              <w:spacing w:after="0"/>
              <w:rPr>
                <w:sz w:val="14"/>
                <w:szCs w:val="14"/>
                <w:color w:val="auto"/>
              </w:rPr>
            </w:pPr>
          </w:p>
        </w:tc>
      </w:tr>
      <w:tr>
        <w:trPr>
          <w:trHeight w:val="27"/>
        </w:trPr>
        <w:tc>
          <w:tcPr>
            <w:tcW w:w="860" w:type="dxa"/>
            <w:vAlign w:val="bottom"/>
            <w:shd w:val="clear" w:color="auto" w:fill="000000"/>
          </w:tcPr>
          <w:p>
            <w:pPr>
              <w:spacing w:after="0"/>
              <w:rPr>
                <w:sz w:val="2"/>
                <w:szCs w:val="2"/>
                <w:color w:val="auto"/>
              </w:rPr>
            </w:pPr>
          </w:p>
        </w:tc>
        <w:tc>
          <w:tcPr>
            <w:tcW w:w="1760" w:type="dxa"/>
            <w:vAlign w:val="bottom"/>
            <w:shd w:val="clear" w:color="auto" w:fill="E5FFFF"/>
          </w:tcPr>
          <w:p>
            <w:pPr>
              <w:spacing w:after="0"/>
              <w:rPr>
                <w:sz w:val="2"/>
                <w:szCs w:val="2"/>
                <w:color w:val="auto"/>
              </w:rPr>
            </w:pPr>
          </w:p>
        </w:tc>
        <w:tc>
          <w:tcPr>
            <w:tcW w:w="20" w:type="dxa"/>
            <w:vAlign w:val="bottom"/>
            <w:shd w:val="clear" w:color="auto" w:fill="E5FFFF"/>
          </w:tcPr>
          <w:p>
            <w:pPr>
              <w:spacing w:after="0"/>
              <w:rPr>
                <w:sz w:val="2"/>
                <w:szCs w:val="2"/>
                <w:color w:val="auto"/>
              </w:rPr>
            </w:pPr>
          </w:p>
        </w:tc>
        <w:tc>
          <w:tcPr>
            <w:tcW w:w="620" w:type="dxa"/>
            <w:vAlign w:val="bottom"/>
            <w:shd w:val="clear" w:color="auto" w:fill="E5FFFF"/>
          </w:tcPr>
          <w:p>
            <w:pPr>
              <w:spacing w:after="0"/>
              <w:rPr>
                <w:sz w:val="2"/>
                <w:szCs w:val="2"/>
                <w:color w:val="auto"/>
              </w:rPr>
            </w:pPr>
          </w:p>
        </w:tc>
        <w:tc>
          <w:tcPr>
            <w:tcW w:w="2400" w:type="dxa"/>
            <w:vAlign w:val="bottom"/>
            <w:shd w:val="clear" w:color="auto" w:fill="E5FFFF"/>
          </w:tcPr>
          <w:p>
            <w:pPr>
              <w:spacing w:after="0"/>
              <w:rPr>
                <w:sz w:val="2"/>
                <w:szCs w:val="2"/>
                <w:color w:val="auto"/>
              </w:rPr>
            </w:pPr>
          </w:p>
        </w:tc>
        <w:tc>
          <w:tcPr>
            <w:tcW w:w="2240" w:type="dxa"/>
            <w:vAlign w:val="bottom"/>
            <w:shd w:val="clear" w:color="auto" w:fill="E5FFFF"/>
          </w:tcPr>
          <w:p>
            <w:pPr>
              <w:spacing w:after="0"/>
              <w:rPr>
                <w:sz w:val="2"/>
                <w:szCs w:val="2"/>
                <w:color w:val="auto"/>
              </w:rPr>
            </w:pPr>
          </w:p>
        </w:tc>
        <w:tc>
          <w:tcPr>
            <w:tcW w:w="300" w:type="dxa"/>
            <w:vAlign w:val="bottom"/>
            <w:shd w:val="clear" w:color="auto" w:fill="E5FFFF"/>
          </w:tcPr>
          <w:p>
            <w:pPr>
              <w:spacing w:after="0"/>
              <w:rPr>
                <w:sz w:val="2"/>
                <w:szCs w:val="2"/>
                <w:color w:val="auto"/>
              </w:rPr>
            </w:pPr>
          </w:p>
        </w:tc>
        <w:tc>
          <w:tcPr>
            <w:tcW w:w="1300" w:type="dxa"/>
            <w:vAlign w:val="bottom"/>
            <w:shd w:val="clear" w:color="auto" w:fill="E5FFFF"/>
          </w:tcPr>
          <w:p>
            <w:pPr>
              <w:spacing w:after="0"/>
              <w:rPr>
                <w:sz w:val="2"/>
                <w:szCs w:val="2"/>
                <w:color w:val="auto"/>
              </w:rPr>
            </w:pPr>
          </w:p>
        </w:tc>
        <w:tc>
          <w:tcPr>
            <w:tcW w:w="340" w:type="dxa"/>
            <w:vAlign w:val="bottom"/>
            <w:shd w:val="clear" w:color="auto" w:fill="E5FFFF"/>
          </w:tcPr>
          <w:p>
            <w:pPr>
              <w:spacing w:after="0"/>
              <w:rPr>
                <w:sz w:val="2"/>
                <w:szCs w:val="2"/>
                <w:color w:val="auto"/>
              </w:rPr>
            </w:pPr>
          </w:p>
        </w:tc>
        <w:tc>
          <w:tcPr>
            <w:tcW w:w="140" w:type="dxa"/>
            <w:vAlign w:val="bottom"/>
            <w:shd w:val="clear" w:color="auto" w:fill="E5FFFF"/>
          </w:tcPr>
          <w:p>
            <w:pPr>
              <w:spacing w:after="0"/>
              <w:rPr>
                <w:sz w:val="2"/>
                <w:szCs w:val="2"/>
                <w:color w:val="auto"/>
              </w:rPr>
            </w:pPr>
          </w:p>
        </w:tc>
        <w:tc>
          <w:tcPr>
            <w:tcW w:w="1440" w:type="dxa"/>
            <w:vAlign w:val="bottom"/>
            <w:shd w:val="clear" w:color="auto" w:fill="E5FFFF"/>
          </w:tcPr>
          <w:p>
            <w:pPr>
              <w:spacing w:after="0"/>
              <w:rPr>
                <w:sz w:val="2"/>
                <w:szCs w:val="2"/>
                <w:color w:val="auto"/>
              </w:rPr>
            </w:pPr>
          </w:p>
        </w:tc>
      </w:tr>
      <w:tr>
        <w:trPr>
          <w:trHeight w:val="203"/>
        </w:trPr>
        <w:tc>
          <w:tcPr>
            <w:tcW w:w="5660" w:type="dxa"/>
            <w:vAlign w:val="bottom"/>
            <w:gridSpan w:val="5"/>
          </w:tcPr>
          <w:p>
            <w:pPr>
              <w:ind w:left="180"/>
              <w:spacing w:after="0" w:line="202" w:lineRule="exact"/>
              <w:rPr>
                <w:sz w:val="20"/>
                <w:szCs w:val="20"/>
                <w:color w:val="auto"/>
              </w:rPr>
            </w:pPr>
            <w:r>
              <w:rPr>
                <w:rFonts w:ascii="Arial" w:cs="Arial" w:eastAsia="Arial" w:hAnsi="Arial"/>
                <w:sz w:val="18"/>
                <w:szCs w:val="18"/>
                <w:color w:val="auto"/>
              </w:rPr>
              <w:t>Commercial Aviation Original Equipment</w:t>
            </w:r>
          </w:p>
        </w:tc>
        <w:tc>
          <w:tcPr>
            <w:tcW w:w="2540" w:type="dxa"/>
            <w:vAlign w:val="bottom"/>
            <w:gridSpan w:val="2"/>
          </w:tcPr>
          <w:p>
            <w:pPr>
              <w:jc w:val="right"/>
              <w:ind w:right="119"/>
              <w:spacing w:after="0" w:line="202" w:lineRule="exact"/>
              <w:rPr>
                <w:sz w:val="20"/>
                <w:szCs w:val="20"/>
                <w:color w:val="auto"/>
              </w:rPr>
            </w:pPr>
            <w:r>
              <w:rPr>
                <w:rFonts w:ascii="Arial" w:cs="Arial" w:eastAsia="Arial" w:hAnsi="Arial"/>
                <w:sz w:val="18"/>
                <w:szCs w:val="18"/>
                <w:color w:val="auto"/>
              </w:rPr>
              <w:t>$</w:t>
            </w:r>
          </w:p>
        </w:tc>
        <w:tc>
          <w:tcPr>
            <w:tcW w:w="1300" w:type="dxa"/>
            <w:vAlign w:val="bottom"/>
          </w:tcPr>
          <w:p>
            <w:pPr>
              <w:jc w:val="right"/>
              <w:ind w:right="11"/>
              <w:spacing w:after="0" w:line="202" w:lineRule="exact"/>
              <w:rPr>
                <w:sz w:val="20"/>
                <w:szCs w:val="20"/>
                <w:color w:val="auto"/>
              </w:rPr>
            </w:pPr>
            <w:r>
              <w:rPr>
                <w:rFonts w:ascii="Arial" w:cs="Arial" w:eastAsia="Arial" w:hAnsi="Arial"/>
                <w:sz w:val="18"/>
                <w:szCs w:val="18"/>
                <w:color w:val="auto"/>
              </w:rPr>
              <w:t>712</w:t>
            </w:r>
          </w:p>
        </w:tc>
        <w:tc>
          <w:tcPr>
            <w:tcW w:w="4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440" w:type="dxa"/>
            <w:vAlign w:val="bottom"/>
          </w:tcPr>
          <w:p>
            <w:pPr>
              <w:jc w:val="right"/>
              <w:ind w:right="12"/>
              <w:spacing w:after="0" w:line="202" w:lineRule="exact"/>
              <w:rPr>
                <w:sz w:val="20"/>
                <w:szCs w:val="20"/>
                <w:color w:val="auto"/>
              </w:rPr>
            </w:pPr>
            <w:r>
              <w:rPr>
                <w:rFonts w:ascii="Arial" w:cs="Arial" w:eastAsia="Arial" w:hAnsi="Arial"/>
                <w:sz w:val="18"/>
                <w:szCs w:val="18"/>
                <w:color w:val="auto"/>
              </w:rPr>
              <w:t>1,407</w:t>
            </w:r>
          </w:p>
        </w:tc>
      </w:tr>
      <w:tr>
        <w:trPr>
          <w:trHeight w:val="203"/>
        </w:trPr>
        <w:tc>
          <w:tcPr>
            <w:tcW w:w="5660" w:type="dxa"/>
            <w:vAlign w:val="bottom"/>
            <w:gridSpan w:val="5"/>
            <w:shd w:val="clear" w:color="auto" w:fill="E5FFFF"/>
          </w:tcPr>
          <w:p>
            <w:pPr>
              <w:ind w:left="180"/>
              <w:spacing w:after="0" w:line="202" w:lineRule="exact"/>
              <w:rPr>
                <w:sz w:val="20"/>
                <w:szCs w:val="20"/>
                <w:color w:val="auto"/>
              </w:rPr>
            </w:pPr>
            <w:r>
              <w:rPr>
                <w:rFonts w:ascii="Arial" w:cs="Arial" w:eastAsia="Arial" w:hAnsi="Arial"/>
                <w:sz w:val="18"/>
                <w:szCs w:val="18"/>
                <w:color w:val="auto"/>
              </w:rPr>
              <w:t>Commercial Aviation Aftermarket</w:t>
            </w:r>
          </w:p>
        </w:tc>
        <w:tc>
          <w:tcPr>
            <w:tcW w:w="224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130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1,326</w:t>
            </w:r>
          </w:p>
        </w:tc>
        <w:tc>
          <w:tcPr>
            <w:tcW w:w="340" w:type="dxa"/>
            <w:vAlign w:val="bottom"/>
            <w:shd w:val="clear" w:color="auto" w:fill="E5FFFF"/>
          </w:tcPr>
          <w:p>
            <w:pPr>
              <w:spacing w:after="0"/>
              <w:rPr>
                <w:sz w:val="17"/>
                <w:szCs w:val="17"/>
                <w:color w:val="auto"/>
              </w:rPr>
            </w:pPr>
          </w:p>
        </w:tc>
        <w:tc>
          <w:tcPr>
            <w:tcW w:w="140" w:type="dxa"/>
            <w:vAlign w:val="bottom"/>
            <w:shd w:val="clear" w:color="auto" w:fill="E5FFFF"/>
          </w:tcPr>
          <w:p>
            <w:pPr>
              <w:spacing w:after="0"/>
              <w:rPr>
                <w:sz w:val="17"/>
                <w:szCs w:val="17"/>
                <w:color w:val="auto"/>
              </w:rPr>
            </w:pPr>
          </w:p>
        </w:tc>
        <w:tc>
          <w:tcPr>
            <w:tcW w:w="1440" w:type="dxa"/>
            <w:vAlign w:val="bottom"/>
            <w:shd w:val="clear" w:color="auto" w:fill="E5FFFF"/>
          </w:tcPr>
          <w:p>
            <w:pPr>
              <w:jc w:val="right"/>
              <w:ind w:right="12"/>
              <w:spacing w:after="0" w:line="202" w:lineRule="exact"/>
              <w:rPr>
                <w:sz w:val="20"/>
                <w:szCs w:val="20"/>
                <w:color w:val="auto"/>
              </w:rPr>
            </w:pPr>
            <w:r>
              <w:rPr>
                <w:rFonts w:ascii="Arial" w:cs="Arial" w:eastAsia="Arial" w:hAnsi="Arial"/>
                <w:sz w:val="18"/>
                <w:szCs w:val="18"/>
                <w:color w:val="auto"/>
              </w:rPr>
              <w:t>2,594</w:t>
            </w:r>
          </w:p>
        </w:tc>
      </w:tr>
      <w:tr>
        <w:trPr>
          <w:trHeight w:val="203"/>
        </w:trPr>
        <w:tc>
          <w:tcPr>
            <w:tcW w:w="5660" w:type="dxa"/>
            <w:vAlign w:val="bottom"/>
            <w:gridSpan w:val="5"/>
          </w:tcPr>
          <w:p>
            <w:pPr>
              <w:ind w:left="180"/>
              <w:spacing w:after="0" w:line="202" w:lineRule="exact"/>
              <w:rPr>
                <w:sz w:val="20"/>
                <w:szCs w:val="20"/>
                <w:color w:val="auto"/>
              </w:rPr>
            </w:pPr>
            <w:r>
              <w:rPr>
                <w:rFonts w:ascii="Arial" w:cs="Arial" w:eastAsia="Arial" w:hAnsi="Arial"/>
                <w:sz w:val="18"/>
                <w:szCs w:val="18"/>
                <w:color w:val="auto"/>
              </w:rPr>
              <w:t>Defense Services</w:t>
            </w:r>
          </w:p>
        </w:tc>
        <w:tc>
          <w:tcPr>
            <w:tcW w:w="2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00" w:type="dxa"/>
            <w:vAlign w:val="bottom"/>
          </w:tcPr>
          <w:p>
            <w:pPr>
              <w:jc w:val="right"/>
              <w:ind w:right="11"/>
              <w:spacing w:after="0" w:line="202" w:lineRule="exact"/>
              <w:rPr>
                <w:sz w:val="20"/>
                <w:szCs w:val="20"/>
                <w:color w:val="auto"/>
              </w:rPr>
            </w:pPr>
            <w:r>
              <w:rPr>
                <w:rFonts w:ascii="Arial" w:cs="Arial" w:eastAsia="Arial" w:hAnsi="Arial"/>
                <w:sz w:val="18"/>
                <w:szCs w:val="18"/>
                <w:color w:val="auto"/>
              </w:rPr>
              <w:t>1,128</w:t>
            </w: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jc w:val="right"/>
              <w:ind w:right="12"/>
              <w:spacing w:after="0" w:line="202" w:lineRule="exact"/>
              <w:rPr>
                <w:sz w:val="20"/>
                <w:szCs w:val="20"/>
                <w:color w:val="auto"/>
              </w:rPr>
            </w:pPr>
            <w:r>
              <w:rPr>
                <w:rFonts w:ascii="Arial" w:cs="Arial" w:eastAsia="Arial" w:hAnsi="Arial"/>
                <w:sz w:val="18"/>
                <w:szCs w:val="18"/>
                <w:color w:val="auto"/>
              </w:rPr>
              <w:t>2,214</w:t>
            </w:r>
          </w:p>
        </w:tc>
      </w:tr>
      <w:tr>
        <w:trPr>
          <w:trHeight w:val="203"/>
        </w:trPr>
        <w:tc>
          <w:tcPr>
            <w:tcW w:w="5660" w:type="dxa"/>
            <w:vAlign w:val="bottom"/>
            <w:gridSpan w:val="5"/>
            <w:shd w:val="clear" w:color="auto" w:fill="E5FFFF"/>
          </w:tcPr>
          <w:p>
            <w:pPr>
              <w:ind w:left="180"/>
              <w:spacing w:after="0" w:line="202" w:lineRule="exact"/>
              <w:rPr>
                <w:sz w:val="20"/>
                <w:szCs w:val="20"/>
                <w:color w:val="auto"/>
              </w:rPr>
            </w:pPr>
            <w:r>
              <w:rPr>
                <w:rFonts w:ascii="Arial" w:cs="Arial" w:eastAsia="Arial" w:hAnsi="Arial"/>
                <w:sz w:val="18"/>
                <w:szCs w:val="18"/>
                <w:color w:val="auto"/>
              </w:rPr>
              <w:t>Transportation Systems</w:t>
            </w:r>
          </w:p>
        </w:tc>
        <w:tc>
          <w:tcPr>
            <w:tcW w:w="2240" w:type="dxa"/>
            <w:vAlign w:val="bottom"/>
            <w:shd w:val="clear" w:color="auto" w:fill="E5FFFF"/>
          </w:tcPr>
          <w:p>
            <w:pPr>
              <w:spacing w:after="0"/>
              <w:rPr>
                <w:sz w:val="17"/>
                <w:szCs w:val="17"/>
                <w:color w:val="auto"/>
              </w:rPr>
            </w:pPr>
          </w:p>
        </w:tc>
        <w:tc>
          <w:tcPr>
            <w:tcW w:w="300" w:type="dxa"/>
            <w:vAlign w:val="bottom"/>
            <w:tcBorders>
              <w:bottom w:val="single" w:sz="8" w:color="auto"/>
            </w:tcBorders>
            <w:shd w:val="clear" w:color="auto" w:fill="E5FFFF"/>
          </w:tcPr>
          <w:p>
            <w:pPr>
              <w:spacing w:after="0"/>
              <w:rPr>
                <w:sz w:val="17"/>
                <w:szCs w:val="17"/>
                <w:color w:val="auto"/>
              </w:rPr>
            </w:pPr>
          </w:p>
        </w:tc>
        <w:tc>
          <w:tcPr>
            <w:tcW w:w="1300" w:type="dxa"/>
            <w:vAlign w:val="bottom"/>
            <w:tcBorders>
              <w:bottom w:val="single" w:sz="8" w:color="auto"/>
            </w:tcBorders>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892</w:t>
            </w:r>
          </w:p>
        </w:tc>
        <w:tc>
          <w:tcPr>
            <w:tcW w:w="340" w:type="dxa"/>
            <w:vAlign w:val="bottom"/>
            <w:shd w:val="clear" w:color="auto" w:fill="E5FFFF"/>
          </w:tcPr>
          <w:p>
            <w:pPr>
              <w:spacing w:after="0"/>
              <w:rPr>
                <w:sz w:val="17"/>
                <w:szCs w:val="17"/>
                <w:color w:val="auto"/>
              </w:rPr>
            </w:pPr>
          </w:p>
        </w:tc>
        <w:tc>
          <w:tcPr>
            <w:tcW w:w="140" w:type="dxa"/>
            <w:vAlign w:val="bottom"/>
            <w:tcBorders>
              <w:bottom w:val="single" w:sz="8" w:color="auto"/>
            </w:tcBorders>
            <w:shd w:val="clear" w:color="auto" w:fill="E5FFFF"/>
          </w:tcPr>
          <w:p>
            <w:pPr>
              <w:spacing w:after="0"/>
              <w:rPr>
                <w:sz w:val="17"/>
                <w:szCs w:val="17"/>
                <w:color w:val="auto"/>
              </w:rPr>
            </w:pPr>
          </w:p>
        </w:tc>
        <w:tc>
          <w:tcPr>
            <w:tcW w:w="1440" w:type="dxa"/>
            <w:vAlign w:val="bottom"/>
            <w:tcBorders>
              <w:bottom w:val="single" w:sz="8" w:color="auto"/>
            </w:tcBorders>
            <w:shd w:val="clear" w:color="auto" w:fill="E5FFFF"/>
          </w:tcPr>
          <w:p>
            <w:pPr>
              <w:jc w:val="right"/>
              <w:ind w:right="12"/>
              <w:spacing w:after="0" w:line="202" w:lineRule="exact"/>
              <w:rPr>
                <w:sz w:val="20"/>
                <w:szCs w:val="20"/>
                <w:color w:val="auto"/>
              </w:rPr>
            </w:pPr>
            <w:r>
              <w:rPr>
                <w:rFonts w:ascii="Arial" w:cs="Arial" w:eastAsia="Arial" w:hAnsi="Arial"/>
                <w:sz w:val="18"/>
                <w:szCs w:val="18"/>
                <w:color w:val="auto"/>
              </w:rPr>
              <w:t>1,820</w:t>
            </w:r>
          </w:p>
        </w:tc>
      </w:tr>
      <w:tr>
        <w:trPr>
          <w:trHeight w:val="196"/>
        </w:trPr>
        <w:tc>
          <w:tcPr>
            <w:tcW w:w="860" w:type="dxa"/>
            <w:vAlign w:val="bottom"/>
            <w:tcBorders>
              <w:bottom w:val="single" w:sz="8" w:color="E5FFFF"/>
            </w:tcBorders>
          </w:tcPr>
          <w:p>
            <w:pPr>
              <w:spacing w:after="0"/>
              <w:rPr>
                <w:sz w:val="17"/>
                <w:szCs w:val="17"/>
                <w:color w:val="auto"/>
              </w:rPr>
            </w:pPr>
          </w:p>
        </w:tc>
        <w:tc>
          <w:tcPr>
            <w:tcW w:w="1760" w:type="dxa"/>
            <w:vAlign w:val="bottom"/>
            <w:tcBorders>
              <w:bottom w:val="single" w:sz="8" w:color="E5FFFF"/>
            </w:tcBorders>
          </w:tcPr>
          <w:p>
            <w:pPr>
              <w:spacing w:after="0"/>
              <w:rPr>
                <w:sz w:val="17"/>
                <w:szCs w:val="17"/>
                <w:color w:val="auto"/>
              </w:rPr>
            </w:pPr>
          </w:p>
        </w:tc>
        <w:tc>
          <w:tcPr>
            <w:tcW w:w="20" w:type="dxa"/>
            <w:vAlign w:val="bottom"/>
            <w:tcBorders>
              <w:bottom w:val="single" w:sz="8" w:color="E5FFFF"/>
            </w:tcBorders>
          </w:tcPr>
          <w:p>
            <w:pPr>
              <w:spacing w:after="0"/>
              <w:rPr>
                <w:sz w:val="17"/>
                <w:szCs w:val="17"/>
                <w:color w:val="auto"/>
              </w:rPr>
            </w:pPr>
          </w:p>
        </w:tc>
        <w:tc>
          <w:tcPr>
            <w:tcW w:w="620" w:type="dxa"/>
            <w:vAlign w:val="bottom"/>
            <w:tcBorders>
              <w:bottom w:val="single" w:sz="8" w:color="E5FFFF"/>
            </w:tcBorders>
          </w:tcPr>
          <w:p>
            <w:pPr>
              <w:spacing w:after="0"/>
              <w:rPr>
                <w:sz w:val="17"/>
                <w:szCs w:val="17"/>
                <w:color w:val="auto"/>
              </w:rPr>
            </w:pPr>
          </w:p>
        </w:tc>
        <w:tc>
          <w:tcPr>
            <w:tcW w:w="2400" w:type="dxa"/>
            <w:vAlign w:val="bottom"/>
            <w:tcBorders>
              <w:bottom w:val="single" w:sz="8" w:color="E5FFFF"/>
            </w:tcBorders>
          </w:tcPr>
          <w:p>
            <w:pPr>
              <w:spacing w:after="0"/>
              <w:rPr>
                <w:sz w:val="17"/>
                <w:szCs w:val="17"/>
                <w:color w:val="auto"/>
              </w:rPr>
            </w:pPr>
          </w:p>
        </w:tc>
        <w:tc>
          <w:tcPr>
            <w:tcW w:w="2240" w:type="dxa"/>
            <w:vAlign w:val="bottom"/>
            <w:tcBorders>
              <w:bottom w:val="single" w:sz="8" w:color="E5FF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11"/>
              <w:spacing w:after="0" w:line="196" w:lineRule="exact"/>
              <w:rPr>
                <w:sz w:val="20"/>
                <w:szCs w:val="20"/>
                <w:color w:val="auto"/>
              </w:rPr>
            </w:pPr>
            <w:r>
              <w:rPr>
                <w:rFonts w:ascii="Arial" w:cs="Arial" w:eastAsia="Arial" w:hAnsi="Arial"/>
                <w:sz w:val="18"/>
                <w:szCs w:val="18"/>
                <w:color w:val="auto"/>
              </w:rPr>
              <w:t>4,058</w:t>
            </w:r>
          </w:p>
        </w:tc>
        <w:tc>
          <w:tcPr>
            <w:tcW w:w="340" w:type="dxa"/>
            <w:vAlign w:val="bottom"/>
            <w:tcBorders>
              <w:bottom w:val="single" w:sz="8" w:color="E5FF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12"/>
              <w:spacing w:after="0" w:line="196" w:lineRule="exact"/>
              <w:rPr>
                <w:sz w:val="20"/>
                <w:szCs w:val="20"/>
                <w:color w:val="auto"/>
              </w:rPr>
            </w:pPr>
            <w:r>
              <w:rPr>
                <w:rFonts w:ascii="Arial" w:cs="Arial" w:eastAsia="Arial" w:hAnsi="Arial"/>
                <w:sz w:val="18"/>
                <w:szCs w:val="18"/>
                <w:color w:val="auto"/>
              </w:rPr>
              <w:t>8,035</w:t>
            </w:r>
          </w:p>
        </w:tc>
      </w:tr>
      <w:tr>
        <w:trPr>
          <w:trHeight w:val="176"/>
        </w:trPr>
        <w:tc>
          <w:tcPr>
            <w:tcW w:w="5660" w:type="dxa"/>
            <w:vAlign w:val="bottom"/>
            <w:gridSpan w:val="5"/>
            <w:shd w:val="clear" w:color="auto" w:fill="E5FFFF"/>
          </w:tcPr>
          <w:p>
            <w:pPr>
              <w:spacing w:after="0" w:line="170" w:lineRule="exact"/>
              <w:rPr>
                <w:sz w:val="20"/>
                <w:szCs w:val="20"/>
                <w:color w:val="auto"/>
              </w:rPr>
            </w:pPr>
            <w:r>
              <w:rPr>
                <w:rFonts w:ascii="Arial" w:cs="Arial" w:eastAsia="Arial" w:hAnsi="Arial"/>
                <w:sz w:val="18"/>
                <w:szCs w:val="18"/>
                <w:color w:val="auto"/>
              </w:rPr>
              <w:t>Home and Building Technologies</w:t>
            </w:r>
          </w:p>
        </w:tc>
        <w:tc>
          <w:tcPr>
            <w:tcW w:w="2240" w:type="dxa"/>
            <w:vAlign w:val="bottom"/>
            <w:shd w:val="clear" w:color="auto" w:fill="E5FFFF"/>
          </w:tcPr>
          <w:p>
            <w:pPr>
              <w:spacing w:after="0"/>
              <w:rPr>
                <w:sz w:val="15"/>
                <w:szCs w:val="15"/>
                <w:color w:val="auto"/>
              </w:rPr>
            </w:pPr>
          </w:p>
        </w:tc>
        <w:tc>
          <w:tcPr>
            <w:tcW w:w="300" w:type="dxa"/>
            <w:vAlign w:val="bottom"/>
            <w:shd w:val="clear" w:color="auto" w:fill="E5FFFF"/>
          </w:tcPr>
          <w:p>
            <w:pPr>
              <w:spacing w:after="0"/>
              <w:rPr>
                <w:sz w:val="15"/>
                <w:szCs w:val="15"/>
                <w:color w:val="auto"/>
              </w:rPr>
            </w:pPr>
          </w:p>
        </w:tc>
        <w:tc>
          <w:tcPr>
            <w:tcW w:w="1300" w:type="dxa"/>
            <w:vAlign w:val="bottom"/>
            <w:shd w:val="clear" w:color="auto" w:fill="E5FFFF"/>
          </w:tcPr>
          <w:p>
            <w:pPr>
              <w:spacing w:after="0"/>
              <w:rPr>
                <w:sz w:val="15"/>
                <w:szCs w:val="15"/>
                <w:color w:val="auto"/>
              </w:rPr>
            </w:pPr>
          </w:p>
        </w:tc>
        <w:tc>
          <w:tcPr>
            <w:tcW w:w="340" w:type="dxa"/>
            <w:vAlign w:val="bottom"/>
            <w:shd w:val="clear" w:color="auto" w:fill="E5FFFF"/>
          </w:tcPr>
          <w:p>
            <w:pPr>
              <w:spacing w:after="0"/>
              <w:rPr>
                <w:sz w:val="15"/>
                <w:szCs w:val="15"/>
                <w:color w:val="auto"/>
              </w:rPr>
            </w:pPr>
          </w:p>
        </w:tc>
        <w:tc>
          <w:tcPr>
            <w:tcW w:w="140" w:type="dxa"/>
            <w:vAlign w:val="bottom"/>
            <w:shd w:val="clear" w:color="auto" w:fill="E5FFFF"/>
          </w:tcPr>
          <w:p>
            <w:pPr>
              <w:spacing w:after="0"/>
              <w:rPr>
                <w:sz w:val="15"/>
                <w:szCs w:val="15"/>
                <w:color w:val="auto"/>
              </w:rPr>
            </w:pPr>
          </w:p>
        </w:tc>
        <w:tc>
          <w:tcPr>
            <w:tcW w:w="1440" w:type="dxa"/>
            <w:vAlign w:val="bottom"/>
            <w:shd w:val="clear" w:color="auto" w:fill="E5FFFF"/>
          </w:tcPr>
          <w:p>
            <w:pPr>
              <w:spacing w:after="0"/>
              <w:rPr>
                <w:sz w:val="15"/>
                <w:szCs w:val="15"/>
                <w:color w:val="auto"/>
              </w:rPr>
            </w:pPr>
          </w:p>
        </w:tc>
      </w:tr>
      <w:tr>
        <w:trPr>
          <w:trHeight w:val="203"/>
        </w:trPr>
        <w:tc>
          <w:tcPr>
            <w:tcW w:w="2620" w:type="dxa"/>
            <w:vAlign w:val="bottom"/>
            <w:tcBorders>
              <w:top w:val="single" w:sz="8" w:color="auto"/>
            </w:tcBorders>
            <w:gridSpan w:val="2"/>
          </w:tcPr>
          <w:p>
            <w:pPr>
              <w:ind w:left="180"/>
              <w:spacing w:after="0" w:line="202" w:lineRule="exact"/>
              <w:rPr>
                <w:sz w:val="20"/>
                <w:szCs w:val="20"/>
                <w:color w:val="auto"/>
              </w:rPr>
            </w:pPr>
            <w:r>
              <w:rPr>
                <w:rFonts w:ascii="Arial" w:cs="Arial" w:eastAsia="Arial" w:hAnsi="Arial"/>
                <w:sz w:val="18"/>
                <w:szCs w:val="18"/>
                <w:color w:val="auto"/>
              </w:rPr>
              <w:t>Products and Software</w:t>
            </w:r>
          </w:p>
        </w:tc>
        <w:tc>
          <w:tcPr>
            <w:tcW w:w="3040" w:type="dxa"/>
            <w:vAlign w:val="bottom"/>
            <w:tcBorders>
              <w:top w:val="single" w:sz="8" w:color="E5FFFF"/>
            </w:tcBorders>
            <w:gridSpan w:val="3"/>
          </w:tcPr>
          <w:p>
            <w:pPr>
              <w:spacing w:after="0"/>
              <w:rPr>
                <w:sz w:val="17"/>
                <w:szCs w:val="17"/>
                <w:color w:val="auto"/>
              </w:rPr>
            </w:pPr>
          </w:p>
        </w:tc>
        <w:tc>
          <w:tcPr>
            <w:tcW w:w="2240" w:type="dxa"/>
            <w:vAlign w:val="bottom"/>
            <w:tcBorders>
              <w:top w:val="single" w:sz="8" w:color="E5FFFF"/>
            </w:tcBorders>
          </w:tcPr>
          <w:p>
            <w:pPr>
              <w:spacing w:after="0"/>
              <w:rPr>
                <w:sz w:val="17"/>
                <w:szCs w:val="17"/>
                <w:color w:val="auto"/>
              </w:rPr>
            </w:pPr>
          </w:p>
        </w:tc>
        <w:tc>
          <w:tcPr>
            <w:tcW w:w="300" w:type="dxa"/>
            <w:vAlign w:val="bottom"/>
            <w:tcBorders>
              <w:top w:val="single" w:sz="8" w:color="E5FFFF"/>
            </w:tcBorders>
          </w:tcPr>
          <w:p>
            <w:pPr>
              <w:spacing w:after="0"/>
              <w:rPr>
                <w:sz w:val="17"/>
                <w:szCs w:val="17"/>
                <w:color w:val="auto"/>
              </w:rPr>
            </w:pPr>
          </w:p>
        </w:tc>
        <w:tc>
          <w:tcPr>
            <w:tcW w:w="1300" w:type="dxa"/>
            <w:vAlign w:val="bottom"/>
            <w:tcBorders>
              <w:top w:val="single" w:sz="8" w:color="E5FFFF"/>
            </w:tcBorders>
          </w:tcPr>
          <w:p>
            <w:pPr>
              <w:jc w:val="right"/>
              <w:ind w:right="11"/>
              <w:spacing w:after="0" w:line="202" w:lineRule="exact"/>
              <w:rPr>
                <w:sz w:val="20"/>
                <w:szCs w:val="20"/>
                <w:color w:val="auto"/>
              </w:rPr>
            </w:pPr>
            <w:r>
              <w:rPr>
                <w:rFonts w:ascii="Arial" w:cs="Arial" w:eastAsia="Arial" w:hAnsi="Arial"/>
                <w:sz w:val="18"/>
                <w:szCs w:val="18"/>
                <w:color w:val="auto"/>
              </w:rPr>
              <w:t>514</w:t>
            </w:r>
          </w:p>
        </w:tc>
        <w:tc>
          <w:tcPr>
            <w:tcW w:w="340" w:type="dxa"/>
            <w:vAlign w:val="bottom"/>
            <w:tcBorders>
              <w:top w:val="single" w:sz="8" w:color="E5FFFF"/>
            </w:tcBorders>
          </w:tcPr>
          <w:p>
            <w:pPr>
              <w:spacing w:after="0"/>
              <w:rPr>
                <w:sz w:val="17"/>
                <w:szCs w:val="17"/>
                <w:color w:val="auto"/>
              </w:rPr>
            </w:pPr>
          </w:p>
        </w:tc>
        <w:tc>
          <w:tcPr>
            <w:tcW w:w="140" w:type="dxa"/>
            <w:vAlign w:val="bottom"/>
            <w:tcBorders>
              <w:top w:val="single" w:sz="8" w:color="E5FFFF"/>
            </w:tcBorders>
          </w:tcPr>
          <w:p>
            <w:pPr>
              <w:spacing w:after="0"/>
              <w:rPr>
                <w:sz w:val="17"/>
                <w:szCs w:val="17"/>
                <w:color w:val="auto"/>
              </w:rPr>
            </w:pPr>
          </w:p>
        </w:tc>
        <w:tc>
          <w:tcPr>
            <w:tcW w:w="1440" w:type="dxa"/>
            <w:vAlign w:val="bottom"/>
            <w:tcBorders>
              <w:top w:val="single" w:sz="8" w:color="E5FFFF"/>
            </w:tcBorders>
          </w:tcPr>
          <w:p>
            <w:pPr>
              <w:jc w:val="right"/>
              <w:ind w:right="12"/>
              <w:spacing w:after="0" w:line="202" w:lineRule="exact"/>
              <w:rPr>
                <w:sz w:val="20"/>
                <w:szCs w:val="20"/>
                <w:color w:val="auto"/>
              </w:rPr>
            </w:pPr>
            <w:r>
              <w:rPr>
                <w:rFonts w:ascii="Arial" w:cs="Arial" w:eastAsia="Arial" w:hAnsi="Arial"/>
                <w:sz w:val="18"/>
                <w:szCs w:val="18"/>
                <w:color w:val="auto"/>
              </w:rPr>
              <w:t>1,033</w:t>
            </w:r>
          </w:p>
        </w:tc>
      </w:tr>
      <w:tr>
        <w:trPr>
          <w:trHeight w:val="203"/>
        </w:trPr>
        <w:tc>
          <w:tcPr>
            <w:tcW w:w="5660" w:type="dxa"/>
            <w:vAlign w:val="bottom"/>
            <w:gridSpan w:val="5"/>
            <w:shd w:val="clear" w:color="auto" w:fill="E5FFFF"/>
          </w:tcPr>
          <w:p>
            <w:pPr>
              <w:ind w:left="180"/>
              <w:spacing w:after="0" w:line="202" w:lineRule="exact"/>
              <w:rPr>
                <w:sz w:val="20"/>
                <w:szCs w:val="20"/>
                <w:color w:val="auto"/>
              </w:rPr>
            </w:pPr>
            <w:r>
              <w:rPr>
                <w:rFonts w:ascii="Arial" w:cs="Arial" w:eastAsia="Arial" w:hAnsi="Arial"/>
                <w:sz w:val="18"/>
                <w:szCs w:val="18"/>
                <w:color w:val="auto"/>
              </w:rPr>
              <w:t>Distribution (ADI)</w:t>
            </w:r>
          </w:p>
        </w:tc>
        <w:tc>
          <w:tcPr>
            <w:tcW w:w="224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130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676</w:t>
            </w:r>
          </w:p>
        </w:tc>
        <w:tc>
          <w:tcPr>
            <w:tcW w:w="340" w:type="dxa"/>
            <w:vAlign w:val="bottom"/>
            <w:shd w:val="clear" w:color="auto" w:fill="E5FFFF"/>
          </w:tcPr>
          <w:p>
            <w:pPr>
              <w:spacing w:after="0"/>
              <w:rPr>
                <w:sz w:val="17"/>
                <w:szCs w:val="17"/>
                <w:color w:val="auto"/>
              </w:rPr>
            </w:pPr>
          </w:p>
        </w:tc>
        <w:tc>
          <w:tcPr>
            <w:tcW w:w="140" w:type="dxa"/>
            <w:vAlign w:val="bottom"/>
            <w:shd w:val="clear" w:color="auto" w:fill="E5FFFF"/>
          </w:tcPr>
          <w:p>
            <w:pPr>
              <w:spacing w:after="0"/>
              <w:rPr>
                <w:sz w:val="17"/>
                <w:szCs w:val="17"/>
                <w:color w:val="auto"/>
              </w:rPr>
            </w:pPr>
          </w:p>
        </w:tc>
        <w:tc>
          <w:tcPr>
            <w:tcW w:w="1440" w:type="dxa"/>
            <w:vAlign w:val="bottom"/>
            <w:shd w:val="clear" w:color="auto" w:fill="E5FFFF"/>
          </w:tcPr>
          <w:p>
            <w:pPr>
              <w:jc w:val="right"/>
              <w:ind w:right="12"/>
              <w:spacing w:after="0" w:line="202" w:lineRule="exact"/>
              <w:rPr>
                <w:sz w:val="20"/>
                <w:szCs w:val="20"/>
                <w:color w:val="auto"/>
              </w:rPr>
            </w:pPr>
            <w:r>
              <w:rPr>
                <w:rFonts w:ascii="Arial" w:cs="Arial" w:eastAsia="Arial" w:hAnsi="Arial"/>
                <w:sz w:val="18"/>
                <w:szCs w:val="18"/>
                <w:color w:val="auto"/>
              </w:rPr>
              <w:t>1,314</w:t>
            </w:r>
          </w:p>
        </w:tc>
      </w:tr>
      <w:tr>
        <w:trPr>
          <w:trHeight w:val="203"/>
        </w:trPr>
        <w:tc>
          <w:tcPr>
            <w:tcW w:w="5660" w:type="dxa"/>
            <w:vAlign w:val="bottom"/>
            <w:gridSpan w:val="5"/>
          </w:tcPr>
          <w:p>
            <w:pPr>
              <w:ind w:left="180"/>
              <w:spacing w:after="0" w:line="202" w:lineRule="exact"/>
              <w:rPr>
                <w:sz w:val="20"/>
                <w:szCs w:val="20"/>
                <w:color w:val="auto"/>
              </w:rPr>
            </w:pPr>
            <w:r>
              <w:rPr>
                <w:rFonts w:ascii="Arial" w:cs="Arial" w:eastAsia="Arial" w:hAnsi="Arial"/>
                <w:sz w:val="18"/>
                <w:szCs w:val="18"/>
                <w:color w:val="auto"/>
              </w:rPr>
              <w:t>Connected Buildings</w:t>
            </w:r>
          </w:p>
        </w:tc>
        <w:tc>
          <w:tcPr>
            <w:tcW w:w="2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00" w:type="dxa"/>
            <w:vAlign w:val="bottom"/>
          </w:tcPr>
          <w:p>
            <w:pPr>
              <w:jc w:val="right"/>
              <w:ind w:right="11"/>
              <w:spacing w:after="0" w:line="202" w:lineRule="exact"/>
              <w:rPr>
                <w:sz w:val="20"/>
                <w:szCs w:val="20"/>
                <w:color w:val="auto"/>
              </w:rPr>
            </w:pPr>
            <w:r>
              <w:rPr>
                <w:rFonts w:ascii="Arial" w:cs="Arial" w:eastAsia="Arial" w:hAnsi="Arial"/>
                <w:sz w:val="18"/>
                <w:szCs w:val="18"/>
                <w:color w:val="auto"/>
              </w:rPr>
              <w:t>222</w:t>
            </w: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jc w:val="right"/>
              <w:ind w:right="12"/>
              <w:spacing w:after="0" w:line="202" w:lineRule="exact"/>
              <w:rPr>
                <w:sz w:val="20"/>
                <w:szCs w:val="20"/>
                <w:color w:val="auto"/>
              </w:rPr>
            </w:pPr>
            <w:r>
              <w:rPr>
                <w:rFonts w:ascii="Arial" w:cs="Arial" w:eastAsia="Arial" w:hAnsi="Arial"/>
                <w:sz w:val="18"/>
                <w:szCs w:val="18"/>
                <w:color w:val="auto"/>
              </w:rPr>
              <w:t>431</w:t>
            </w:r>
          </w:p>
        </w:tc>
      </w:tr>
      <w:tr>
        <w:trPr>
          <w:trHeight w:val="203"/>
        </w:trPr>
        <w:tc>
          <w:tcPr>
            <w:tcW w:w="5660" w:type="dxa"/>
            <w:vAlign w:val="bottom"/>
            <w:gridSpan w:val="5"/>
            <w:shd w:val="clear" w:color="auto" w:fill="E5FFFF"/>
          </w:tcPr>
          <w:p>
            <w:pPr>
              <w:ind w:left="180"/>
              <w:spacing w:after="0" w:line="202" w:lineRule="exact"/>
              <w:rPr>
                <w:sz w:val="20"/>
                <w:szCs w:val="20"/>
                <w:color w:val="auto"/>
              </w:rPr>
            </w:pPr>
            <w:r>
              <w:rPr>
                <w:rFonts w:ascii="Arial" w:cs="Arial" w:eastAsia="Arial" w:hAnsi="Arial"/>
                <w:sz w:val="18"/>
                <w:szCs w:val="18"/>
                <w:color w:val="auto"/>
              </w:rPr>
              <w:t>Building Solutions</w:t>
            </w:r>
          </w:p>
        </w:tc>
        <w:tc>
          <w:tcPr>
            <w:tcW w:w="224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130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602</w:t>
            </w:r>
          </w:p>
        </w:tc>
        <w:tc>
          <w:tcPr>
            <w:tcW w:w="340" w:type="dxa"/>
            <w:vAlign w:val="bottom"/>
            <w:shd w:val="clear" w:color="auto" w:fill="E5FFFF"/>
          </w:tcPr>
          <w:p>
            <w:pPr>
              <w:spacing w:after="0"/>
              <w:rPr>
                <w:sz w:val="17"/>
                <w:szCs w:val="17"/>
                <w:color w:val="auto"/>
              </w:rPr>
            </w:pPr>
          </w:p>
        </w:tc>
        <w:tc>
          <w:tcPr>
            <w:tcW w:w="140" w:type="dxa"/>
            <w:vAlign w:val="bottom"/>
            <w:shd w:val="clear" w:color="auto" w:fill="E5FFFF"/>
          </w:tcPr>
          <w:p>
            <w:pPr>
              <w:spacing w:after="0"/>
              <w:rPr>
                <w:sz w:val="17"/>
                <w:szCs w:val="17"/>
                <w:color w:val="auto"/>
              </w:rPr>
            </w:pPr>
          </w:p>
        </w:tc>
        <w:tc>
          <w:tcPr>
            <w:tcW w:w="1440" w:type="dxa"/>
            <w:vAlign w:val="bottom"/>
            <w:shd w:val="clear" w:color="auto" w:fill="E5FFFF"/>
          </w:tcPr>
          <w:p>
            <w:pPr>
              <w:jc w:val="right"/>
              <w:ind w:right="12"/>
              <w:spacing w:after="0" w:line="202" w:lineRule="exact"/>
              <w:rPr>
                <w:sz w:val="20"/>
                <w:szCs w:val="20"/>
                <w:color w:val="auto"/>
              </w:rPr>
            </w:pPr>
            <w:r>
              <w:rPr>
                <w:rFonts w:ascii="Arial" w:cs="Arial" w:eastAsia="Arial" w:hAnsi="Arial"/>
                <w:sz w:val="18"/>
                <w:szCs w:val="18"/>
                <w:color w:val="auto"/>
              </w:rPr>
              <w:t>1,164</w:t>
            </w:r>
          </w:p>
        </w:tc>
      </w:tr>
      <w:tr>
        <w:trPr>
          <w:trHeight w:val="203"/>
        </w:trPr>
        <w:tc>
          <w:tcPr>
            <w:tcW w:w="5660" w:type="dxa"/>
            <w:vAlign w:val="bottom"/>
            <w:tcBorders>
              <w:bottom w:val="single" w:sz="8" w:color="E5FFFF"/>
            </w:tcBorders>
            <w:gridSpan w:val="5"/>
          </w:tcPr>
          <w:p>
            <w:pPr>
              <w:ind w:left="180"/>
              <w:spacing w:after="0" w:line="202" w:lineRule="exact"/>
              <w:rPr>
                <w:sz w:val="20"/>
                <w:szCs w:val="20"/>
                <w:color w:val="auto"/>
              </w:rPr>
            </w:pPr>
            <w:r>
              <w:rPr>
                <w:rFonts w:ascii="Arial" w:cs="Arial" w:eastAsia="Arial" w:hAnsi="Arial"/>
                <w:sz w:val="18"/>
                <w:szCs w:val="18"/>
                <w:color w:val="auto"/>
              </w:rPr>
              <w:t>Building Products</w:t>
            </w:r>
          </w:p>
        </w:tc>
        <w:tc>
          <w:tcPr>
            <w:tcW w:w="2240" w:type="dxa"/>
            <w:vAlign w:val="bottom"/>
            <w:tcBorders>
              <w:bottom w:val="single" w:sz="8" w:color="E5FF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11"/>
              <w:spacing w:after="0" w:line="202" w:lineRule="exact"/>
              <w:rPr>
                <w:sz w:val="20"/>
                <w:szCs w:val="20"/>
                <w:color w:val="auto"/>
              </w:rPr>
            </w:pPr>
            <w:r>
              <w:rPr>
                <w:rFonts w:ascii="Arial" w:cs="Arial" w:eastAsia="Arial" w:hAnsi="Arial"/>
                <w:sz w:val="18"/>
                <w:szCs w:val="18"/>
                <w:color w:val="auto"/>
              </w:rPr>
              <w:t>532</w:t>
            </w:r>
          </w:p>
        </w:tc>
        <w:tc>
          <w:tcPr>
            <w:tcW w:w="340" w:type="dxa"/>
            <w:vAlign w:val="bottom"/>
            <w:tcBorders>
              <w:bottom w:val="single" w:sz="8" w:color="E5FF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12"/>
              <w:spacing w:after="0" w:line="202" w:lineRule="exact"/>
              <w:rPr>
                <w:sz w:val="20"/>
                <w:szCs w:val="20"/>
                <w:color w:val="auto"/>
              </w:rPr>
            </w:pPr>
            <w:r>
              <w:rPr>
                <w:rFonts w:ascii="Arial" w:cs="Arial" w:eastAsia="Arial" w:hAnsi="Arial"/>
                <w:sz w:val="18"/>
                <w:szCs w:val="18"/>
                <w:color w:val="auto"/>
              </w:rPr>
              <w:t>1,037</w:t>
            </w:r>
          </w:p>
        </w:tc>
      </w:tr>
      <w:tr>
        <w:trPr>
          <w:trHeight w:val="196"/>
        </w:trPr>
        <w:tc>
          <w:tcPr>
            <w:tcW w:w="860" w:type="dxa"/>
            <w:vAlign w:val="bottom"/>
            <w:shd w:val="clear" w:color="auto" w:fill="E5FFFF"/>
          </w:tcPr>
          <w:p>
            <w:pPr>
              <w:spacing w:after="0"/>
              <w:rPr>
                <w:sz w:val="17"/>
                <w:szCs w:val="17"/>
                <w:color w:val="auto"/>
              </w:rPr>
            </w:pPr>
          </w:p>
        </w:tc>
        <w:tc>
          <w:tcPr>
            <w:tcW w:w="176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620" w:type="dxa"/>
            <w:vAlign w:val="bottom"/>
            <w:shd w:val="clear" w:color="auto" w:fill="E5FFFF"/>
          </w:tcPr>
          <w:p>
            <w:pPr>
              <w:spacing w:after="0"/>
              <w:rPr>
                <w:sz w:val="17"/>
                <w:szCs w:val="17"/>
                <w:color w:val="auto"/>
              </w:rPr>
            </w:pPr>
          </w:p>
        </w:tc>
        <w:tc>
          <w:tcPr>
            <w:tcW w:w="2400" w:type="dxa"/>
            <w:vAlign w:val="bottom"/>
            <w:shd w:val="clear" w:color="auto" w:fill="E5FFFF"/>
          </w:tcPr>
          <w:p>
            <w:pPr>
              <w:spacing w:after="0"/>
              <w:rPr>
                <w:sz w:val="17"/>
                <w:szCs w:val="17"/>
                <w:color w:val="auto"/>
              </w:rPr>
            </w:pPr>
          </w:p>
        </w:tc>
        <w:tc>
          <w:tcPr>
            <w:tcW w:w="2240" w:type="dxa"/>
            <w:vAlign w:val="bottom"/>
            <w:shd w:val="clear" w:color="auto" w:fill="E5FFFF"/>
          </w:tcPr>
          <w:p>
            <w:pPr>
              <w:spacing w:after="0"/>
              <w:rPr>
                <w:sz w:val="17"/>
                <w:szCs w:val="17"/>
                <w:color w:val="auto"/>
              </w:rPr>
            </w:pPr>
          </w:p>
        </w:tc>
        <w:tc>
          <w:tcPr>
            <w:tcW w:w="300" w:type="dxa"/>
            <w:vAlign w:val="bottom"/>
            <w:tcBorders>
              <w:bottom w:val="single" w:sz="8" w:color="auto"/>
            </w:tcBorders>
            <w:shd w:val="clear" w:color="auto" w:fill="E5FFFF"/>
          </w:tcPr>
          <w:p>
            <w:pPr>
              <w:spacing w:after="0"/>
              <w:rPr>
                <w:sz w:val="17"/>
                <w:szCs w:val="17"/>
                <w:color w:val="auto"/>
              </w:rPr>
            </w:pPr>
          </w:p>
        </w:tc>
        <w:tc>
          <w:tcPr>
            <w:tcW w:w="1300" w:type="dxa"/>
            <w:vAlign w:val="bottom"/>
            <w:tcBorders>
              <w:bottom w:val="single" w:sz="8" w:color="auto"/>
            </w:tcBorders>
            <w:shd w:val="clear" w:color="auto" w:fill="E5FFFF"/>
          </w:tcPr>
          <w:p>
            <w:pPr>
              <w:jc w:val="right"/>
              <w:ind w:right="11"/>
              <w:spacing w:after="0" w:line="196" w:lineRule="exact"/>
              <w:rPr>
                <w:sz w:val="20"/>
                <w:szCs w:val="20"/>
                <w:color w:val="auto"/>
              </w:rPr>
            </w:pPr>
            <w:r>
              <w:rPr>
                <w:rFonts w:ascii="Arial" w:cs="Arial" w:eastAsia="Arial" w:hAnsi="Arial"/>
                <w:sz w:val="18"/>
                <w:szCs w:val="18"/>
                <w:color w:val="auto"/>
              </w:rPr>
              <w:t>2,546</w:t>
            </w:r>
          </w:p>
        </w:tc>
        <w:tc>
          <w:tcPr>
            <w:tcW w:w="340" w:type="dxa"/>
            <w:vAlign w:val="bottom"/>
            <w:shd w:val="clear" w:color="auto" w:fill="E5FFFF"/>
          </w:tcPr>
          <w:p>
            <w:pPr>
              <w:spacing w:after="0"/>
              <w:rPr>
                <w:sz w:val="17"/>
                <w:szCs w:val="17"/>
                <w:color w:val="auto"/>
              </w:rPr>
            </w:pPr>
          </w:p>
        </w:tc>
        <w:tc>
          <w:tcPr>
            <w:tcW w:w="140" w:type="dxa"/>
            <w:vAlign w:val="bottom"/>
            <w:tcBorders>
              <w:bottom w:val="single" w:sz="8" w:color="auto"/>
            </w:tcBorders>
            <w:shd w:val="clear" w:color="auto" w:fill="E5FFFF"/>
          </w:tcPr>
          <w:p>
            <w:pPr>
              <w:spacing w:after="0"/>
              <w:rPr>
                <w:sz w:val="17"/>
                <w:szCs w:val="17"/>
                <w:color w:val="auto"/>
              </w:rPr>
            </w:pPr>
          </w:p>
        </w:tc>
        <w:tc>
          <w:tcPr>
            <w:tcW w:w="1440" w:type="dxa"/>
            <w:vAlign w:val="bottom"/>
            <w:tcBorders>
              <w:bottom w:val="single" w:sz="8" w:color="auto"/>
            </w:tcBorders>
            <w:shd w:val="clear" w:color="auto" w:fill="E5FFFF"/>
          </w:tcPr>
          <w:p>
            <w:pPr>
              <w:jc w:val="right"/>
              <w:ind w:right="12"/>
              <w:spacing w:after="0" w:line="196" w:lineRule="exact"/>
              <w:rPr>
                <w:sz w:val="20"/>
                <w:szCs w:val="20"/>
                <w:color w:val="auto"/>
              </w:rPr>
            </w:pPr>
            <w:r>
              <w:rPr>
                <w:rFonts w:ascii="Arial" w:cs="Arial" w:eastAsia="Arial" w:hAnsi="Arial"/>
                <w:sz w:val="18"/>
                <w:szCs w:val="18"/>
                <w:color w:val="auto"/>
              </w:rPr>
              <w:t>4,979</w:t>
            </w:r>
          </w:p>
        </w:tc>
      </w:tr>
      <w:tr>
        <w:trPr>
          <w:trHeight w:val="176"/>
        </w:trPr>
        <w:tc>
          <w:tcPr>
            <w:tcW w:w="5660" w:type="dxa"/>
            <w:vAlign w:val="bottom"/>
            <w:gridSpan w:val="5"/>
          </w:tcPr>
          <w:p>
            <w:pPr>
              <w:spacing w:after="0" w:line="170" w:lineRule="exact"/>
              <w:rPr>
                <w:sz w:val="20"/>
                <w:szCs w:val="20"/>
                <w:color w:val="auto"/>
              </w:rPr>
            </w:pPr>
            <w:r>
              <w:rPr>
                <w:rFonts w:ascii="Arial" w:cs="Arial" w:eastAsia="Arial" w:hAnsi="Arial"/>
                <w:sz w:val="18"/>
                <w:szCs w:val="18"/>
                <w:color w:val="auto"/>
              </w:rPr>
              <w:t>Performance Materials and Technologies</w:t>
            </w:r>
          </w:p>
        </w:tc>
        <w:tc>
          <w:tcPr>
            <w:tcW w:w="2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203"/>
        </w:trPr>
        <w:tc>
          <w:tcPr>
            <w:tcW w:w="3260" w:type="dxa"/>
            <w:vAlign w:val="bottom"/>
            <w:tcBorders>
              <w:top w:val="single" w:sz="8" w:color="auto"/>
            </w:tcBorders>
            <w:gridSpan w:val="4"/>
            <w:shd w:val="clear" w:color="auto" w:fill="E5FFFF"/>
          </w:tcPr>
          <w:p>
            <w:pPr>
              <w:ind w:left="180"/>
              <w:spacing w:after="0" w:line="202" w:lineRule="exact"/>
              <w:rPr>
                <w:sz w:val="20"/>
                <w:szCs w:val="20"/>
                <w:color w:val="auto"/>
              </w:rPr>
            </w:pPr>
            <w:r>
              <w:rPr>
                <w:rFonts w:ascii="Arial" w:cs="Arial" w:eastAsia="Arial" w:hAnsi="Arial"/>
                <w:sz w:val="18"/>
                <w:szCs w:val="18"/>
                <w:color w:val="auto"/>
              </w:rPr>
              <w:t>UOP</w:t>
            </w:r>
          </w:p>
        </w:tc>
        <w:tc>
          <w:tcPr>
            <w:tcW w:w="2400" w:type="dxa"/>
            <w:vAlign w:val="bottom"/>
            <w:shd w:val="clear" w:color="auto" w:fill="E5FFFF"/>
          </w:tcPr>
          <w:p>
            <w:pPr>
              <w:spacing w:after="0"/>
              <w:rPr>
                <w:sz w:val="17"/>
                <w:szCs w:val="17"/>
                <w:color w:val="auto"/>
              </w:rPr>
            </w:pPr>
          </w:p>
        </w:tc>
        <w:tc>
          <w:tcPr>
            <w:tcW w:w="224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130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678</w:t>
            </w:r>
          </w:p>
        </w:tc>
        <w:tc>
          <w:tcPr>
            <w:tcW w:w="340" w:type="dxa"/>
            <w:vAlign w:val="bottom"/>
            <w:shd w:val="clear" w:color="auto" w:fill="E5FFFF"/>
          </w:tcPr>
          <w:p>
            <w:pPr>
              <w:spacing w:after="0"/>
              <w:rPr>
                <w:sz w:val="17"/>
                <w:szCs w:val="17"/>
                <w:color w:val="auto"/>
              </w:rPr>
            </w:pPr>
          </w:p>
        </w:tc>
        <w:tc>
          <w:tcPr>
            <w:tcW w:w="140" w:type="dxa"/>
            <w:vAlign w:val="bottom"/>
            <w:shd w:val="clear" w:color="auto" w:fill="E5FFFF"/>
          </w:tcPr>
          <w:p>
            <w:pPr>
              <w:spacing w:after="0"/>
              <w:rPr>
                <w:sz w:val="17"/>
                <w:szCs w:val="17"/>
                <w:color w:val="auto"/>
              </w:rPr>
            </w:pPr>
          </w:p>
        </w:tc>
        <w:tc>
          <w:tcPr>
            <w:tcW w:w="1440" w:type="dxa"/>
            <w:vAlign w:val="bottom"/>
            <w:shd w:val="clear" w:color="auto" w:fill="E5FFFF"/>
          </w:tcPr>
          <w:p>
            <w:pPr>
              <w:jc w:val="right"/>
              <w:ind w:right="12"/>
              <w:spacing w:after="0" w:line="202" w:lineRule="exact"/>
              <w:rPr>
                <w:sz w:val="20"/>
                <w:szCs w:val="20"/>
                <w:color w:val="auto"/>
              </w:rPr>
            </w:pPr>
            <w:r>
              <w:rPr>
                <w:rFonts w:ascii="Arial" w:cs="Arial" w:eastAsia="Arial" w:hAnsi="Arial"/>
                <w:sz w:val="18"/>
                <w:szCs w:val="18"/>
                <w:color w:val="auto"/>
              </w:rPr>
              <w:t>1,290</w:t>
            </w:r>
          </w:p>
        </w:tc>
      </w:tr>
      <w:tr>
        <w:trPr>
          <w:trHeight w:val="203"/>
        </w:trPr>
        <w:tc>
          <w:tcPr>
            <w:tcW w:w="5660" w:type="dxa"/>
            <w:vAlign w:val="bottom"/>
            <w:gridSpan w:val="5"/>
          </w:tcPr>
          <w:p>
            <w:pPr>
              <w:ind w:left="180"/>
              <w:spacing w:after="0" w:line="202" w:lineRule="exact"/>
              <w:rPr>
                <w:sz w:val="20"/>
                <w:szCs w:val="20"/>
                <w:color w:val="auto"/>
              </w:rPr>
            </w:pPr>
            <w:r>
              <w:rPr>
                <w:rFonts w:ascii="Arial" w:cs="Arial" w:eastAsia="Arial" w:hAnsi="Arial"/>
                <w:sz w:val="18"/>
                <w:szCs w:val="18"/>
                <w:color w:val="auto"/>
              </w:rPr>
              <w:t>Process Solutions</w:t>
            </w:r>
          </w:p>
        </w:tc>
        <w:tc>
          <w:tcPr>
            <w:tcW w:w="2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00" w:type="dxa"/>
            <w:vAlign w:val="bottom"/>
          </w:tcPr>
          <w:p>
            <w:pPr>
              <w:jc w:val="right"/>
              <w:ind w:right="11"/>
              <w:spacing w:after="0" w:line="202" w:lineRule="exact"/>
              <w:rPr>
                <w:sz w:val="20"/>
                <w:szCs w:val="20"/>
                <w:color w:val="auto"/>
              </w:rPr>
            </w:pPr>
            <w:r>
              <w:rPr>
                <w:rFonts w:ascii="Arial" w:cs="Arial" w:eastAsia="Arial" w:hAnsi="Arial"/>
                <w:sz w:val="18"/>
                <w:szCs w:val="18"/>
                <w:color w:val="auto"/>
              </w:rPr>
              <w:t>957</w:t>
            </w: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jc w:val="right"/>
              <w:ind w:right="12"/>
              <w:spacing w:after="0" w:line="202" w:lineRule="exact"/>
              <w:rPr>
                <w:sz w:val="20"/>
                <w:szCs w:val="20"/>
                <w:color w:val="auto"/>
              </w:rPr>
            </w:pPr>
            <w:r>
              <w:rPr>
                <w:rFonts w:ascii="Arial" w:cs="Arial" w:eastAsia="Arial" w:hAnsi="Arial"/>
                <w:sz w:val="18"/>
                <w:szCs w:val="18"/>
                <w:color w:val="auto"/>
              </w:rPr>
              <w:t>1,851</w:t>
            </w:r>
          </w:p>
        </w:tc>
      </w:tr>
      <w:tr>
        <w:trPr>
          <w:trHeight w:val="203"/>
        </w:trPr>
        <w:tc>
          <w:tcPr>
            <w:tcW w:w="5660" w:type="dxa"/>
            <w:vAlign w:val="bottom"/>
            <w:gridSpan w:val="5"/>
            <w:shd w:val="clear" w:color="auto" w:fill="E5FFFF"/>
          </w:tcPr>
          <w:p>
            <w:pPr>
              <w:ind w:left="180"/>
              <w:spacing w:after="0" w:line="202" w:lineRule="exact"/>
              <w:rPr>
                <w:sz w:val="20"/>
                <w:szCs w:val="20"/>
                <w:color w:val="auto"/>
              </w:rPr>
            </w:pPr>
            <w:r>
              <w:rPr>
                <w:rFonts w:ascii="Arial" w:cs="Arial" w:eastAsia="Arial" w:hAnsi="Arial"/>
                <w:sz w:val="18"/>
                <w:szCs w:val="18"/>
                <w:color w:val="auto"/>
              </w:rPr>
              <w:t>Smart Energy</w:t>
            </w:r>
          </w:p>
        </w:tc>
        <w:tc>
          <w:tcPr>
            <w:tcW w:w="224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130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316</w:t>
            </w:r>
          </w:p>
        </w:tc>
        <w:tc>
          <w:tcPr>
            <w:tcW w:w="340" w:type="dxa"/>
            <w:vAlign w:val="bottom"/>
            <w:shd w:val="clear" w:color="auto" w:fill="E5FFFF"/>
          </w:tcPr>
          <w:p>
            <w:pPr>
              <w:spacing w:after="0"/>
              <w:rPr>
                <w:sz w:val="17"/>
                <w:szCs w:val="17"/>
                <w:color w:val="auto"/>
              </w:rPr>
            </w:pPr>
          </w:p>
        </w:tc>
        <w:tc>
          <w:tcPr>
            <w:tcW w:w="140" w:type="dxa"/>
            <w:vAlign w:val="bottom"/>
            <w:shd w:val="clear" w:color="auto" w:fill="E5FFFF"/>
          </w:tcPr>
          <w:p>
            <w:pPr>
              <w:spacing w:after="0"/>
              <w:rPr>
                <w:sz w:val="17"/>
                <w:szCs w:val="17"/>
                <w:color w:val="auto"/>
              </w:rPr>
            </w:pPr>
          </w:p>
        </w:tc>
        <w:tc>
          <w:tcPr>
            <w:tcW w:w="1440" w:type="dxa"/>
            <w:vAlign w:val="bottom"/>
            <w:shd w:val="clear" w:color="auto" w:fill="E5FFFF"/>
          </w:tcPr>
          <w:p>
            <w:pPr>
              <w:jc w:val="right"/>
              <w:ind w:right="12"/>
              <w:spacing w:after="0" w:line="202" w:lineRule="exact"/>
              <w:rPr>
                <w:sz w:val="20"/>
                <w:szCs w:val="20"/>
                <w:color w:val="auto"/>
              </w:rPr>
            </w:pPr>
            <w:r>
              <w:rPr>
                <w:rFonts w:ascii="Arial" w:cs="Arial" w:eastAsia="Arial" w:hAnsi="Arial"/>
                <w:sz w:val="18"/>
                <w:szCs w:val="18"/>
                <w:color w:val="auto"/>
              </w:rPr>
              <w:t>636</w:t>
            </w:r>
          </w:p>
        </w:tc>
      </w:tr>
      <w:tr>
        <w:trPr>
          <w:trHeight w:val="203"/>
        </w:trPr>
        <w:tc>
          <w:tcPr>
            <w:tcW w:w="5660" w:type="dxa"/>
            <w:vAlign w:val="bottom"/>
            <w:gridSpan w:val="5"/>
          </w:tcPr>
          <w:p>
            <w:pPr>
              <w:ind w:left="180"/>
              <w:spacing w:after="0" w:line="202" w:lineRule="exact"/>
              <w:rPr>
                <w:sz w:val="20"/>
                <w:szCs w:val="20"/>
                <w:color w:val="auto"/>
              </w:rPr>
            </w:pPr>
            <w:r>
              <w:rPr>
                <w:rFonts w:ascii="Arial" w:cs="Arial" w:eastAsia="Arial" w:hAnsi="Arial"/>
                <w:sz w:val="18"/>
                <w:szCs w:val="18"/>
                <w:color w:val="auto"/>
              </w:rPr>
              <w:t>Specialty Products</w:t>
            </w:r>
          </w:p>
        </w:tc>
        <w:tc>
          <w:tcPr>
            <w:tcW w:w="2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00" w:type="dxa"/>
            <w:vAlign w:val="bottom"/>
          </w:tcPr>
          <w:p>
            <w:pPr>
              <w:jc w:val="right"/>
              <w:ind w:right="11"/>
              <w:spacing w:after="0" w:line="202" w:lineRule="exact"/>
              <w:rPr>
                <w:sz w:val="20"/>
                <w:szCs w:val="20"/>
                <w:color w:val="auto"/>
              </w:rPr>
            </w:pPr>
            <w:r>
              <w:rPr>
                <w:rFonts w:ascii="Arial" w:cs="Arial" w:eastAsia="Arial" w:hAnsi="Arial"/>
                <w:sz w:val="18"/>
                <w:szCs w:val="18"/>
                <w:color w:val="auto"/>
              </w:rPr>
              <w:t>291</w:t>
            </w: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jc w:val="right"/>
              <w:ind w:right="12"/>
              <w:spacing w:after="0" w:line="202" w:lineRule="exact"/>
              <w:rPr>
                <w:sz w:val="20"/>
                <w:szCs w:val="20"/>
                <w:color w:val="auto"/>
              </w:rPr>
            </w:pPr>
            <w:r>
              <w:rPr>
                <w:rFonts w:ascii="Arial" w:cs="Arial" w:eastAsia="Arial" w:hAnsi="Arial"/>
                <w:sz w:val="18"/>
                <w:szCs w:val="18"/>
                <w:color w:val="auto"/>
              </w:rPr>
              <w:t>568</w:t>
            </w:r>
          </w:p>
        </w:tc>
      </w:tr>
      <w:tr>
        <w:trPr>
          <w:trHeight w:val="203"/>
        </w:trPr>
        <w:tc>
          <w:tcPr>
            <w:tcW w:w="5660" w:type="dxa"/>
            <w:vAlign w:val="bottom"/>
            <w:gridSpan w:val="5"/>
            <w:shd w:val="clear" w:color="auto" w:fill="E5FFFF"/>
          </w:tcPr>
          <w:p>
            <w:pPr>
              <w:ind w:left="180"/>
              <w:spacing w:after="0" w:line="202" w:lineRule="exact"/>
              <w:rPr>
                <w:sz w:val="20"/>
                <w:szCs w:val="20"/>
                <w:color w:val="auto"/>
              </w:rPr>
            </w:pPr>
            <w:r>
              <w:rPr>
                <w:rFonts w:ascii="Arial" w:cs="Arial" w:eastAsia="Arial" w:hAnsi="Arial"/>
                <w:sz w:val="18"/>
                <w:szCs w:val="18"/>
                <w:color w:val="auto"/>
              </w:rPr>
              <w:t>Fluorine Products</w:t>
            </w:r>
          </w:p>
        </w:tc>
        <w:tc>
          <w:tcPr>
            <w:tcW w:w="2240" w:type="dxa"/>
            <w:vAlign w:val="bottom"/>
            <w:shd w:val="clear" w:color="auto" w:fill="E5FFFF"/>
          </w:tcPr>
          <w:p>
            <w:pPr>
              <w:spacing w:after="0"/>
              <w:rPr>
                <w:sz w:val="17"/>
                <w:szCs w:val="17"/>
                <w:color w:val="auto"/>
              </w:rPr>
            </w:pPr>
          </w:p>
        </w:tc>
        <w:tc>
          <w:tcPr>
            <w:tcW w:w="300" w:type="dxa"/>
            <w:vAlign w:val="bottom"/>
            <w:tcBorders>
              <w:bottom w:val="single" w:sz="8" w:color="auto"/>
            </w:tcBorders>
            <w:shd w:val="clear" w:color="auto" w:fill="E5FFFF"/>
          </w:tcPr>
          <w:p>
            <w:pPr>
              <w:spacing w:after="0"/>
              <w:rPr>
                <w:sz w:val="17"/>
                <w:szCs w:val="17"/>
                <w:color w:val="auto"/>
              </w:rPr>
            </w:pPr>
          </w:p>
        </w:tc>
        <w:tc>
          <w:tcPr>
            <w:tcW w:w="1300" w:type="dxa"/>
            <w:vAlign w:val="bottom"/>
            <w:tcBorders>
              <w:bottom w:val="single" w:sz="8" w:color="auto"/>
            </w:tcBorders>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456</w:t>
            </w:r>
          </w:p>
        </w:tc>
        <w:tc>
          <w:tcPr>
            <w:tcW w:w="340" w:type="dxa"/>
            <w:vAlign w:val="bottom"/>
            <w:shd w:val="clear" w:color="auto" w:fill="E5FFFF"/>
          </w:tcPr>
          <w:p>
            <w:pPr>
              <w:spacing w:after="0"/>
              <w:rPr>
                <w:sz w:val="17"/>
                <w:szCs w:val="17"/>
                <w:color w:val="auto"/>
              </w:rPr>
            </w:pPr>
          </w:p>
        </w:tc>
        <w:tc>
          <w:tcPr>
            <w:tcW w:w="140" w:type="dxa"/>
            <w:vAlign w:val="bottom"/>
            <w:tcBorders>
              <w:bottom w:val="single" w:sz="8" w:color="auto"/>
            </w:tcBorders>
            <w:shd w:val="clear" w:color="auto" w:fill="E5FFFF"/>
          </w:tcPr>
          <w:p>
            <w:pPr>
              <w:spacing w:after="0"/>
              <w:rPr>
                <w:sz w:val="17"/>
                <w:szCs w:val="17"/>
                <w:color w:val="auto"/>
              </w:rPr>
            </w:pPr>
          </w:p>
        </w:tc>
        <w:tc>
          <w:tcPr>
            <w:tcW w:w="1440" w:type="dxa"/>
            <w:vAlign w:val="bottom"/>
            <w:tcBorders>
              <w:bottom w:val="single" w:sz="8" w:color="auto"/>
            </w:tcBorders>
            <w:shd w:val="clear" w:color="auto" w:fill="E5FFFF"/>
          </w:tcPr>
          <w:p>
            <w:pPr>
              <w:jc w:val="right"/>
              <w:ind w:right="12"/>
              <w:spacing w:after="0" w:line="202" w:lineRule="exact"/>
              <w:rPr>
                <w:sz w:val="20"/>
                <w:szCs w:val="20"/>
                <w:color w:val="auto"/>
              </w:rPr>
            </w:pPr>
            <w:r>
              <w:rPr>
                <w:rFonts w:ascii="Arial" w:cs="Arial" w:eastAsia="Arial" w:hAnsi="Arial"/>
                <w:sz w:val="18"/>
                <w:szCs w:val="18"/>
                <w:color w:val="auto"/>
              </w:rPr>
              <w:t>887</w:t>
            </w:r>
          </w:p>
        </w:tc>
      </w:tr>
      <w:tr>
        <w:trPr>
          <w:trHeight w:val="196"/>
        </w:trPr>
        <w:tc>
          <w:tcPr>
            <w:tcW w:w="860" w:type="dxa"/>
            <w:vAlign w:val="bottom"/>
            <w:tcBorders>
              <w:bottom w:val="single" w:sz="8" w:color="E5FFFF"/>
            </w:tcBorders>
          </w:tcPr>
          <w:p>
            <w:pPr>
              <w:spacing w:after="0"/>
              <w:rPr>
                <w:sz w:val="17"/>
                <w:szCs w:val="17"/>
                <w:color w:val="auto"/>
              </w:rPr>
            </w:pPr>
          </w:p>
        </w:tc>
        <w:tc>
          <w:tcPr>
            <w:tcW w:w="1760" w:type="dxa"/>
            <w:vAlign w:val="bottom"/>
            <w:tcBorders>
              <w:bottom w:val="single" w:sz="8" w:color="E5FFFF"/>
            </w:tcBorders>
          </w:tcPr>
          <w:p>
            <w:pPr>
              <w:spacing w:after="0"/>
              <w:rPr>
                <w:sz w:val="17"/>
                <w:szCs w:val="17"/>
                <w:color w:val="auto"/>
              </w:rPr>
            </w:pPr>
          </w:p>
        </w:tc>
        <w:tc>
          <w:tcPr>
            <w:tcW w:w="20" w:type="dxa"/>
            <w:vAlign w:val="bottom"/>
            <w:tcBorders>
              <w:bottom w:val="single" w:sz="8" w:color="E5FFFF"/>
            </w:tcBorders>
          </w:tcPr>
          <w:p>
            <w:pPr>
              <w:spacing w:after="0"/>
              <w:rPr>
                <w:sz w:val="17"/>
                <w:szCs w:val="17"/>
                <w:color w:val="auto"/>
              </w:rPr>
            </w:pPr>
          </w:p>
        </w:tc>
        <w:tc>
          <w:tcPr>
            <w:tcW w:w="620" w:type="dxa"/>
            <w:vAlign w:val="bottom"/>
            <w:tcBorders>
              <w:bottom w:val="single" w:sz="8" w:color="E5FFFF"/>
            </w:tcBorders>
          </w:tcPr>
          <w:p>
            <w:pPr>
              <w:spacing w:after="0"/>
              <w:rPr>
                <w:sz w:val="17"/>
                <w:szCs w:val="17"/>
                <w:color w:val="auto"/>
              </w:rPr>
            </w:pPr>
          </w:p>
        </w:tc>
        <w:tc>
          <w:tcPr>
            <w:tcW w:w="2400" w:type="dxa"/>
            <w:vAlign w:val="bottom"/>
            <w:tcBorders>
              <w:bottom w:val="single" w:sz="8" w:color="E5FFFF"/>
            </w:tcBorders>
          </w:tcPr>
          <w:p>
            <w:pPr>
              <w:spacing w:after="0"/>
              <w:rPr>
                <w:sz w:val="17"/>
                <w:szCs w:val="17"/>
                <w:color w:val="auto"/>
              </w:rPr>
            </w:pPr>
          </w:p>
        </w:tc>
        <w:tc>
          <w:tcPr>
            <w:tcW w:w="2240" w:type="dxa"/>
            <w:vAlign w:val="bottom"/>
            <w:tcBorders>
              <w:bottom w:val="single" w:sz="8" w:color="E5FF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11"/>
              <w:spacing w:after="0" w:line="196" w:lineRule="exact"/>
              <w:rPr>
                <w:sz w:val="20"/>
                <w:szCs w:val="20"/>
                <w:color w:val="auto"/>
              </w:rPr>
            </w:pPr>
            <w:r>
              <w:rPr>
                <w:rFonts w:ascii="Arial" w:cs="Arial" w:eastAsia="Arial" w:hAnsi="Arial"/>
                <w:sz w:val="18"/>
                <w:szCs w:val="18"/>
                <w:color w:val="auto"/>
              </w:rPr>
              <w:t>2,698</w:t>
            </w:r>
          </w:p>
        </w:tc>
        <w:tc>
          <w:tcPr>
            <w:tcW w:w="340" w:type="dxa"/>
            <w:vAlign w:val="bottom"/>
            <w:tcBorders>
              <w:bottom w:val="single" w:sz="8" w:color="E5FF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12"/>
              <w:spacing w:after="0" w:line="196" w:lineRule="exact"/>
              <w:rPr>
                <w:sz w:val="20"/>
                <w:szCs w:val="20"/>
                <w:color w:val="auto"/>
              </w:rPr>
            </w:pPr>
            <w:r>
              <w:rPr>
                <w:rFonts w:ascii="Arial" w:cs="Arial" w:eastAsia="Arial" w:hAnsi="Arial"/>
                <w:sz w:val="18"/>
                <w:szCs w:val="18"/>
                <w:color w:val="auto"/>
              </w:rPr>
              <w:t>5,232</w:t>
            </w:r>
          </w:p>
        </w:tc>
      </w:tr>
      <w:tr>
        <w:trPr>
          <w:trHeight w:val="176"/>
        </w:trPr>
        <w:tc>
          <w:tcPr>
            <w:tcW w:w="2640" w:type="dxa"/>
            <w:vAlign w:val="bottom"/>
            <w:tcBorders>
              <w:bottom w:val="single" w:sz="8" w:color="auto"/>
            </w:tcBorders>
            <w:gridSpan w:val="3"/>
            <w:shd w:val="clear" w:color="auto" w:fill="E5FFFF"/>
          </w:tcPr>
          <w:p>
            <w:pPr>
              <w:spacing w:after="0" w:line="170" w:lineRule="exact"/>
              <w:rPr>
                <w:sz w:val="20"/>
                <w:szCs w:val="20"/>
                <w:color w:val="auto"/>
              </w:rPr>
            </w:pPr>
            <w:r>
              <w:rPr>
                <w:rFonts w:ascii="Arial" w:cs="Arial" w:eastAsia="Arial" w:hAnsi="Arial"/>
                <w:sz w:val="18"/>
                <w:szCs w:val="18"/>
                <w:color w:val="auto"/>
                <w:w w:val="99"/>
              </w:rPr>
              <w:t>Safety and Productivity Solutions</w:t>
            </w:r>
          </w:p>
        </w:tc>
        <w:tc>
          <w:tcPr>
            <w:tcW w:w="3020" w:type="dxa"/>
            <w:vAlign w:val="bottom"/>
            <w:tcBorders>
              <w:bottom w:val="single" w:sz="8" w:color="E5FFFF"/>
            </w:tcBorders>
            <w:gridSpan w:val="2"/>
            <w:shd w:val="clear" w:color="auto" w:fill="E5FFFF"/>
          </w:tcPr>
          <w:p>
            <w:pPr>
              <w:spacing w:after="0"/>
              <w:rPr>
                <w:sz w:val="15"/>
                <w:szCs w:val="15"/>
                <w:color w:val="auto"/>
              </w:rPr>
            </w:pPr>
          </w:p>
        </w:tc>
        <w:tc>
          <w:tcPr>
            <w:tcW w:w="2240" w:type="dxa"/>
            <w:vAlign w:val="bottom"/>
            <w:tcBorders>
              <w:bottom w:val="single" w:sz="8" w:color="E5FFFF"/>
            </w:tcBorders>
            <w:shd w:val="clear" w:color="auto" w:fill="E5FFFF"/>
          </w:tcPr>
          <w:p>
            <w:pPr>
              <w:spacing w:after="0"/>
              <w:rPr>
                <w:sz w:val="15"/>
                <w:szCs w:val="15"/>
                <w:color w:val="auto"/>
              </w:rPr>
            </w:pPr>
          </w:p>
        </w:tc>
        <w:tc>
          <w:tcPr>
            <w:tcW w:w="300" w:type="dxa"/>
            <w:vAlign w:val="bottom"/>
            <w:tcBorders>
              <w:bottom w:val="single" w:sz="8" w:color="E5FFFF"/>
            </w:tcBorders>
            <w:shd w:val="clear" w:color="auto" w:fill="E5FFFF"/>
          </w:tcPr>
          <w:p>
            <w:pPr>
              <w:spacing w:after="0"/>
              <w:rPr>
                <w:sz w:val="15"/>
                <w:szCs w:val="15"/>
                <w:color w:val="auto"/>
              </w:rPr>
            </w:pPr>
          </w:p>
        </w:tc>
        <w:tc>
          <w:tcPr>
            <w:tcW w:w="1300" w:type="dxa"/>
            <w:vAlign w:val="bottom"/>
            <w:tcBorders>
              <w:bottom w:val="single" w:sz="8" w:color="E5FFFF"/>
            </w:tcBorders>
            <w:shd w:val="clear" w:color="auto" w:fill="E5FFFF"/>
          </w:tcPr>
          <w:p>
            <w:pPr>
              <w:spacing w:after="0"/>
              <w:rPr>
                <w:sz w:val="15"/>
                <w:szCs w:val="15"/>
                <w:color w:val="auto"/>
              </w:rPr>
            </w:pPr>
          </w:p>
        </w:tc>
        <w:tc>
          <w:tcPr>
            <w:tcW w:w="340" w:type="dxa"/>
            <w:vAlign w:val="bottom"/>
            <w:tcBorders>
              <w:bottom w:val="single" w:sz="8" w:color="E5FFFF"/>
            </w:tcBorders>
            <w:shd w:val="clear" w:color="auto" w:fill="E5FFFF"/>
          </w:tcPr>
          <w:p>
            <w:pPr>
              <w:spacing w:after="0"/>
              <w:rPr>
                <w:sz w:val="15"/>
                <w:szCs w:val="15"/>
                <w:color w:val="auto"/>
              </w:rPr>
            </w:pPr>
          </w:p>
        </w:tc>
        <w:tc>
          <w:tcPr>
            <w:tcW w:w="140" w:type="dxa"/>
            <w:vAlign w:val="bottom"/>
            <w:tcBorders>
              <w:bottom w:val="single" w:sz="8" w:color="E5FFFF"/>
            </w:tcBorders>
            <w:shd w:val="clear" w:color="auto" w:fill="E5FFFF"/>
          </w:tcPr>
          <w:p>
            <w:pPr>
              <w:spacing w:after="0"/>
              <w:rPr>
                <w:sz w:val="15"/>
                <w:szCs w:val="15"/>
                <w:color w:val="auto"/>
              </w:rPr>
            </w:pPr>
          </w:p>
        </w:tc>
        <w:tc>
          <w:tcPr>
            <w:tcW w:w="1440" w:type="dxa"/>
            <w:vAlign w:val="bottom"/>
            <w:tcBorders>
              <w:bottom w:val="single" w:sz="8" w:color="E5FFFF"/>
            </w:tcBorders>
            <w:shd w:val="clear" w:color="auto" w:fill="E5FFFF"/>
          </w:tcPr>
          <w:p>
            <w:pPr>
              <w:spacing w:after="0"/>
              <w:rPr>
                <w:sz w:val="15"/>
                <w:szCs w:val="15"/>
                <w:color w:val="auto"/>
              </w:rPr>
            </w:pPr>
          </w:p>
        </w:tc>
      </w:tr>
      <w:tr>
        <w:trPr>
          <w:trHeight w:val="203"/>
        </w:trPr>
        <w:tc>
          <w:tcPr>
            <w:tcW w:w="5660" w:type="dxa"/>
            <w:vAlign w:val="bottom"/>
            <w:gridSpan w:val="5"/>
          </w:tcPr>
          <w:p>
            <w:pPr>
              <w:ind w:left="180"/>
              <w:spacing w:after="0" w:line="202" w:lineRule="exact"/>
              <w:rPr>
                <w:sz w:val="20"/>
                <w:szCs w:val="20"/>
                <w:color w:val="auto"/>
              </w:rPr>
            </w:pPr>
            <w:r>
              <w:rPr>
                <w:rFonts w:ascii="Arial" w:cs="Arial" w:eastAsia="Arial" w:hAnsi="Arial"/>
                <w:sz w:val="18"/>
                <w:szCs w:val="18"/>
                <w:color w:val="auto"/>
              </w:rPr>
              <w:t>Safety and Retail</w:t>
            </w:r>
          </w:p>
        </w:tc>
        <w:tc>
          <w:tcPr>
            <w:tcW w:w="2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00" w:type="dxa"/>
            <w:vAlign w:val="bottom"/>
          </w:tcPr>
          <w:p>
            <w:pPr>
              <w:jc w:val="right"/>
              <w:ind w:right="11"/>
              <w:spacing w:after="0" w:line="202" w:lineRule="exact"/>
              <w:rPr>
                <w:sz w:val="20"/>
                <w:szCs w:val="20"/>
                <w:color w:val="auto"/>
              </w:rPr>
            </w:pPr>
            <w:r>
              <w:rPr>
                <w:rFonts w:ascii="Arial" w:cs="Arial" w:eastAsia="Arial" w:hAnsi="Arial"/>
                <w:sz w:val="18"/>
                <w:szCs w:val="18"/>
                <w:color w:val="auto"/>
              </w:rPr>
              <w:t>565</w:t>
            </w: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jc w:val="right"/>
              <w:ind w:right="12"/>
              <w:spacing w:after="0" w:line="202" w:lineRule="exact"/>
              <w:rPr>
                <w:sz w:val="20"/>
                <w:szCs w:val="20"/>
                <w:color w:val="auto"/>
              </w:rPr>
            </w:pPr>
            <w:r>
              <w:rPr>
                <w:rFonts w:ascii="Arial" w:cs="Arial" w:eastAsia="Arial" w:hAnsi="Arial"/>
                <w:sz w:val="18"/>
                <w:szCs w:val="18"/>
                <w:color w:val="auto"/>
              </w:rPr>
              <w:t>1,116</w:t>
            </w:r>
          </w:p>
        </w:tc>
      </w:tr>
      <w:tr>
        <w:trPr>
          <w:trHeight w:val="203"/>
        </w:trPr>
        <w:tc>
          <w:tcPr>
            <w:tcW w:w="5660" w:type="dxa"/>
            <w:vAlign w:val="bottom"/>
            <w:gridSpan w:val="5"/>
            <w:shd w:val="clear" w:color="auto" w:fill="E5FFFF"/>
          </w:tcPr>
          <w:p>
            <w:pPr>
              <w:ind w:left="180"/>
              <w:spacing w:after="0" w:line="202" w:lineRule="exact"/>
              <w:rPr>
                <w:sz w:val="20"/>
                <w:szCs w:val="20"/>
                <w:color w:val="auto"/>
              </w:rPr>
            </w:pPr>
            <w:r>
              <w:rPr>
                <w:rFonts w:ascii="Arial" w:cs="Arial" w:eastAsia="Arial" w:hAnsi="Arial"/>
                <w:sz w:val="18"/>
                <w:szCs w:val="18"/>
                <w:color w:val="auto"/>
              </w:rPr>
              <w:t>Productivity Products</w:t>
            </w:r>
          </w:p>
        </w:tc>
        <w:tc>
          <w:tcPr>
            <w:tcW w:w="224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130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359</w:t>
            </w:r>
          </w:p>
        </w:tc>
        <w:tc>
          <w:tcPr>
            <w:tcW w:w="340" w:type="dxa"/>
            <w:vAlign w:val="bottom"/>
            <w:shd w:val="clear" w:color="auto" w:fill="E5FFFF"/>
          </w:tcPr>
          <w:p>
            <w:pPr>
              <w:spacing w:after="0"/>
              <w:rPr>
                <w:sz w:val="17"/>
                <w:szCs w:val="17"/>
                <w:color w:val="auto"/>
              </w:rPr>
            </w:pPr>
          </w:p>
        </w:tc>
        <w:tc>
          <w:tcPr>
            <w:tcW w:w="140" w:type="dxa"/>
            <w:vAlign w:val="bottom"/>
            <w:shd w:val="clear" w:color="auto" w:fill="E5FFFF"/>
          </w:tcPr>
          <w:p>
            <w:pPr>
              <w:spacing w:after="0"/>
              <w:rPr>
                <w:sz w:val="17"/>
                <w:szCs w:val="17"/>
                <w:color w:val="auto"/>
              </w:rPr>
            </w:pPr>
          </w:p>
        </w:tc>
        <w:tc>
          <w:tcPr>
            <w:tcW w:w="1440" w:type="dxa"/>
            <w:vAlign w:val="bottom"/>
            <w:shd w:val="clear" w:color="auto" w:fill="E5FFFF"/>
          </w:tcPr>
          <w:p>
            <w:pPr>
              <w:jc w:val="right"/>
              <w:ind w:right="12"/>
              <w:spacing w:after="0" w:line="202" w:lineRule="exact"/>
              <w:rPr>
                <w:sz w:val="20"/>
                <w:szCs w:val="20"/>
                <w:color w:val="auto"/>
              </w:rPr>
            </w:pPr>
            <w:r>
              <w:rPr>
                <w:rFonts w:ascii="Arial" w:cs="Arial" w:eastAsia="Arial" w:hAnsi="Arial"/>
                <w:sz w:val="18"/>
                <w:szCs w:val="18"/>
                <w:color w:val="auto"/>
              </w:rPr>
              <w:t>688</w:t>
            </w:r>
          </w:p>
        </w:tc>
      </w:tr>
      <w:tr>
        <w:trPr>
          <w:trHeight w:val="203"/>
        </w:trPr>
        <w:tc>
          <w:tcPr>
            <w:tcW w:w="5660" w:type="dxa"/>
            <w:vAlign w:val="bottom"/>
            <w:gridSpan w:val="5"/>
          </w:tcPr>
          <w:p>
            <w:pPr>
              <w:ind w:left="180"/>
              <w:spacing w:after="0" w:line="202" w:lineRule="exact"/>
              <w:rPr>
                <w:sz w:val="20"/>
                <w:szCs w:val="20"/>
                <w:color w:val="auto"/>
              </w:rPr>
            </w:pPr>
            <w:r>
              <w:rPr>
                <w:rFonts w:ascii="Arial" w:cs="Arial" w:eastAsia="Arial" w:hAnsi="Arial"/>
                <w:sz w:val="18"/>
                <w:szCs w:val="18"/>
                <w:color w:val="auto"/>
              </w:rPr>
              <w:t>Warehouse and Workflow Solutions</w:t>
            </w:r>
          </w:p>
        </w:tc>
        <w:tc>
          <w:tcPr>
            <w:tcW w:w="2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00" w:type="dxa"/>
            <w:vAlign w:val="bottom"/>
          </w:tcPr>
          <w:p>
            <w:pPr>
              <w:jc w:val="right"/>
              <w:ind w:right="11"/>
              <w:spacing w:after="0" w:line="202" w:lineRule="exact"/>
              <w:rPr>
                <w:sz w:val="20"/>
                <w:szCs w:val="20"/>
                <w:color w:val="auto"/>
              </w:rPr>
            </w:pPr>
            <w:r>
              <w:rPr>
                <w:rFonts w:ascii="Arial" w:cs="Arial" w:eastAsia="Arial" w:hAnsi="Arial"/>
                <w:sz w:val="18"/>
                <w:szCs w:val="18"/>
                <w:color w:val="auto"/>
              </w:rPr>
              <w:t>469</w:t>
            </w: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jc w:val="right"/>
              <w:ind w:right="12"/>
              <w:spacing w:after="0" w:line="202" w:lineRule="exact"/>
              <w:rPr>
                <w:sz w:val="20"/>
                <w:szCs w:val="20"/>
                <w:color w:val="auto"/>
              </w:rPr>
            </w:pPr>
            <w:r>
              <w:rPr>
                <w:rFonts w:ascii="Arial" w:cs="Arial" w:eastAsia="Arial" w:hAnsi="Arial"/>
                <w:sz w:val="18"/>
                <w:szCs w:val="18"/>
                <w:color w:val="auto"/>
              </w:rPr>
              <w:t>836</w:t>
            </w:r>
          </w:p>
        </w:tc>
      </w:tr>
      <w:tr>
        <w:trPr>
          <w:trHeight w:val="203"/>
        </w:trPr>
        <w:tc>
          <w:tcPr>
            <w:tcW w:w="5660" w:type="dxa"/>
            <w:vAlign w:val="bottom"/>
            <w:gridSpan w:val="5"/>
            <w:shd w:val="clear" w:color="auto" w:fill="E5FFFF"/>
          </w:tcPr>
          <w:p>
            <w:pPr>
              <w:ind w:left="180"/>
              <w:spacing w:after="0" w:line="202" w:lineRule="exact"/>
              <w:rPr>
                <w:sz w:val="20"/>
                <w:szCs w:val="20"/>
                <w:color w:val="auto"/>
              </w:rPr>
            </w:pPr>
            <w:r>
              <w:rPr>
                <w:rFonts w:ascii="Arial" w:cs="Arial" w:eastAsia="Arial" w:hAnsi="Arial"/>
                <w:sz w:val="18"/>
                <w:szCs w:val="18"/>
                <w:color w:val="auto"/>
              </w:rPr>
              <w:t>Sensing &amp; Internet-of-Things (IoT)</w:t>
            </w:r>
          </w:p>
        </w:tc>
        <w:tc>
          <w:tcPr>
            <w:tcW w:w="2240" w:type="dxa"/>
            <w:vAlign w:val="bottom"/>
            <w:shd w:val="clear" w:color="auto" w:fill="E5FFFF"/>
          </w:tcPr>
          <w:p>
            <w:pPr>
              <w:spacing w:after="0"/>
              <w:rPr>
                <w:sz w:val="17"/>
                <w:szCs w:val="17"/>
                <w:color w:val="auto"/>
              </w:rPr>
            </w:pPr>
          </w:p>
        </w:tc>
        <w:tc>
          <w:tcPr>
            <w:tcW w:w="300" w:type="dxa"/>
            <w:vAlign w:val="bottom"/>
            <w:tcBorders>
              <w:bottom w:val="single" w:sz="8" w:color="auto"/>
            </w:tcBorders>
            <w:shd w:val="clear" w:color="auto" w:fill="E5FFFF"/>
          </w:tcPr>
          <w:p>
            <w:pPr>
              <w:spacing w:after="0"/>
              <w:rPr>
                <w:sz w:val="17"/>
                <w:szCs w:val="17"/>
                <w:color w:val="auto"/>
              </w:rPr>
            </w:pPr>
          </w:p>
        </w:tc>
        <w:tc>
          <w:tcPr>
            <w:tcW w:w="1300" w:type="dxa"/>
            <w:vAlign w:val="bottom"/>
            <w:tcBorders>
              <w:bottom w:val="single" w:sz="8" w:color="auto"/>
            </w:tcBorders>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224</w:t>
            </w:r>
          </w:p>
        </w:tc>
        <w:tc>
          <w:tcPr>
            <w:tcW w:w="340" w:type="dxa"/>
            <w:vAlign w:val="bottom"/>
            <w:shd w:val="clear" w:color="auto" w:fill="E5FFFF"/>
          </w:tcPr>
          <w:p>
            <w:pPr>
              <w:spacing w:after="0"/>
              <w:rPr>
                <w:sz w:val="17"/>
                <w:szCs w:val="17"/>
                <w:color w:val="auto"/>
              </w:rPr>
            </w:pPr>
          </w:p>
        </w:tc>
        <w:tc>
          <w:tcPr>
            <w:tcW w:w="140" w:type="dxa"/>
            <w:vAlign w:val="bottom"/>
            <w:tcBorders>
              <w:bottom w:val="single" w:sz="8" w:color="auto"/>
            </w:tcBorders>
            <w:shd w:val="clear" w:color="auto" w:fill="E5FFFF"/>
          </w:tcPr>
          <w:p>
            <w:pPr>
              <w:spacing w:after="0"/>
              <w:rPr>
                <w:sz w:val="17"/>
                <w:szCs w:val="17"/>
                <w:color w:val="auto"/>
              </w:rPr>
            </w:pPr>
          </w:p>
        </w:tc>
        <w:tc>
          <w:tcPr>
            <w:tcW w:w="1440" w:type="dxa"/>
            <w:vAlign w:val="bottom"/>
            <w:tcBorders>
              <w:bottom w:val="single" w:sz="8" w:color="auto"/>
            </w:tcBorders>
            <w:shd w:val="clear" w:color="auto" w:fill="E5FFFF"/>
          </w:tcPr>
          <w:p>
            <w:pPr>
              <w:jc w:val="right"/>
              <w:ind w:right="12"/>
              <w:spacing w:after="0" w:line="202" w:lineRule="exact"/>
              <w:rPr>
                <w:sz w:val="20"/>
                <w:szCs w:val="20"/>
                <w:color w:val="auto"/>
              </w:rPr>
            </w:pPr>
            <w:r>
              <w:rPr>
                <w:rFonts w:ascii="Arial" w:cs="Arial" w:eastAsia="Arial" w:hAnsi="Arial"/>
                <w:sz w:val="18"/>
                <w:szCs w:val="18"/>
                <w:color w:val="auto"/>
              </w:rPr>
              <w:t>425</w:t>
            </w:r>
          </w:p>
        </w:tc>
      </w:tr>
      <w:tr>
        <w:trPr>
          <w:trHeight w:val="196"/>
        </w:trPr>
        <w:tc>
          <w:tcPr>
            <w:tcW w:w="860" w:type="dxa"/>
            <w:vAlign w:val="bottom"/>
            <w:tcBorders>
              <w:bottom w:val="single" w:sz="8" w:color="E5FFFF"/>
            </w:tcBorders>
          </w:tcPr>
          <w:p>
            <w:pPr>
              <w:spacing w:after="0"/>
              <w:rPr>
                <w:sz w:val="17"/>
                <w:szCs w:val="17"/>
                <w:color w:val="auto"/>
              </w:rPr>
            </w:pPr>
          </w:p>
        </w:tc>
        <w:tc>
          <w:tcPr>
            <w:tcW w:w="1760" w:type="dxa"/>
            <w:vAlign w:val="bottom"/>
            <w:tcBorders>
              <w:bottom w:val="single" w:sz="8" w:color="E5FFFF"/>
            </w:tcBorders>
          </w:tcPr>
          <w:p>
            <w:pPr>
              <w:spacing w:after="0"/>
              <w:rPr>
                <w:sz w:val="17"/>
                <w:szCs w:val="17"/>
                <w:color w:val="auto"/>
              </w:rPr>
            </w:pPr>
          </w:p>
        </w:tc>
        <w:tc>
          <w:tcPr>
            <w:tcW w:w="20" w:type="dxa"/>
            <w:vAlign w:val="bottom"/>
            <w:tcBorders>
              <w:bottom w:val="single" w:sz="8" w:color="E5FFFF"/>
            </w:tcBorders>
          </w:tcPr>
          <w:p>
            <w:pPr>
              <w:spacing w:after="0"/>
              <w:rPr>
                <w:sz w:val="17"/>
                <w:szCs w:val="17"/>
                <w:color w:val="auto"/>
              </w:rPr>
            </w:pPr>
          </w:p>
        </w:tc>
        <w:tc>
          <w:tcPr>
            <w:tcW w:w="620" w:type="dxa"/>
            <w:vAlign w:val="bottom"/>
            <w:tcBorders>
              <w:bottom w:val="single" w:sz="8" w:color="E5FFFF"/>
            </w:tcBorders>
          </w:tcPr>
          <w:p>
            <w:pPr>
              <w:spacing w:after="0"/>
              <w:rPr>
                <w:sz w:val="17"/>
                <w:szCs w:val="17"/>
                <w:color w:val="auto"/>
              </w:rPr>
            </w:pPr>
          </w:p>
        </w:tc>
        <w:tc>
          <w:tcPr>
            <w:tcW w:w="2400" w:type="dxa"/>
            <w:vAlign w:val="bottom"/>
            <w:tcBorders>
              <w:bottom w:val="single" w:sz="8" w:color="E5FFFF"/>
            </w:tcBorders>
          </w:tcPr>
          <w:p>
            <w:pPr>
              <w:spacing w:after="0"/>
              <w:rPr>
                <w:sz w:val="17"/>
                <w:szCs w:val="17"/>
                <w:color w:val="auto"/>
              </w:rPr>
            </w:pPr>
          </w:p>
        </w:tc>
        <w:tc>
          <w:tcPr>
            <w:tcW w:w="2240" w:type="dxa"/>
            <w:vAlign w:val="bottom"/>
            <w:tcBorders>
              <w:bottom w:val="single" w:sz="8" w:color="E5FF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11"/>
              <w:spacing w:after="0" w:line="196" w:lineRule="exact"/>
              <w:rPr>
                <w:sz w:val="20"/>
                <w:szCs w:val="20"/>
                <w:color w:val="auto"/>
              </w:rPr>
            </w:pPr>
            <w:r>
              <w:rPr>
                <w:rFonts w:ascii="Arial" w:cs="Arial" w:eastAsia="Arial" w:hAnsi="Arial"/>
                <w:sz w:val="18"/>
                <w:szCs w:val="18"/>
                <w:color w:val="auto"/>
              </w:rPr>
              <w:t>1,617</w:t>
            </w:r>
          </w:p>
        </w:tc>
        <w:tc>
          <w:tcPr>
            <w:tcW w:w="340" w:type="dxa"/>
            <w:vAlign w:val="bottom"/>
            <w:tcBorders>
              <w:bottom w:val="single" w:sz="8" w:color="E5FF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12"/>
              <w:spacing w:after="0" w:line="196" w:lineRule="exact"/>
              <w:rPr>
                <w:sz w:val="20"/>
                <w:szCs w:val="20"/>
                <w:color w:val="auto"/>
              </w:rPr>
            </w:pPr>
            <w:r>
              <w:rPr>
                <w:rFonts w:ascii="Arial" w:cs="Arial" w:eastAsia="Arial" w:hAnsi="Arial"/>
                <w:sz w:val="18"/>
                <w:szCs w:val="18"/>
                <w:color w:val="auto"/>
              </w:rPr>
              <w:t>3,065</w:t>
            </w:r>
          </w:p>
        </w:tc>
      </w:tr>
      <w:tr>
        <w:trPr>
          <w:trHeight w:val="196"/>
        </w:trPr>
        <w:tc>
          <w:tcPr>
            <w:tcW w:w="5660" w:type="dxa"/>
            <w:vAlign w:val="bottom"/>
            <w:tcBorders>
              <w:bottom w:val="single" w:sz="8" w:color="E5FFFF"/>
            </w:tcBorders>
            <w:gridSpan w:val="5"/>
            <w:shd w:val="clear" w:color="auto" w:fill="E5FFFF"/>
          </w:tcPr>
          <w:p>
            <w:pPr>
              <w:ind w:left="180"/>
              <w:spacing w:after="0" w:line="196" w:lineRule="exact"/>
              <w:rPr>
                <w:sz w:val="20"/>
                <w:szCs w:val="20"/>
                <w:color w:val="auto"/>
              </w:rPr>
            </w:pPr>
            <w:r>
              <w:rPr>
                <w:rFonts w:ascii="Arial" w:cs="Arial" w:eastAsia="Arial" w:hAnsi="Arial"/>
                <w:sz w:val="18"/>
                <w:szCs w:val="18"/>
                <w:color w:val="auto"/>
              </w:rPr>
              <w:t>Net sales</w:t>
            </w:r>
          </w:p>
        </w:tc>
        <w:tc>
          <w:tcPr>
            <w:tcW w:w="2240" w:type="dxa"/>
            <w:vAlign w:val="bottom"/>
            <w:tcBorders>
              <w:bottom w:val="single" w:sz="8" w:color="E5FFFF"/>
            </w:tcBorders>
            <w:shd w:val="clear" w:color="auto" w:fill="E5FFFF"/>
          </w:tcPr>
          <w:p>
            <w:pPr>
              <w:spacing w:after="0"/>
              <w:rPr>
                <w:sz w:val="17"/>
                <w:szCs w:val="17"/>
                <w:color w:val="auto"/>
              </w:rPr>
            </w:pPr>
          </w:p>
        </w:tc>
        <w:tc>
          <w:tcPr>
            <w:tcW w:w="300" w:type="dxa"/>
            <w:vAlign w:val="bottom"/>
            <w:tcBorders>
              <w:bottom w:val="single" w:sz="8" w:color="auto"/>
            </w:tcBorders>
            <w:shd w:val="clear" w:color="auto" w:fill="E5FFFF"/>
          </w:tcPr>
          <w:p>
            <w:pPr>
              <w:jc w:val="right"/>
              <w:ind w:right="119"/>
              <w:spacing w:after="0" w:line="196" w:lineRule="exact"/>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E5FFFF"/>
          </w:tcPr>
          <w:p>
            <w:pPr>
              <w:jc w:val="right"/>
              <w:ind w:right="11"/>
              <w:spacing w:after="0" w:line="196" w:lineRule="exact"/>
              <w:rPr>
                <w:sz w:val="20"/>
                <w:szCs w:val="20"/>
                <w:color w:val="auto"/>
              </w:rPr>
            </w:pPr>
            <w:r>
              <w:rPr>
                <w:rFonts w:ascii="Arial" w:cs="Arial" w:eastAsia="Arial" w:hAnsi="Arial"/>
                <w:sz w:val="18"/>
                <w:szCs w:val="18"/>
                <w:color w:val="auto"/>
              </w:rPr>
              <w:t>10,919</w:t>
            </w:r>
          </w:p>
        </w:tc>
        <w:tc>
          <w:tcPr>
            <w:tcW w:w="340" w:type="dxa"/>
            <w:vAlign w:val="bottom"/>
            <w:tcBorders>
              <w:bottom w:val="single" w:sz="8" w:color="E5FFFF"/>
            </w:tcBorders>
            <w:shd w:val="clear" w:color="auto" w:fill="E5FFFF"/>
          </w:tcPr>
          <w:p>
            <w:pPr>
              <w:spacing w:after="0"/>
              <w:rPr>
                <w:sz w:val="17"/>
                <w:szCs w:val="17"/>
                <w:color w:val="auto"/>
              </w:rPr>
            </w:pPr>
          </w:p>
        </w:tc>
        <w:tc>
          <w:tcPr>
            <w:tcW w:w="140" w:type="dxa"/>
            <w:vAlign w:val="bottom"/>
            <w:tcBorders>
              <w:bottom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E5FFFF"/>
          </w:tcPr>
          <w:p>
            <w:pPr>
              <w:jc w:val="right"/>
              <w:ind w:right="12"/>
              <w:spacing w:after="0" w:line="196" w:lineRule="exact"/>
              <w:rPr>
                <w:sz w:val="20"/>
                <w:szCs w:val="20"/>
                <w:color w:val="auto"/>
              </w:rPr>
            </w:pPr>
            <w:r>
              <w:rPr>
                <w:rFonts w:ascii="Arial" w:cs="Arial" w:eastAsia="Arial" w:hAnsi="Arial"/>
                <w:sz w:val="18"/>
                <w:szCs w:val="18"/>
                <w:color w:val="auto"/>
              </w:rPr>
              <w:t>21,311</w:t>
            </w:r>
          </w:p>
        </w:tc>
      </w:tr>
      <w:tr>
        <w:trPr>
          <w:trHeight w:val="20"/>
        </w:trPr>
        <w:tc>
          <w:tcPr>
            <w:tcW w:w="8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Aerospace – A global supplier of products, software and services for aircraft and vehicles. Products include aircraft propulsion engines, auxiliary power units, environmental control systems, integrated avionics, electric power systems, hardware for engine controls, flight safety, communications, and navigation, satellite and space components, aircraft wheels and brakes, turbochargers and thermal systems. Software includes engine controls, flight safety, communications, navigation, radar and surveillance systems, internet connectivity and aircraft instrumentation. Services are provided to customers for the repair, overhaul, retrofit and modification of propulsion engines, auxiliary power units, avionics and mechanical systems and aircraft wheels and brakes.</w:t>
      </w:r>
    </w:p>
    <w:p>
      <w:pPr>
        <w:spacing w:after="0" w:line="192"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Home and Building Technologies – A global provider of products, software, solutions and technologies. Products include controls and displays for heating, cooling, indoor air quality, ventilation, humidification, combustion, lighting and home automation; sensors, switches, control systems and instruments for measuring pressure, air flow, temperature and electrical current; access control; video surveillance; fire detection; remote patient monitoring systems; and installation, maintenance and upgrades of systems that keep buildings safe, comfortable and productive. Software includes monitoring and managing heating, cooling, indoor air quality, ventilation, humidification, combustion, lighting and home automation; advanced applications for home/building control and optimization; video surveillance; and to support remote patient monitoring systems. Installation, maintenance and upgrade services of products used in commercial building applications for heating, cooling, maintaining indoor air quality, ventilation, humidification, combustion, lighting, video surveillance and fire safety.</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0"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Honeywell International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jc w:val="center"/>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198"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Performance Materials and Technologies – A global provider of products, software, solutions and technologies. Products include catalysts, absorbents, equipment and high-performance materials, devices for measurement, regulation, control and metering of gases and electricity, and metering and communications systems for water utilities and industries. Software is provided to support process technologies supporting automation and to monitor a variety of industrial processes used in industries such as oil and gas, chemicals, petrochemicals, metals, minerals and mining industries. Services are provided for installation and maintenance of products.</w:t>
      </w:r>
    </w:p>
    <w:p>
      <w:pPr>
        <w:spacing w:after="0" w:line="189"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Safety and Productivity Solutions – A global provider of products, software and solutions. Products include personal protection equipment and footwear, gas detection devices, mobile computing, data collection and thermal printing devices, automation equipment for supply chain and warehouse automation and custom-engineered sensors, switches and controls. Software and solutions are provided to customers for supply chain and warehouse automation, to manage data and assets to drive productivity and for computing, data collection and thermal printing.</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For a summary by disaggregated product and services sales for each segment, refer to Note 13 </w:t>
      </w:r>
      <w:r>
        <w:rPr>
          <w:rFonts w:ascii="Arial" w:cs="Arial" w:eastAsia="Arial" w:hAnsi="Arial"/>
          <w:sz w:val="18"/>
          <w:szCs w:val="18"/>
          <w:i w:val="1"/>
          <w:iCs w:val="1"/>
          <w:color w:val="auto"/>
        </w:rPr>
        <w:t>Segment Financial Data</w:t>
      </w:r>
      <w:r>
        <w:rPr>
          <w:rFonts w:ascii="Arial" w:cs="Arial" w:eastAsia="Arial" w:hAnsi="Arial"/>
          <w:sz w:val="18"/>
          <w:szCs w:val="18"/>
          <w:color w:val="auto"/>
        </w:rPr>
        <w:t>.</w:t>
      </w:r>
    </w:p>
    <w:p>
      <w:pPr>
        <w:spacing w:after="0" w:line="216" w:lineRule="exact"/>
        <w:rPr>
          <w:sz w:val="20"/>
          <w:szCs w:val="20"/>
          <w:color w:val="auto"/>
        </w:rPr>
      </w:pPr>
    </w:p>
    <w:p>
      <w:pPr>
        <w:ind w:right="60" w:firstLine="648"/>
        <w:spacing w:after="0" w:line="246" w:lineRule="auto"/>
        <w:rPr>
          <w:sz w:val="20"/>
          <w:szCs w:val="20"/>
          <w:color w:val="auto"/>
        </w:rPr>
      </w:pPr>
      <w:r>
        <w:rPr>
          <w:rFonts w:ascii="Arial" w:cs="Arial" w:eastAsia="Arial" w:hAnsi="Arial"/>
          <w:sz w:val="18"/>
          <w:szCs w:val="18"/>
          <w:color w:val="auto"/>
        </w:rPr>
        <w:t>We recognize revenue arising from performance obligations outlined in contracts with our customers that are satisfied at a point in time and over time. The disaggregation of our revenue based off timing of recognition is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820" w:type="dxa"/>
            <w:vAlign w:val="bottom"/>
          </w:tcPr>
          <w:p>
            <w:pPr>
              <w:spacing w:after="0"/>
              <w:rPr>
                <w:sz w:val="14"/>
                <w:szCs w:val="14"/>
                <w:color w:val="auto"/>
              </w:rPr>
            </w:pPr>
          </w:p>
        </w:tc>
        <w:tc>
          <w:tcPr>
            <w:tcW w:w="19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Three Months Ended</w:t>
            </w: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rPr>
              <w:t>Six Months Ended</w:t>
            </w:r>
          </w:p>
        </w:tc>
      </w:tr>
      <w:tr>
        <w:trPr>
          <w:trHeight w:val="162"/>
        </w:trPr>
        <w:tc>
          <w:tcPr>
            <w:tcW w:w="7820" w:type="dxa"/>
            <w:vAlign w:val="bottom"/>
          </w:tcPr>
          <w:p>
            <w:pPr>
              <w:spacing w:after="0"/>
              <w:rPr>
                <w:sz w:val="14"/>
                <w:szCs w:val="14"/>
                <w:color w:val="auto"/>
              </w:rPr>
            </w:pPr>
          </w:p>
        </w:tc>
        <w:tc>
          <w:tcPr>
            <w:tcW w:w="19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June 30,</w:t>
            </w: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rPr>
              <w:t>June 30,</w:t>
            </w:r>
          </w:p>
        </w:tc>
      </w:tr>
      <w:tr>
        <w:trPr>
          <w:trHeight w:val="175"/>
        </w:trPr>
        <w:tc>
          <w:tcPr>
            <w:tcW w:w="7820" w:type="dxa"/>
            <w:vAlign w:val="bottom"/>
            <w:tcBorders>
              <w:bottom w:val="single" w:sz="8" w:color="E5FFFF"/>
            </w:tcBorders>
          </w:tcPr>
          <w:p>
            <w:pPr>
              <w:spacing w:after="0"/>
              <w:rPr>
                <w:sz w:val="15"/>
                <w:szCs w:val="15"/>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2018</w:t>
            </w:r>
          </w:p>
        </w:tc>
        <w:tc>
          <w:tcPr>
            <w:tcW w:w="340" w:type="dxa"/>
            <w:vAlign w:val="bottom"/>
            <w:tcBorders>
              <w:bottom w:val="single" w:sz="8" w:color="E5FFFF"/>
            </w:tcBorders>
          </w:tcPr>
          <w:p>
            <w:pPr>
              <w:spacing w:after="0"/>
              <w:rPr>
                <w:sz w:val="15"/>
                <w:szCs w:val="15"/>
                <w:color w:val="auto"/>
              </w:rPr>
            </w:pP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2018</w:t>
            </w:r>
          </w:p>
        </w:tc>
      </w:tr>
      <w:tr>
        <w:trPr>
          <w:trHeight w:val="196"/>
        </w:trPr>
        <w:tc>
          <w:tcPr>
            <w:tcW w:w="7820" w:type="dxa"/>
            <w:vAlign w:val="bottom"/>
            <w:shd w:val="clear" w:color="auto" w:fill="E5FFFF"/>
          </w:tcPr>
          <w:p>
            <w:pPr>
              <w:spacing w:after="0" w:line="196" w:lineRule="exact"/>
              <w:rPr>
                <w:sz w:val="20"/>
                <w:szCs w:val="20"/>
                <w:color w:val="auto"/>
              </w:rPr>
            </w:pPr>
            <w:r>
              <w:rPr>
                <w:rFonts w:ascii="Arial" w:cs="Arial" w:eastAsia="Arial" w:hAnsi="Arial"/>
                <w:sz w:val="18"/>
                <w:szCs w:val="18"/>
                <w:color w:val="auto"/>
              </w:rPr>
              <w:t>Products, transferred point in time</w:t>
            </w:r>
          </w:p>
        </w:tc>
        <w:tc>
          <w:tcPr>
            <w:tcW w:w="1620" w:type="dxa"/>
            <w:vAlign w:val="bottom"/>
            <w:shd w:val="clear" w:color="auto" w:fill="E5FFFF"/>
          </w:tcPr>
          <w:p>
            <w:pPr>
              <w:jc w:val="right"/>
              <w:spacing w:after="0" w:line="196" w:lineRule="exact"/>
              <w:rPr>
                <w:sz w:val="20"/>
                <w:szCs w:val="20"/>
                <w:color w:val="auto"/>
              </w:rPr>
            </w:pPr>
            <w:r>
              <w:rPr>
                <w:rFonts w:ascii="Arial" w:cs="Arial" w:eastAsia="Arial" w:hAnsi="Arial"/>
                <w:sz w:val="18"/>
                <w:szCs w:val="18"/>
                <w:color w:val="auto"/>
              </w:rPr>
              <w:t>69%</w:t>
            </w:r>
          </w:p>
        </w:tc>
        <w:tc>
          <w:tcPr>
            <w:tcW w:w="340" w:type="dxa"/>
            <w:vAlign w:val="bottom"/>
            <w:shd w:val="clear" w:color="auto" w:fill="E5FFFF"/>
          </w:tcPr>
          <w:p>
            <w:pPr>
              <w:spacing w:after="0"/>
              <w:rPr>
                <w:sz w:val="17"/>
                <w:szCs w:val="17"/>
                <w:color w:val="auto"/>
              </w:rPr>
            </w:pPr>
          </w:p>
        </w:tc>
        <w:tc>
          <w:tcPr>
            <w:tcW w:w="1640" w:type="dxa"/>
            <w:vAlign w:val="bottom"/>
            <w:shd w:val="clear" w:color="auto" w:fill="E5FFFF"/>
          </w:tcPr>
          <w:p>
            <w:pPr>
              <w:jc w:val="right"/>
              <w:spacing w:after="0" w:line="196" w:lineRule="exact"/>
              <w:rPr>
                <w:sz w:val="20"/>
                <w:szCs w:val="20"/>
                <w:color w:val="auto"/>
              </w:rPr>
            </w:pPr>
            <w:r>
              <w:rPr>
                <w:rFonts w:ascii="Arial" w:cs="Arial" w:eastAsia="Arial" w:hAnsi="Arial"/>
                <w:sz w:val="18"/>
                <w:szCs w:val="18"/>
                <w:color w:val="auto"/>
              </w:rPr>
              <w:t>69%</w:t>
            </w:r>
          </w:p>
        </w:tc>
      </w:tr>
      <w:tr>
        <w:trPr>
          <w:trHeight w:val="203"/>
        </w:trPr>
        <w:tc>
          <w:tcPr>
            <w:tcW w:w="7820" w:type="dxa"/>
            <w:vAlign w:val="bottom"/>
            <w:tcBorders>
              <w:bottom w:val="single" w:sz="8" w:color="E5FFFF"/>
            </w:tcBorders>
          </w:tcPr>
          <w:p>
            <w:pPr>
              <w:spacing w:after="0" w:line="202" w:lineRule="exact"/>
              <w:rPr>
                <w:sz w:val="20"/>
                <w:szCs w:val="20"/>
                <w:color w:val="auto"/>
              </w:rPr>
            </w:pPr>
            <w:r>
              <w:rPr>
                <w:rFonts w:ascii="Arial" w:cs="Arial" w:eastAsia="Arial" w:hAnsi="Arial"/>
                <w:sz w:val="18"/>
                <w:szCs w:val="18"/>
                <w:color w:val="auto"/>
              </w:rPr>
              <w:t>Products, transferred over time</w:t>
            </w:r>
          </w:p>
        </w:tc>
        <w:tc>
          <w:tcPr>
            <w:tcW w:w="1620" w:type="dxa"/>
            <w:vAlign w:val="bottom"/>
            <w:tcBorders>
              <w:bottom w:val="single" w:sz="8" w:color="auto"/>
            </w:tcBorders>
          </w:tcPr>
          <w:p>
            <w:pPr>
              <w:jc w:val="right"/>
              <w:ind w:right="75"/>
              <w:spacing w:after="0" w:line="202" w:lineRule="exact"/>
              <w:rPr>
                <w:sz w:val="20"/>
                <w:szCs w:val="20"/>
                <w:color w:val="auto"/>
              </w:rPr>
            </w:pPr>
            <w:r>
              <w:rPr>
                <w:rFonts w:ascii="Arial" w:cs="Arial" w:eastAsia="Arial" w:hAnsi="Arial"/>
                <w:sz w:val="18"/>
                <w:szCs w:val="18"/>
                <w:color w:val="auto"/>
              </w:rPr>
              <w:t>11</w:t>
            </w:r>
          </w:p>
        </w:tc>
        <w:tc>
          <w:tcPr>
            <w:tcW w:w="340" w:type="dxa"/>
            <w:vAlign w:val="bottom"/>
            <w:tcBorders>
              <w:bottom w:val="single" w:sz="8" w:color="E5FFFF"/>
            </w:tcBorders>
          </w:tcPr>
          <w:p>
            <w:pPr>
              <w:spacing w:after="0"/>
              <w:rPr>
                <w:sz w:val="17"/>
                <w:szCs w:val="17"/>
                <w:color w:val="auto"/>
              </w:rPr>
            </w:pPr>
          </w:p>
        </w:tc>
        <w:tc>
          <w:tcPr>
            <w:tcW w:w="1640" w:type="dxa"/>
            <w:vAlign w:val="bottom"/>
            <w:tcBorders>
              <w:bottom w:val="single" w:sz="8" w:color="auto"/>
            </w:tcBorders>
          </w:tcPr>
          <w:p>
            <w:pPr>
              <w:jc w:val="right"/>
              <w:ind w:right="75"/>
              <w:spacing w:after="0" w:line="202" w:lineRule="exact"/>
              <w:rPr>
                <w:sz w:val="20"/>
                <w:szCs w:val="20"/>
                <w:color w:val="auto"/>
              </w:rPr>
            </w:pPr>
            <w:r>
              <w:rPr>
                <w:rFonts w:ascii="Arial" w:cs="Arial" w:eastAsia="Arial" w:hAnsi="Arial"/>
                <w:sz w:val="18"/>
                <w:szCs w:val="18"/>
                <w:color w:val="auto"/>
              </w:rPr>
              <w:t>11</w:t>
            </w:r>
          </w:p>
        </w:tc>
      </w:tr>
      <w:tr>
        <w:trPr>
          <w:trHeight w:val="196"/>
        </w:trPr>
        <w:tc>
          <w:tcPr>
            <w:tcW w:w="7820" w:type="dxa"/>
            <w:vAlign w:val="bottom"/>
            <w:shd w:val="clear" w:color="auto" w:fill="E5FFFF"/>
          </w:tcPr>
          <w:p>
            <w:pPr>
              <w:ind w:left="180"/>
              <w:spacing w:after="0" w:line="196" w:lineRule="exact"/>
              <w:rPr>
                <w:sz w:val="20"/>
                <w:szCs w:val="20"/>
                <w:color w:val="auto"/>
              </w:rPr>
            </w:pPr>
            <w:r>
              <w:rPr>
                <w:rFonts w:ascii="Arial" w:cs="Arial" w:eastAsia="Arial" w:hAnsi="Arial"/>
                <w:sz w:val="18"/>
                <w:szCs w:val="18"/>
                <w:color w:val="auto"/>
              </w:rPr>
              <w:t>Net product sales</w:t>
            </w:r>
          </w:p>
        </w:tc>
        <w:tc>
          <w:tcPr>
            <w:tcW w:w="1620" w:type="dxa"/>
            <w:vAlign w:val="bottom"/>
            <w:shd w:val="clear" w:color="auto" w:fill="E5FFFF"/>
          </w:tcPr>
          <w:p>
            <w:pPr>
              <w:jc w:val="right"/>
              <w:ind w:right="75"/>
              <w:spacing w:after="0" w:line="196" w:lineRule="exact"/>
              <w:rPr>
                <w:sz w:val="20"/>
                <w:szCs w:val="20"/>
                <w:color w:val="auto"/>
              </w:rPr>
            </w:pPr>
            <w:r>
              <w:rPr>
                <w:rFonts w:ascii="Arial" w:cs="Arial" w:eastAsia="Arial" w:hAnsi="Arial"/>
                <w:sz w:val="18"/>
                <w:szCs w:val="18"/>
                <w:color w:val="auto"/>
              </w:rPr>
              <w:t>80</w:t>
            </w:r>
          </w:p>
        </w:tc>
        <w:tc>
          <w:tcPr>
            <w:tcW w:w="340" w:type="dxa"/>
            <w:vAlign w:val="bottom"/>
            <w:shd w:val="clear" w:color="auto" w:fill="E5FFFF"/>
          </w:tcPr>
          <w:p>
            <w:pPr>
              <w:spacing w:after="0"/>
              <w:rPr>
                <w:sz w:val="17"/>
                <w:szCs w:val="17"/>
                <w:color w:val="auto"/>
              </w:rPr>
            </w:pPr>
          </w:p>
        </w:tc>
        <w:tc>
          <w:tcPr>
            <w:tcW w:w="1640" w:type="dxa"/>
            <w:vAlign w:val="bottom"/>
            <w:shd w:val="clear" w:color="auto" w:fill="E5FFFF"/>
          </w:tcPr>
          <w:p>
            <w:pPr>
              <w:jc w:val="right"/>
              <w:ind w:right="75"/>
              <w:spacing w:after="0" w:line="196" w:lineRule="exact"/>
              <w:rPr>
                <w:sz w:val="20"/>
                <w:szCs w:val="20"/>
                <w:color w:val="auto"/>
              </w:rPr>
            </w:pPr>
            <w:r>
              <w:rPr>
                <w:rFonts w:ascii="Arial" w:cs="Arial" w:eastAsia="Arial" w:hAnsi="Arial"/>
                <w:sz w:val="18"/>
                <w:szCs w:val="18"/>
                <w:color w:val="auto"/>
              </w:rPr>
              <w:t>80</w:t>
            </w:r>
          </w:p>
        </w:tc>
      </w:tr>
      <w:tr>
        <w:trPr>
          <w:trHeight w:val="203"/>
        </w:trPr>
        <w:tc>
          <w:tcPr>
            <w:tcW w:w="7820" w:type="dxa"/>
            <w:vAlign w:val="bottom"/>
          </w:tcPr>
          <w:p>
            <w:pPr>
              <w:spacing w:after="0" w:line="202" w:lineRule="exact"/>
              <w:rPr>
                <w:sz w:val="20"/>
                <w:szCs w:val="20"/>
                <w:color w:val="auto"/>
              </w:rPr>
            </w:pPr>
            <w:r>
              <w:rPr>
                <w:rFonts w:ascii="Arial" w:cs="Arial" w:eastAsia="Arial" w:hAnsi="Arial"/>
                <w:sz w:val="18"/>
                <w:szCs w:val="18"/>
                <w:color w:val="auto"/>
              </w:rPr>
              <w:t>Services, transferred point in time</w:t>
            </w:r>
          </w:p>
        </w:tc>
        <w:tc>
          <w:tcPr>
            <w:tcW w:w="1620" w:type="dxa"/>
            <w:vAlign w:val="bottom"/>
          </w:tcPr>
          <w:p>
            <w:pPr>
              <w:jc w:val="right"/>
              <w:ind w:right="75"/>
              <w:spacing w:after="0" w:line="202" w:lineRule="exact"/>
              <w:rPr>
                <w:sz w:val="20"/>
                <w:szCs w:val="20"/>
                <w:color w:val="auto"/>
              </w:rPr>
            </w:pPr>
            <w:r>
              <w:rPr>
                <w:rFonts w:ascii="Arial" w:cs="Arial" w:eastAsia="Arial" w:hAnsi="Arial"/>
                <w:sz w:val="18"/>
                <w:szCs w:val="18"/>
                <w:color w:val="auto"/>
              </w:rPr>
              <w:t>6</w:t>
            </w:r>
          </w:p>
        </w:tc>
        <w:tc>
          <w:tcPr>
            <w:tcW w:w="340" w:type="dxa"/>
            <w:vAlign w:val="bottom"/>
          </w:tcPr>
          <w:p>
            <w:pPr>
              <w:spacing w:after="0"/>
              <w:rPr>
                <w:sz w:val="17"/>
                <w:szCs w:val="17"/>
                <w:color w:val="auto"/>
              </w:rPr>
            </w:pPr>
          </w:p>
        </w:tc>
        <w:tc>
          <w:tcPr>
            <w:tcW w:w="1640" w:type="dxa"/>
            <w:vAlign w:val="bottom"/>
          </w:tcPr>
          <w:p>
            <w:pPr>
              <w:jc w:val="right"/>
              <w:ind w:right="75"/>
              <w:spacing w:after="0" w:line="202" w:lineRule="exact"/>
              <w:rPr>
                <w:sz w:val="20"/>
                <w:szCs w:val="20"/>
                <w:color w:val="auto"/>
              </w:rPr>
            </w:pPr>
            <w:r>
              <w:rPr>
                <w:rFonts w:ascii="Arial" w:cs="Arial" w:eastAsia="Arial" w:hAnsi="Arial"/>
                <w:sz w:val="18"/>
                <w:szCs w:val="18"/>
                <w:color w:val="auto"/>
              </w:rPr>
              <w:t>6</w:t>
            </w:r>
          </w:p>
        </w:tc>
      </w:tr>
      <w:tr>
        <w:trPr>
          <w:trHeight w:val="203"/>
        </w:trPr>
        <w:tc>
          <w:tcPr>
            <w:tcW w:w="782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Services, transferred over time</w:t>
            </w:r>
          </w:p>
        </w:tc>
        <w:tc>
          <w:tcPr>
            <w:tcW w:w="1620" w:type="dxa"/>
            <w:vAlign w:val="bottom"/>
            <w:tcBorders>
              <w:bottom w:val="single" w:sz="8" w:color="auto"/>
            </w:tcBorders>
            <w:shd w:val="clear" w:color="auto" w:fill="E5FFFF"/>
          </w:tcPr>
          <w:p>
            <w:pPr>
              <w:jc w:val="right"/>
              <w:ind w:right="75"/>
              <w:spacing w:after="0" w:line="202" w:lineRule="exact"/>
              <w:rPr>
                <w:sz w:val="20"/>
                <w:szCs w:val="20"/>
                <w:color w:val="auto"/>
              </w:rPr>
            </w:pPr>
            <w:r>
              <w:rPr>
                <w:rFonts w:ascii="Arial" w:cs="Arial" w:eastAsia="Arial" w:hAnsi="Arial"/>
                <w:sz w:val="18"/>
                <w:szCs w:val="18"/>
                <w:color w:val="auto"/>
              </w:rPr>
              <w:t>14</w:t>
            </w:r>
          </w:p>
        </w:tc>
        <w:tc>
          <w:tcPr>
            <w:tcW w:w="340" w:type="dxa"/>
            <w:vAlign w:val="bottom"/>
            <w:shd w:val="clear" w:color="auto" w:fill="E5FFFF"/>
          </w:tcPr>
          <w:p>
            <w:pPr>
              <w:spacing w:after="0"/>
              <w:rPr>
                <w:sz w:val="17"/>
                <w:szCs w:val="17"/>
                <w:color w:val="auto"/>
              </w:rPr>
            </w:pPr>
          </w:p>
        </w:tc>
        <w:tc>
          <w:tcPr>
            <w:tcW w:w="1640" w:type="dxa"/>
            <w:vAlign w:val="bottom"/>
            <w:tcBorders>
              <w:bottom w:val="single" w:sz="8" w:color="auto"/>
            </w:tcBorders>
            <w:shd w:val="clear" w:color="auto" w:fill="E5FFFF"/>
          </w:tcPr>
          <w:p>
            <w:pPr>
              <w:jc w:val="right"/>
              <w:ind w:right="75"/>
              <w:spacing w:after="0" w:line="202" w:lineRule="exact"/>
              <w:rPr>
                <w:sz w:val="20"/>
                <w:szCs w:val="20"/>
                <w:color w:val="auto"/>
              </w:rPr>
            </w:pPr>
            <w:r>
              <w:rPr>
                <w:rFonts w:ascii="Arial" w:cs="Arial" w:eastAsia="Arial" w:hAnsi="Arial"/>
                <w:sz w:val="18"/>
                <w:szCs w:val="18"/>
                <w:color w:val="auto"/>
              </w:rPr>
              <w:t>14</w:t>
            </w:r>
          </w:p>
        </w:tc>
      </w:tr>
      <w:tr>
        <w:trPr>
          <w:trHeight w:val="196"/>
        </w:trPr>
        <w:tc>
          <w:tcPr>
            <w:tcW w:w="7820" w:type="dxa"/>
            <w:vAlign w:val="bottom"/>
            <w:tcBorders>
              <w:bottom w:val="single" w:sz="8" w:color="E5FFFF"/>
            </w:tcBorders>
          </w:tcPr>
          <w:p>
            <w:pPr>
              <w:ind w:left="180"/>
              <w:spacing w:after="0" w:line="196" w:lineRule="exact"/>
              <w:rPr>
                <w:sz w:val="20"/>
                <w:szCs w:val="20"/>
                <w:color w:val="auto"/>
              </w:rPr>
            </w:pPr>
            <w:r>
              <w:rPr>
                <w:rFonts w:ascii="Arial" w:cs="Arial" w:eastAsia="Arial" w:hAnsi="Arial"/>
                <w:sz w:val="18"/>
                <w:szCs w:val="18"/>
                <w:color w:val="auto"/>
              </w:rPr>
              <w:t>Net service sales</w:t>
            </w:r>
          </w:p>
        </w:tc>
        <w:tc>
          <w:tcPr>
            <w:tcW w:w="1620" w:type="dxa"/>
            <w:vAlign w:val="bottom"/>
            <w:tcBorders>
              <w:bottom w:val="single" w:sz="8" w:color="auto"/>
            </w:tcBorders>
          </w:tcPr>
          <w:p>
            <w:pPr>
              <w:jc w:val="right"/>
              <w:ind w:right="75"/>
              <w:spacing w:after="0" w:line="196" w:lineRule="exact"/>
              <w:rPr>
                <w:sz w:val="20"/>
                <w:szCs w:val="20"/>
                <w:color w:val="auto"/>
              </w:rPr>
            </w:pPr>
            <w:r>
              <w:rPr>
                <w:rFonts w:ascii="Arial" w:cs="Arial" w:eastAsia="Arial" w:hAnsi="Arial"/>
                <w:sz w:val="18"/>
                <w:szCs w:val="18"/>
                <w:color w:val="auto"/>
              </w:rPr>
              <w:t>20</w:t>
            </w:r>
          </w:p>
        </w:tc>
        <w:tc>
          <w:tcPr>
            <w:tcW w:w="340" w:type="dxa"/>
            <w:vAlign w:val="bottom"/>
            <w:tcBorders>
              <w:bottom w:val="single" w:sz="8" w:color="E5FFFF"/>
            </w:tcBorders>
          </w:tcPr>
          <w:p>
            <w:pPr>
              <w:spacing w:after="0"/>
              <w:rPr>
                <w:sz w:val="17"/>
                <w:szCs w:val="17"/>
                <w:color w:val="auto"/>
              </w:rPr>
            </w:pPr>
          </w:p>
        </w:tc>
        <w:tc>
          <w:tcPr>
            <w:tcW w:w="1640" w:type="dxa"/>
            <w:vAlign w:val="bottom"/>
            <w:tcBorders>
              <w:bottom w:val="single" w:sz="8" w:color="auto"/>
            </w:tcBorders>
          </w:tcPr>
          <w:p>
            <w:pPr>
              <w:jc w:val="right"/>
              <w:ind w:right="75"/>
              <w:spacing w:after="0" w:line="196" w:lineRule="exact"/>
              <w:rPr>
                <w:sz w:val="20"/>
                <w:szCs w:val="20"/>
                <w:color w:val="auto"/>
              </w:rPr>
            </w:pPr>
            <w:r>
              <w:rPr>
                <w:rFonts w:ascii="Arial" w:cs="Arial" w:eastAsia="Arial" w:hAnsi="Arial"/>
                <w:sz w:val="18"/>
                <w:szCs w:val="18"/>
                <w:color w:val="auto"/>
              </w:rPr>
              <w:t>20</w:t>
            </w:r>
          </w:p>
        </w:tc>
      </w:tr>
      <w:tr>
        <w:trPr>
          <w:trHeight w:val="196"/>
        </w:trPr>
        <w:tc>
          <w:tcPr>
            <w:tcW w:w="7820" w:type="dxa"/>
            <w:vAlign w:val="bottom"/>
            <w:tcBorders>
              <w:bottom w:val="single" w:sz="8" w:color="E5FFFF"/>
            </w:tcBorders>
            <w:shd w:val="clear" w:color="auto" w:fill="E5FFFF"/>
          </w:tcPr>
          <w:p>
            <w:pPr>
              <w:ind w:left="180"/>
              <w:spacing w:after="0" w:line="196" w:lineRule="exact"/>
              <w:rPr>
                <w:sz w:val="20"/>
                <w:szCs w:val="20"/>
                <w:color w:val="auto"/>
              </w:rPr>
            </w:pPr>
            <w:r>
              <w:rPr>
                <w:rFonts w:ascii="Arial" w:cs="Arial" w:eastAsia="Arial" w:hAnsi="Arial"/>
                <w:sz w:val="18"/>
                <w:szCs w:val="18"/>
                <w:color w:val="auto"/>
              </w:rPr>
              <w:t>Net sales</w:t>
            </w:r>
          </w:p>
        </w:tc>
        <w:tc>
          <w:tcPr>
            <w:tcW w:w="1620" w:type="dxa"/>
            <w:vAlign w:val="bottom"/>
            <w:tcBorders>
              <w:bottom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100%</w:t>
            </w:r>
          </w:p>
        </w:tc>
        <w:tc>
          <w:tcPr>
            <w:tcW w:w="340" w:type="dxa"/>
            <w:vAlign w:val="bottom"/>
            <w:tcBorders>
              <w:bottom w:val="single" w:sz="8" w:color="E5FFFF"/>
            </w:tcBorders>
            <w:shd w:val="clear" w:color="auto" w:fill="E5FFFF"/>
          </w:tcPr>
          <w:p>
            <w:pPr>
              <w:spacing w:after="0"/>
              <w:rPr>
                <w:sz w:val="17"/>
                <w:szCs w:val="17"/>
                <w:color w:val="auto"/>
              </w:rPr>
            </w:pPr>
          </w:p>
        </w:tc>
        <w:tc>
          <w:tcPr>
            <w:tcW w:w="1640" w:type="dxa"/>
            <w:vAlign w:val="bottom"/>
            <w:tcBorders>
              <w:bottom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100%</w:t>
            </w:r>
          </w:p>
        </w:tc>
      </w:tr>
      <w:tr>
        <w:trPr>
          <w:trHeight w:val="20"/>
        </w:trPr>
        <w:tc>
          <w:tcPr>
            <w:tcW w:w="782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Balances</w:t>
      </w:r>
    </w:p>
    <w:p>
      <w:pPr>
        <w:spacing w:after="0" w:line="220"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Progress on satisfying performance obligations under contracts with customers and the related billings and cash collections are recorded on the Consolidated Balance Sheet in Accounts receivable - net and Other assets (the current and noncurrent portions, respectively, of unbilled receivables (contract assets) and billed receivables) and Accrued liabilities and Other liabilities (the current and noncurrent portions, respectively, of customer advances and deposits (contract liabilities)). Unbilled receivables (contract assets) arise when the timing of cash collected from customers differs from the timing of revenue recognition, such as when contract provisions require specific milestones to be met before a customer can be billed. Those assets are recognized when the revenue associated with the contract is recognized prior to billing and derecognized when billed in accordance with the terms of the contract. Contract liabilities are recorded when customers remit contractual cash payments in advance of us satisfying performance obligations under contractual arrangements, including those with performance obligations to be satisfied over a period of time. Contract liabilities are derecognized when revenue is recorded, either when a milestone is met triggering the contractual right to bill or when the performance obligation is satisfied.</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Contract balances are classified as assets or liabilities on a contract-by-contract basis at the end of each reporting period.</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contract assets and liabilities balances: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0"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Honeywell International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jc w:val="center"/>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040" w:type="dxa"/>
            <w:vAlign w:val="bottom"/>
            <w:tcBorders>
              <w:bottom w:val="single" w:sz="8" w:color="E5FFFF"/>
            </w:tcBorders>
          </w:tcPr>
          <w:p>
            <w:pPr>
              <w:spacing w:after="0"/>
              <w:rPr>
                <w:sz w:val="15"/>
                <w:szCs w:val="15"/>
                <w:color w:val="auto"/>
              </w:rPr>
            </w:pPr>
          </w:p>
        </w:tc>
        <w:tc>
          <w:tcPr>
            <w:tcW w:w="3020" w:type="dxa"/>
            <w:vAlign w:val="bottom"/>
            <w:tcBorders>
              <w:bottom w:val="single" w:sz="8" w:color="E5FF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2018</w:t>
            </w:r>
          </w:p>
        </w:tc>
      </w:tr>
      <w:tr>
        <w:trPr>
          <w:trHeight w:val="196"/>
        </w:trPr>
        <w:tc>
          <w:tcPr>
            <w:tcW w:w="7040" w:type="dxa"/>
            <w:vAlign w:val="bottom"/>
            <w:shd w:val="clear" w:color="auto" w:fill="E5FFFF"/>
          </w:tcPr>
          <w:p>
            <w:pPr>
              <w:spacing w:after="0" w:line="196" w:lineRule="exact"/>
              <w:rPr>
                <w:sz w:val="20"/>
                <w:szCs w:val="20"/>
                <w:color w:val="auto"/>
              </w:rPr>
            </w:pPr>
            <w:r>
              <w:rPr>
                <w:rFonts w:ascii="Arial" w:cs="Arial" w:eastAsia="Arial" w:hAnsi="Arial"/>
                <w:sz w:val="18"/>
                <w:szCs w:val="18"/>
                <w:color w:val="auto"/>
              </w:rPr>
              <w:t>Contract assets - January 1</w:t>
            </w:r>
          </w:p>
        </w:tc>
        <w:tc>
          <w:tcPr>
            <w:tcW w:w="3020" w:type="dxa"/>
            <w:vAlign w:val="bottom"/>
            <w:shd w:val="clear" w:color="auto" w:fill="E5FFFF"/>
          </w:tcPr>
          <w:p>
            <w:pPr>
              <w:spacing w:after="0"/>
              <w:rPr>
                <w:sz w:val="17"/>
                <w:szCs w:val="17"/>
                <w:color w:val="auto"/>
              </w:rPr>
            </w:pPr>
          </w:p>
        </w:tc>
        <w:tc>
          <w:tcPr>
            <w:tcW w:w="320" w:type="dxa"/>
            <w:vAlign w:val="bottom"/>
            <w:shd w:val="clear" w:color="auto" w:fill="E5FFFF"/>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shd w:val="clear" w:color="auto" w:fill="E5FFFF"/>
          </w:tcPr>
          <w:p>
            <w:pPr>
              <w:jc w:val="right"/>
              <w:ind w:right="12"/>
              <w:spacing w:after="0" w:line="196" w:lineRule="exact"/>
              <w:rPr>
                <w:sz w:val="20"/>
                <w:szCs w:val="20"/>
                <w:color w:val="auto"/>
              </w:rPr>
            </w:pPr>
            <w:r>
              <w:rPr>
                <w:rFonts w:ascii="Arial" w:cs="Arial" w:eastAsia="Arial" w:hAnsi="Arial"/>
                <w:sz w:val="18"/>
                <w:szCs w:val="18"/>
                <w:color w:val="auto"/>
              </w:rPr>
              <w:t>1,721</w:t>
            </w:r>
          </w:p>
        </w:tc>
      </w:tr>
      <w:tr>
        <w:trPr>
          <w:trHeight w:val="203"/>
        </w:trPr>
        <w:tc>
          <w:tcPr>
            <w:tcW w:w="7040" w:type="dxa"/>
            <w:vAlign w:val="bottom"/>
            <w:tcBorders>
              <w:bottom w:val="single" w:sz="8" w:color="E5FFFF"/>
            </w:tcBorders>
          </w:tcPr>
          <w:p>
            <w:pPr>
              <w:spacing w:after="0" w:line="202" w:lineRule="exact"/>
              <w:rPr>
                <w:sz w:val="20"/>
                <w:szCs w:val="20"/>
                <w:color w:val="auto"/>
              </w:rPr>
            </w:pPr>
            <w:r>
              <w:rPr>
                <w:rFonts w:ascii="Arial" w:cs="Arial" w:eastAsia="Arial" w:hAnsi="Arial"/>
                <w:sz w:val="18"/>
                <w:szCs w:val="18"/>
                <w:color w:val="auto"/>
              </w:rPr>
              <w:t>Contract assets - June 30</w:t>
            </w:r>
          </w:p>
        </w:tc>
        <w:tc>
          <w:tcPr>
            <w:tcW w:w="3020" w:type="dxa"/>
            <w:vAlign w:val="bottom"/>
            <w:tcBorders>
              <w:bottom w:val="single" w:sz="8" w:color="E5FF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12"/>
              <w:spacing w:after="0" w:line="202" w:lineRule="exact"/>
              <w:rPr>
                <w:sz w:val="20"/>
                <w:szCs w:val="20"/>
                <w:color w:val="auto"/>
              </w:rPr>
            </w:pPr>
            <w:r>
              <w:rPr>
                <w:rFonts w:ascii="Arial" w:cs="Arial" w:eastAsia="Arial" w:hAnsi="Arial"/>
                <w:sz w:val="18"/>
                <w:szCs w:val="18"/>
                <w:color w:val="auto"/>
              </w:rPr>
              <w:t>1,650</w:t>
            </w:r>
          </w:p>
        </w:tc>
      </w:tr>
      <w:tr>
        <w:trPr>
          <w:trHeight w:val="196"/>
        </w:trPr>
        <w:tc>
          <w:tcPr>
            <w:tcW w:w="7040" w:type="dxa"/>
            <w:vAlign w:val="bottom"/>
            <w:tcBorders>
              <w:bottom w:val="single" w:sz="8" w:color="E5FFFF"/>
            </w:tcBorders>
            <w:shd w:val="clear" w:color="auto" w:fill="E5FFFF"/>
          </w:tcPr>
          <w:p>
            <w:pPr>
              <w:spacing w:after="0" w:line="196" w:lineRule="exact"/>
              <w:rPr>
                <w:sz w:val="20"/>
                <w:szCs w:val="20"/>
                <w:color w:val="auto"/>
              </w:rPr>
            </w:pPr>
            <w:r>
              <w:rPr>
                <w:rFonts w:ascii="Arial" w:cs="Arial" w:eastAsia="Arial" w:hAnsi="Arial"/>
                <w:sz w:val="18"/>
                <w:szCs w:val="18"/>
                <w:color w:val="auto"/>
              </w:rPr>
              <w:t>Change in contract assets - increase (decrease)</w:t>
            </w:r>
          </w:p>
        </w:tc>
        <w:tc>
          <w:tcPr>
            <w:tcW w:w="3020" w:type="dxa"/>
            <w:vAlign w:val="bottom"/>
            <w:tcBorders>
              <w:bottom w:val="single" w:sz="8" w:color="E5FFFF"/>
            </w:tcBorders>
            <w:shd w:val="clear" w:color="auto" w:fill="E5FFFF"/>
          </w:tcPr>
          <w:p>
            <w:pPr>
              <w:spacing w:after="0"/>
              <w:rPr>
                <w:sz w:val="17"/>
                <w:szCs w:val="17"/>
                <w:color w:val="auto"/>
              </w:rPr>
            </w:pPr>
          </w:p>
        </w:tc>
        <w:tc>
          <w:tcPr>
            <w:tcW w:w="320" w:type="dxa"/>
            <w:vAlign w:val="bottom"/>
            <w:tcBorders>
              <w:bottom w:val="single" w:sz="8" w:color="auto"/>
            </w:tcBorders>
            <w:shd w:val="clear" w:color="auto" w:fill="E5FFFF"/>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(71)</w:t>
            </w:r>
          </w:p>
        </w:tc>
      </w:tr>
      <w:tr>
        <w:trPr>
          <w:trHeight w:val="20"/>
        </w:trPr>
        <w:tc>
          <w:tcPr>
            <w:tcW w:w="704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386"/>
        </w:trPr>
        <w:tc>
          <w:tcPr>
            <w:tcW w:w="7040" w:type="dxa"/>
            <w:vAlign w:val="bottom"/>
          </w:tcPr>
          <w:p>
            <w:pPr>
              <w:spacing w:after="0"/>
              <w:rPr>
                <w:sz w:val="20"/>
                <w:szCs w:val="20"/>
                <w:color w:val="auto"/>
              </w:rPr>
            </w:pPr>
            <w:r>
              <w:rPr>
                <w:rFonts w:ascii="Arial" w:cs="Arial" w:eastAsia="Arial" w:hAnsi="Arial"/>
                <w:sz w:val="18"/>
                <w:szCs w:val="18"/>
                <w:color w:val="auto"/>
              </w:rPr>
              <w:t>Contract liabilities - January 1</w:t>
            </w:r>
          </w:p>
        </w:tc>
        <w:tc>
          <w:tcPr>
            <w:tcW w:w="33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(2,973)</w:t>
            </w:r>
          </w:p>
        </w:tc>
      </w:tr>
      <w:tr>
        <w:trPr>
          <w:trHeight w:val="203"/>
        </w:trPr>
        <w:tc>
          <w:tcPr>
            <w:tcW w:w="704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Contract liabilities - June 30</w:t>
            </w:r>
          </w:p>
        </w:tc>
        <w:tc>
          <w:tcPr>
            <w:tcW w:w="3020" w:type="dxa"/>
            <w:vAlign w:val="bottom"/>
            <w:shd w:val="clear" w:color="auto" w:fill="E5FFFF"/>
          </w:tcPr>
          <w:p>
            <w:pPr>
              <w:spacing w:after="0"/>
              <w:rPr>
                <w:sz w:val="17"/>
                <w:szCs w:val="17"/>
                <w:color w:val="auto"/>
              </w:rPr>
            </w:pPr>
          </w:p>
        </w:tc>
        <w:tc>
          <w:tcPr>
            <w:tcW w:w="320" w:type="dxa"/>
            <w:vAlign w:val="bottom"/>
            <w:tcBorders>
              <w:bottom w:val="single" w:sz="8" w:color="auto"/>
            </w:tcBorders>
            <w:shd w:val="clear" w:color="auto" w:fill="E5FFFF"/>
          </w:tcPr>
          <w:p>
            <w:pPr>
              <w:spacing w:after="0"/>
              <w:rPr>
                <w:sz w:val="17"/>
                <w:szCs w:val="17"/>
                <w:color w:val="auto"/>
              </w:rPr>
            </w:pPr>
          </w:p>
        </w:tc>
        <w:tc>
          <w:tcPr>
            <w:tcW w:w="1040" w:type="dxa"/>
            <w:vAlign w:val="bottom"/>
            <w:tcBorders>
              <w:bottom w:val="single" w:sz="8" w:color="auto"/>
            </w:tcBorders>
            <w:shd w:val="clear" w:color="auto" w:fill="E5FFFF"/>
          </w:tcPr>
          <w:p>
            <w:pPr>
              <w:jc w:val="right"/>
              <w:spacing w:after="0" w:line="202" w:lineRule="exact"/>
              <w:rPr>
                <w:sz w:val="20"/>
                <w:szCs w:val="20"/>
                <w:color w:val="auto"/>
              </w:rPr>
            </w:pPr>
            <w:r>
              <w:rPr>
                <w:rFonts w:ascii="Arial" w:cs="Arial" w:eastAsia="Arial" w:hAnsi="Arial"/>
                <w:sz w:val="18"/>
                <w:szCs w:val="18"/>
                <w:color w:val="auto"/>
              </w:rPr>
              <w:t>(3,109)</w:t>
            </w:r>
          </w:p>
        </w:tc>
      </w:tr>
      <w:tr>
        <w:trPr>
          <w:trHeight w:val="196"/>
        </w:trPr>
        <w:tc>
          <w:tcPr>
            <w:tcW w:w="7040" w:type="dxa"/>
            <w:vAlign w:val="bottom"/>
          </w:tcPr>
          <w:p>
            <w:pPr>
              <w:spacing w:after="0" w:line="196" w:lineRule="exact"/>
              <w:rPr>
                <w:sz w:val="20"/>
                <w:szCs w:val="20"/>
                <w:color w:val="auto"/>
              </w:rPr>
            </w:pPr>
            <w:r>
              <w:rPr>
                <w:rFonts w:ascii="Arial" w:cs="Arial" w:eastAsia="Arial" w:hAnsi="Arial"/>
                <w:sz w:val="18"/>
                <w:szCs w:val="18"/>
                <w:color w:val="auto"/>
              </w:rPr>
              <w:t>Change in contract liabilities - (increase) decrease</w:t>
            </w:r>
          </w:p>
        </w:tc>
        <w:tc>
          <w:tcPr>
            <w:tcW w:w="3020" w:type="dxa"/>
            <w:vAlign w:val="bottom"/>
          </w:tcPr>
          <w:p>
            <w:pPr>
              <w:spacing w:after="0"/>
              <w:rPr>
                <w:sz w:val="17"/>
                <w:szCs w:val="17"/>
                <w:color w:val="auto"/>
              </w:rPr>
            </w:pPr>
          </w:p>
        </w:tc>
        <w:tc>
          <w:tcPr>
            <w:tcW w:w="32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(136)</w:t>
            </w:r>
          </w:p>
        </w:tc>
      </w:tr>
      <w:tr>
        <w:trPr>
          <w:trHeight w:val="20"/>
        </w:trPr>
        <w:tc>
          <w:tcPr>
            <w:tcW w:w="704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83"/>
        </w:trPr>
        <w:tc>
          <w:tcPr>
            <w:tcW w:w="7040" w:type="dxa"/>
            <w:vAlign w:val="bottom"/>
          </w:tcPr>
          <w:p>
            <w:pPr>
              <w:spacing w:after="0"/>
              <w:rPr>
                <w:sz w:val="15"/>
                <w:szCs w:val="15"/>
                <w:color w:val="auto"/>
              </w:rPr>
            </w:pPr>
          </w:p>
        </w:tc>
        <w:tc>
          <w:tcPr>
            <w:tcW w:w="30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203"/>
        </w:trPr>
        <w:tc>
          <w:tcPr>
            <w:tcW w:w="704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Net change</w:t>
            </w:r>
          </w:p>
        </w:tc>
        <w:tc>
          <w:tcPr>
            <w:tcW w:w="3340" w:type="dxa"/>
            <w:vAlign w:val="bottom"/>
            <w:gridSpan w:val="2"/>
            <w:shd w:val="clear" w:color="auto" w:fill="E5FFFF"/>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104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(207)</w:t>
            </w:r>
          </w:p>
        </w:tc>
      </w:tr>
      <w:tr>
        <w:trPr>
          <w:trHeight w:val="20"/>
        </w:trPr>
        <w:tc>
          <w:tcPr>
            <w:tcW w:w="7040" w:type="dxa"/>
            <w:vAlign w:val="bottom"/>
            <w:tcBorders>
              <w:top w:val="single" w:sz="8" w:color="E5FFFF"/>
            </w:tcBorders>
          </w:tcPr>
          <w:p>
            <w:pPr>
              <w:spacing w:after="0" w:line="20" w:lineRule="exact"/>
              <w:rPr>
                <w:sz w:val="1"/>
                <w:szCs w:val="1"/>
                <w:color w:val="auto"/>
              </w:rPr>
            </w:pPr>
          </w:p>
        </w:tc>
        <w:tc>
          <w:tcPr>
            <w:tcW w:w="3020" w:type="dxa"/>
            <w:vAlign w:val="bottom"/>
            <w:tcBorders>
              <w:top w:val="single" w:sz="8" w:color="E5FF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The net change was primarily driven by the receipt of advance payments from customers exceeding reductions from recognition of revenue as performance obligations were satisfied and related billings. For the three and six months ended June 30, 2018, we recognized revenue of $320 million and $901 million that was previously included in the beginning balance of contract liabilities.</w:t>
      </w:r>
    </w:p>
    <w:p>
      <w:pPr>
        <w:spacing w:after="0" w:line="189"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When contracts are modified to account for changes in contract specifications and requirements, we consider whether the modification either creates new or changes the existing enforceable rights and obligations. Contract modifications that are for goods or services that are not distinct from the existing contract, due to the significant integration with the original good or service provided, are accounted for as if they were part of that existing contract. The effect of a contract modification on the transaction price and our measure of progress for the performance obligation to which it relates, is recognized as an adjustment to revenue (either as an increase in or a reduction of revenue) on a cumulative catch-up basis. When the modifications include additional performance obligations that are distinct and at relative stand-alone selling price, they are accounted for as a new contract and performance obligation, which are recognized prospectively.</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Obligations</w:t>
      </w:r>
    </w:p>
    <w:p>
      <w:pPr>
        <w:spacing w:after="0" w:line="220"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A performance obligation is a promise in a contract to transfer a distinct good or service to the customer, and is defined as the unit of account. A contract’s transaction price is allocated to each distinct performance obligation and recognized as revenue when, or as, the performance obligation is satisfied. When our contracts with customers require highly complex integration or manufacturing services that are not separately identifiable from other promises in the contracts and, therefore, not distinct, then the entire contract is accounted for as a single performance obligation. In situations when our contract includes distinct goods or services that are substantially the same and have the same pattern of transfer to the customer over time, they are recognized as a series of distinct goods or services. For any contracts with multiple performance obligations, we allocate the contract’s transaction price to each performance obligation based on the estimated relative standalone selling price of each distinct good or service in the contract. For product sales, each product sold to a customer typically represents a distinct performance obligation. In such cases, the observable standalone sales are used to determine the stand alone selling price.</w:t>
      </w:r>
    </w:p>
    <w:p>
      <w:pPr>
        <w:spacing w:after="0" w:line="194"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Performance obligations are satisfied as of a point in time or over time. Performance obligations are supported by contracts with customers, providing a framework for the nature of the distinct goods, services or bundle of goods and services. The timing of satisfying the performance obligation is typically indicated by the terms of the contract. The following table outlines our performance obligations disaggregated by segment.</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0" w:right="2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07"/>
        </w:trPr>
        <w:tc>
          <w:tcPr>
            <w:tcW w:w="3500" w:type="dxa"/>
            <w:vAlign w:val="bottom"/>
          </w:tcPr>
          <w:p>
            <w:pPr>
              <w:spacing w:after="0"/>
              <w:rPr>
                <w:sz w:val="17"/>
                <w:szCs w:val="17"/>
                <w:color w:val="auto"/>
              </w:rPr>
            </w:pPr>
          </w:p>
        </w:tc>
        <w:tc>
          <w:tcPr>
            <w:tcW w:w="6820" w:type="dxa"/>
            <w:vAlign w:val="bottom"/>
            <w:gridSpan w:val="2"/>
          </w:tcPr>
          <w:p>
            <w:pPr>
              <w:jc w:val="center"/>
              <w:ind w:right="2310"/>
              <w:spacing w:after="0"/>
              <w:rPr>
                <w:sz w:val="20"/>
                <w:szCs w:val="20"/>
                <w:color w:val="auto"/>
              </w:rPr>
            </w:pPr>
            <w:r>
              <w:rPr>
                <w:rFonts w:ascii="Arial" w:cs="Arial" w:eastAsia="Arial" w:hAnsi="Arial"/>
                <w:sz w:val="18"/>
                <w:szCs w:val="18"/>
                <w:b w:val="1"/>
                <w:bCs w:val="1"/>
                <w:color w:val="auto"/>
                <w:w w:val="99"/>
              </w:rPr>
              <w:t>Honeywell International Inc.</w:t>
            </w:r>
          </w:p>
        </w:tc>
        <w:tc>
          <w:tcPr>
            <w:tcW w:w="1100" w:type="dxa"/>
            <w:vAlign w:val="bottom"/>
          </w:tcPr>
          <w:p>
            <w:pPr>
              <w:spacing w:after="0"/>
              <w:rPr>
                <w:sz w:val="17"/>
                <w:szCs w:val="17"/>
                <w:color w:val="auto"/>
              </w:rPr>
            </w:pPr>
          </w:p>
        </w:tc>
      </w:tr>
      <w:tr>
        <w:trPr>
          <w:trHeight w:val="203"/>
        </w:trPr>
        <w:tc>
          <w:tcPr>
            <w:tcW w:w="3500" w:type="dxa"/>
            <w:vAlign w:val="bottom"/>
          </w:tcPr>
          <w:p>
            <w:pPr>
              <w:spacing w:after="0"/>
              <w:rPr>
                <w:sz w:val="17"/>
                <w:szCs w:val="17"/>
                <w:color w:val="auto"/>
              </w:rPr>
            </w:pPr>
          </w:p>
        </w:tc>
        <w:tc>
          <w:tcPr>
            <w:tcW w:w="6820" w:type="dxa"/>
            <w:vAlign w:val="bottom"/>
            <w:gridSpan w:val="2"/>
          </w:tcPr>
          <w:p>
            <w:pPr>
              <w:jc w:val="center"/>
              <w:ind w:right="2290"/>
              <w:spacing w:after="0" w:line="202" w:lineRule="exact"/>
              <w:rPr>
                <w:sz w:val="20"/>
                <w:szCs w:val="20"/>
                <w:color w:val="auto"/>
              </w:rPr>
            </w:pPr>
            <w:r>
              <w:rPr>
                <w:rFonts w:ascii="Arial" w:cs="Arial" w:eastAsia="Arial" w:hAnsi="Arial"/>
                <w:sz w:val="18"/>
                <w:szCs w:val="18"/>
                <w:b w:val="1"/>
                <w:bCs w:val="1"/>
                <w:color w:val="auto"/>
                <w:w w:val="99"/>
              </w:rPr>
              <w:t>Notes to Consolidated Financial Statements</w:t>
            </w:r>
          </w:p>
        </w:tc>
        <w:tc>
          <w:tcPr>
            <w:tcW w:w="1100" w:type="dxa"/>
            <w:vAlign w:val="bottom"/>
          </w:tcPr>
          <w:p>
            <w:pPr>
              <w:spacing w:after="0"/>
              <w:rPr>
                <w:sz w:val="17"/>
                <w:szCs w:val="17"/>
                <w:color w:val="auto"/>
              </w:rPr>
            </w:pPr>
          </w:p>
        </w:tc>
      </w:tr>
      <w:tr>
        <w:trPr>
          <w:trHeight w:val="203"/>
        </w:trPr>
        <w:tc>
          <w:tcPr>
            <w:tcW w:w="3500" w:type="dxa"/>
            <w:vAlign w:val="bottom"/>
          </w:tcPr>
          <w:p>
            <w:pPr>
              <w:spacing w:after="0"/>
              <w:rPr>
                <w:sz w:val="17"/>
                <w:szCs w:val="17"/>
                <w:color w:val="auto"/>
              </w:rPr>
            </w:pPr>
          </w:p>
        </w:tc>
        <w:tc>
          <w:tcPr>
            <w:tcW w:w="6820" w:type="dxa"/>
            <w:vAlign w:val="bottom"/>
            <w:gridSpan w:val="2"/>
          </w:tcPr>
          <w:p>
            <w:pPr>
              <w:jc w:val="center"/>
              <w:ind w:right="2290"/>
              <w:spacing w:after="0" w:line="202" w:lineRule="exact"/>
              <w:rPr>
                <w:sz w:val="20"/>
                <w:szCs w:val="20"/>
                <w:color w:val="auto"/>
              </w:rPr>
            </w:pPr>
            <w:r>
              <w:rPr>
                <w:rFonts w:ascii="Arial" w:cs="Arial" w:eastAsia="Arial" w:hAnsi="Arial"/>
                <w:sz w:val="18"/>
                <w:szCs w:val="18"/>
                <w:b w:val="1"/>
                <w:bCs w:val="1"/>
                <w:color w:val="auto"/>
                <w:w w:val="99"/>
              </w:rPr>
              <w:t>(Unaudited)</w:t>
            </w:r>
          </w:p>
        </w:tc>
        <w:tc>
          <w:tcPr>
            <w:tcW w:w="1100" w:type="dxa"/>
            <w:vAlign w:val="bottom"/>
          </w:tcPr>
          <w:p>
            <w:pPr>
              <w:spacing w:after="0"/>
              <w:rPr>
                <w:sz w:val="17"/>
                <w:szCs w:val="17"/>
                <w:color w:val="auto"/>
              </w:rPr>
            </w:pPr>
          </w:p>
        </w:tc>
      </w:tr>
      <w:tr>
        <w:trPr>
          <w:trHeight w:val="239"/>
        </w:trPr>
        <w:tc>
          <w:tcPr>
            <w:tcW w:w="3500" w:type="dxa"/>
            <w:vAlign w:val="bottom"/>
          </w:tcPr>
          <w:p>
            <w:pPr>
              <w:spacing w:after="0"/>
              <w:rPr>
                <w:sz w:val="20"/>
                <w:szCs w:val="20"/>
                <w:color w:val="auto"/>
              </w:rPr>
            </w:pPr>
          </w:p>
        </w:tc>
        <w:tc>
          <w:tcPr>
            <w:tcW w:w="6820" w:type="dxa"/>
            <w:vAlign w:val="bottom"/>
            <w:gridSpan w:val="2"/>
          </w:tcPr>
          <w:p>
            <w:pPr>
              <w:jc w:val="center"/>
              <w:ind w:right="2290"/>
              <w:spacing w:after="0"/>
              <w:rPr>
                <w:sz w:val="20"/>
                <w:szCs w:val="20"/>
                <w:color w:val="auto"/>
              </w:rPr>
            </w:pPr>
            <w:r>
              <w:rPr>
                <w:rFonts w:ascii="Arial" w:cs="Arial" w:eastAsia="Arial" w:hAnsi="Arial"/>
                <w:sz w:val="18"/>
                <w:szCs w:val="18"/>
                <w:b w:val="1"/>
                <w:bCs w:val="1"/>
                <w:color w:val="auto"/>
                <w:w w:val="99"/>
              </w:rPr>
              <w:t>(Dollars in millions, except per share amounts)</w:t>
            </w:r>
          </w:p>
        </w:tc>
        <w:tc>
          <w:tcPr>
            <w:tcW w:w="1100" w:type="dxa"/>
            <w:vAlign w:val="bottom"/>
          </w:tcPr>
          <w:p>
            <w:pPr>
              <w:spacing w:after="0"/>
              <w:rPr>
                <w:sz w:val="20"/>
                <w:szCs w:val="20"/>
                <w:color w:val="auto"/>
              </w:rPr>
            </w:pPr>
          </w:p>
        </w:tc>
      </w:tr>
      <w:tr>
        <w:trPr>
          <w:trHeight w:val="338"/>
        </w:trPr>
        <w:tc>
          <w:tcPr>
            <w:tcW w:w="3500" w:type="dxa"/>
            <w:vAlign w:val="bottom"/>
          </w:tcPr>
          <w:p>
            <w:pPr>
              <w:spacing w:after="0"/>
              <w:rPr>
                <w:sz w:val="24"/>
                <w:szCs w:val="24"/>
                <w:color w:val="auto"/>
              </w:rPr>
            </w:pPr>
          </w:p>
        </w:tc>
        <w:tc>
          <w:tcPr>
            <w:tcW w:w="6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jc w:val="right"/>
              <w:ind w:right="295"/>
              <w:spacing w:after="0"/>
              <w:rPr>
                <w:sz w:val="20"/>
                <w:szCs w:val="20"/>
                <w:color w:val="auto"/>
              </w:rPr>
            </w:pPr>
            <w:r>
              <w:rPr>
                <w:rFonts w:ascii="Arial" w:cs="Arial" w:eastAsia="Arial" w:hAnsi="Arial"/>
                <w:sz w:val="14"/>
                <w:szCs w:val="14"/>
                <w:b w:val="1"/>
                <w:bCs w:val="1"/>
                <w:color w:val="auto"/>
              </w:rPr>
              <w:t>June 30,</w:t>
            </w:r>
          </w:p>
        </w:tc>
      </w:tr>
      <w:tr>
        <w:trPr>
          <w:trHeight w:val="175"/>
        </w:trPr>
        <w:tc>
          <w:tcPr>
            <w:tcW w:w="3500" w:type="dxa"/>
            <w:vAlign w:val="bottom"/>
            <w:tcBorders>
              <w:bottom w:val="single" w:sz="8" w:color="E5FFFF"/>
            </w:tcBorders>
          </w:tcPr>
          <w:p>
            <w:pPr>
              <w:spacing w:after="0"/>
              <w:rPr>
                <w:sz w:val="15"/>
                <w:szCs w:val="15"/>
                <w:color w:val="auto"/>
              </w:rPr>
            </w:pPr>
          </w:p>
        </w:tc>
        <w:tc>
          <w:tcPr>
            <w:tcW w:w="6560" w:type="dxa"/>
            <w:vAlign w:val="bottom"/>
            <w:tcBorders>
              <w:bottom w:val="single" w:sz="8" w:color="E5FF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2018</w:t>
            </w:r>
          </w:p>
        </w:tc>
      </w:tr>
      <w:tr>
        <w:trPr>
          <w:trHeight w:val="196"/>
        </w:trPr>
        <w:tc>
          <w:tcPr>
            <w:tcW w:w="3500" w:type="dxa"/>
            <w:vAlign w:val="bottom"/>
            <w:shd w:val="clear" w:color="auto" w:fill="E5FFFF"/>
          </w:tcPr>
          <w:p>
            <w:pPr>
              <w:ind w:left="40"/>
              <w:spacing w:after="0" w:line="196" w:lineRule="exact"/>
              <w:rPr>
                <w:sz w:val="20"/>
                <w:szCs w:val="20"/>
                <w:color w:val="auto"/>
              </w:rPr>
            </w:pPr>
            <w:r>
              <w:rPr>
                <w:rFonts w:ascii="Arial" w:cs="Arial" w:eastAsia="Arial" w:hAnsi="Arial"/>
                <w:sz w:val="18"/>
                <w:szCs w:val="18"/>
                <w:color w:val="auto"/>
              </w:rPr>
              <w:t>Aerospace</w:t>
            </w:r>
          </w:p>
        </w:tc>
        <w:tc>
          <w:tcPr>
            <w:tcW w:w="6560" w:type="dxa"/>
            <w:vAlign w:val="bottom"/>
            <w:shd w:val="clear" w:color="auto" w:fill="E5FFFF"/>
          </w:tcPr>
          <w:p>
            <w:pPr>
              <w:spacing w:after="0"/>
              <w:rPr>
                <w:sz w:val="17"/>
                <w:szCs w:val="17"/>
                <w:color w:val="auto"/>
              </w:rPr>
            </w:pPr>
          </w:p>
        </w:tc>
        <w:tc>
          <w:tcPr>
            <w:tcW w:w="260" w:type="dxa"/>
            <w:vAlign w:val="bottom"/>
            <w:shd w:val="clear" w:color="auto" w:fill="E5FFFF"/>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shd w:val="clear" w:color="auto" w:fill="E5FFFF"/>
          </w:tcPr>
          <w:p>
            <w:pPr>
              <w:jc w:val="right"/>
              <w:ind w:right="15"/>
              <w:spacing w:after="0" w:line="196" w:lineRule="exact"/>
              <w:rPr>
                <w:sz w:val="20"/>
                <w:szCs w:val="20"/>
                <w:color w:val="auto"/>
              </w:rPr>
            </w:pPr>
            <w:r>
              <w:rPr>
                <w:rFonts w:ascii="Arial" w:cs="Arial" w:eastAsia="Arial" w:hAnsi="Arial"/>
                <w:sz w:val="18"/>
                <w:szCs w:val="18"/>
                <w:color w:val="auto"/>
              </w:rPr>
              <w:t>8,989</w:t>
            </w:r>
          </w:p>
        </w:tc>
      </w:tr>
      <w:tr>
        <w:trPr>
          <w:trHeight w:val="203"/>
        </w:trPr>
        <w:tc>
          <w:tcPr>
            <w:tcW w:w="3500" w:type="dxa"/>
            <w:vAlign w:val="bottom"/>
          </w:tcPr>
          <w:p>
            <w:pPr>
              <w:ind w:left="40"/>
              <w:spacing w:after="0" w:line="202" w:lineRule="exact"/>
              <w:rPr>
                <w:sz w:val="20"/>
                <w:szCs w:val="20"/>
                <w:color w:val="auto"/>
              </w:rPr>
            </w:pPr>
            <w:r>
              <w:rPr>
                <w:rFonts w:ascii="Arial" w:cs="Arial" w:eastAsia="Arial" w:hAnsi="Arial"/>
                <w:sz w:val="18"/>
                <w:szCs w:val="18"/>
                <w:color w:val="auto"/>
              </w:rPr>
              <w:t>Home and Building Technologies</w:t>
            </w:r>
          </w:p>
        </w:tc>
        <w:tc>
          <w:tcPr>
            <w:tcW w:w="6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jc w:val="right"/>
              <w:ind w:right="15"/>
              <w:spacing w:after="0" w:line="202" w:lineRule="exact"/>
              <w:rPr>
                <w:sz w:val="20"/>
                <w:szCs w:val="20"/>
                <w:color w:val="auto"/>
              </w:rPr>
            </w:pPr>
            <w:r>
              <w:rPr>
                <w:rFonts w:ascii="Arial" w:cs="Arial" w:eastAsia="Arial" w:hAnsi="Arial"/>
                <w:sz w:val="18"/>
                <w:szCs w:val="18"/>
                <w:color w:val="auto"/>
              </w:rPr>
              <w:t>6,058</w:t>
            </w:r>
          </w:p>
        </w:tc>
      </w:tr>
      <w:tr>
        <w:trPr>
          <w:trHeight w:val="203"/>
        </w:trPr>
        <w:tc>
          <w:tcPr>
            <w:tcW w:w="3500" w:type="dxa"/>
            <w:vAlign w:val="bottom"/>
            <w:shd w:val="clear" w:color="auto" w:fill="E5FFFF"/>
          </w:tcPr>
          <w:p>
            <w:pPr>
              <w:ind w:left="40"/>
              <w:spacing w:after="0" w:line="202" w:lineRule="exact"/>
              <w:rPr>
                <w:sz w:val="20"/>
                <w:szCs w:val="20"/>
                <w:color w:val="auto"/>
              </w:rPr>
            </w:pPr>
            <w:r>
              <w:rPr>
                <w:rFonts w:ascii="Arial" w:cs="Arial" w:eastAsia="Arial" w:hAnsi="Arial"/>
                <w:sz w:val="18"/>
                <w:szCs w:val="18"/>
                <w:color w:val="auto"/>
              </w:rPr>
              <w:t>Performance Materials and Technologies</w:t>
            </w:r>
          </w:p>
        </w:tc>
        <w:tc>
          <w:tcPr>
            <w:tcW w:w="656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1100" w:type="dxa"/>
            <w:vAlign w:val="bottom"/>
            <w:shd w:val="clear" w:color="auto" w:fill="E5FFFF"/>
          </w:tcPr>
          <w:p>
            <w:pPr>
              <w:jc w:val="right"/>
              <w:ind w:right="15"/>
              <w:spacing w:after="0" w:line="202" w:lineRule="exact"/>
              <w:rPr>
                <w:sz w:val="20"/>
                <w:szCs w:val="20"/>
                <w:color w:val="auto"/>
              </w:rPr>
            </w:pPr>
            <w:r>
              <w:rPr>
                <w:rFonts w:ascii="Arial" w:cs="Arial" w:eastAsia="Arial" w:hAnsi="Arial"/>
                <w:sz w:val="18"/>
                <w:szCs w:val="18"/>
                <w:color w:val="auto"/>
              </w:rPr>
              <w:t>6,105</w:t>
            </w:r>
          </w:p>
        </w:tc>
      </w:tr>
      <w:tr>
        <w:trPr>
          <w:trHeight w:val="216"/>
        </w:trPr>
        <w:tc>
          <w:tcPr>
            <w:tcW w:w="3500" w:type="dxa"/>
            <w:vAlign w:val="bottom"/>
            <w:tcBorders>
              <w:bottom w:val="single" w:sz="8" w:color="E5FFFF"/>
            </w:tcBorders>
          </w:tcPr>
          <w:p>
            <w:pPr>
              <w:ind w:left="40"/>
              <w:spacing w:after="0"/>
              <w:rPr>
                <w:sz w:val="20"/>
                <w:szCs w:val="20"/>
                <w:color w:val="auto"/>
              </w:rPr>
            </w:pPr>
            <w:r>
              <w:rPr>
                <w:rFonts w:ascii="Arial" w:cs="Arial" w:eastAsia="Arial" w:hAnsi="Arial"/>
                <w:sz w:val="18"/>
                <w:szCs w:val="18"/>
                <w:color w:val="auto"/>
              </w:rPr>
              <w:t>Safety and Productivity Solutions</w:t>
            </w:r>
          </w:p>
        </w:tc>
        <w:tc>
          <w:tcPr>
            <w:tcW w:w="6560" w:type="dxa"/>
            <w:vAlign w:val="bottom"/>
            <w:tcBorders>
              <w:bottom w:val="single" w:sz="8" w:color="E5FF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1,858</w:t>
            </w:r>
          </w:p>
        </w:tc>
      </w:tr>
      <w:tr>
        <w:trPr>
          <w:trHeight w:val="237"/>
        </w:trPr>
        <w:tc>
          <w:tcPr>
            <w:tcW w:w="3500" w:type="dxa"/>
            <w:vAlign w:val="bottom"/>
            <w:shd w:val="clear" w:color="auto" w:fill="E5FFFF"/>
          </w:tcPr>
          <w:p>
            <w:pPr>
              <w:spacing w:after="0"/>
              <w:rPr>
                <w:sz w:val="20"/>
                <w:szCs w:val="20"/>
                <w:color w:val="auto"/>
              </w:rPr>
            </w:pPr>
          </w:p>
        </w:tc>
        <w:tc>
          <w:tcPr>
            <w:tcW w:w="6820" w:type="dxa"/>
            <w:vAlign w:val="bottom"/>
            <w:gridSpan w:val="2"/>
            <w:shd w:val="clear" w:color="auto" w:fill="E5FFFF"/>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shd w:val="clear" w:color="auto" w:fill="E5FFFF"/>
          </w:tcPr>
          <w:p>
            <w:pPr>
              <w:jc w:val="right"/>
              <w:ind w:right="15"/>
              <w:spacing w:after="0"/>
              <w:rPr>
                <w:sz w:val="20"/>
                <w:szCs w:val="20"/>
                <w:color w:val="auto"/>
              </w:rPr>
            </w:pPr>
            <w:r>
              <w:rPr>
                <w:rFonts w:ascii="Arial" w:cs="Arial" w:eastAsia="Arial" w:hAnsi="Arial"/>
                <w:sz w:val="18"/>
                <w:szCs w:val="18"/>
                <w:color w:val="auto"/>
              </w:rPr>
              <w:t>23,010</w:t>
            </w:r>
          </w:p>
        </w:tc>
      </w:tr>
      <w:tr>
        <w:trPr>
          <w:trHeight w:val="20"/>
        </w:trPr>
        <w:tc>
          <w:tcPr>
            <w:tcW w:w="3500" w:type="dxa"/>
            <w:vAlign w:val="bottom"/>
            <w:tcBorders>
              <w:top w:val="single" w:sz="8" w:color="E5FFFF"/>
            </w:tcBorders>
          </w:tcPr>
          <w:p>
            <w:pPr>
              <w:spacing w:after="0" w:line="20" w:lineRule="exact"/>
              <w:rPr>
                <w:sz w:val="1"/>
                <w:szCs w:val="1"/>
                <w:color w:val="auto"/>
              </w:rPr>
            </w:pPr>
          </w:p>
        </w:tc>
        <w:tc>
          <w:tcPr>
            <w:tcW w:w="6560" w:type="dxa"/>
            <w:vAlign w:val="bottom"/>
            <w:tcBorders>
              <w:top w:val="single" w:sz="8" w:color="E5FF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Performance obligations recognized as of June 30, 2018 will be satisfied over the course of future periods. Our disclosure of the timing for satisfying the performance obligation is based on the requirements of contracts with customers. However, from time to time, these contracts may be subject to modifications, impacting the timing of satisfying the performance obligations. Performance obligations expected to be satisfied within one year and greater than one year are 56% and 44%.</w:t>
      </w:r>
    </w:p>
    <w:p>
      <w:pPr>
        <w:spacing w:after="0" w:line="188" w:lineRule="exact"/>
        <w:rPr>
          <w:sz w:val="20"/>
          <w:szCs w:val="20"/>
          <w:color w:val="auto"/>
        </w:rPr>
      </w:pPr>
    </w:p>
    <w:p>
      <w:pPr>
        <w:jc w:val="both"/>
        <w:ind w:right="20" w:firstLine="648"/>
        <w:spacing w:after="0"/>
        <w:rPr>
          <w:sz w:val="20"/>
          <w:szCs w:val="20"/>
          <w:color w:val="auto"/>
        </w:rPr>
      </w:pPr>
      <w:r>
        <w:rPr>
          <w:rFonts w:ascii="Arial" w:cs="Arial" w:eastAsia="Arial" w:hAnsi="Arial"/>
          <w:sz w:val="18"/>
          <w:szCs w:val="18"/>
          <w:color w:val="auto"/>
        </w:rPr>
        <w:t>The timing of satisfaction of our performance obligations does not significantly vary from the typical timing of payment. Typical payment terms of our fixed-price over time contracts include progress payments based on specified events or milestones, or based on project progress. For some contracts we may be entitled to receive an advance payment.</w:t>
      </w:r>
    </w:p>
    <w:p>
      <w:pPr>
        <w:spacing w:after="0" w:line="189"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We have applied the practical expedient for certain revenue streams to exclude the value of remaining performance obligations for (i) contracts with an original expected term of one year or less or (ii) contracts for which we recognize revenue in proportion to the amount we have the right to invoice for services performed.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Accounts Receivable - Net</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72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jc w:val="right"/>
              <w:ind w:right="317"/>
              <w:spacing w:after="0"/>
              <w:rPr>
                <w:sz w:val="20"/>
                <w:szCs w:val="20"/>
                <w:color w:val="auto"/>
              </w:rPr>
            </w:pPr>
            <w:r>
              <w:rPr>
                <w:rFonts w:ascii="Arial" w:cs="Arial" w:eastAsia="Arial" w:hAnsi="Arial"/>
                <w:sz w:val="14"/>
                <w:szCs w:val="14"/>
                <w:b w:val="1"/>
                <w:bCs w:val="1"/>
                <w:color w:val="auto"/>
              </w:rPr>
              <w:t>June 30,</w:t>
            </w: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jc w:val="right"/>
              <w:ind w:right="117"/>
              <w:spacing w:after="0"/>
              <w:rPr>
                <w:sz w:val="20"/>
                <w:szCs w:val="20"/>
                <w:color w:val="auto"/>
              </w:rPr>
            </w:pPr>
            <w:r>
              <w:rPr>
                <w:rFonts w:ascii="Arial" w:cs="Arial" w:eastAsia="Arial" w:hAnsi="Arial"/>
                <w:sz w:val="14"/>
                <w:szCs w:val="14"/>
                <w:b w:val="1"/>
                <w:bCs w:val="1"/>
                <w:color w:val="auto"/>
              </w:rPr>
              <w:t>December 31,</w:t>
            </w:r>
          </w:p>
        </w:tc>
      </w:tr>
      <w:tr>
        <w:trPr>
          <w:trHeight w:val="175"/>
        </w:trPr>
        <w:tc>
          <w:tcPr>
            <w:tcW w:w="5720" w:type="dxa"/>
            <w:vAlign w:val="bottom"/>
            <w:tcBorders>
              <w:bottom w:val="single" w:sz="8" w:color="E5FFFF"/>
            </w:tcBorders>
          </w:tcPr>
          <w:p>
            <w:pPr>
              <w:spacing w:after="0"/>
              <w:rPr>
                <w:sz w:val="15"/>
                <w:szCs w:val="15"/>
                <w:color w:val="auto"/>
              </w:rPr>
            </w:pPr>
          </w:p>
        </w:tc>
        <w:tc>
          <w:tcPr>
            <w:tcW w:w="2640" w:type="dxa"/>
            <w:vAlign w:val="bottom"/>
            <w:tcBorders>
              <w:bottom w:val="single" w:sz="8" w:color="E5FF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2018</w:t>
            </w:r>
          </w:p>
        </w:tc>
        <w:tc>
          <w:tcPr>
            <w:tcW w:w="320" w:type="dxa"/>
            <w:vAlign w:val="bottom"/>
            <w:tcBorders>
              <w:bottom w:val="single" w:sz="8" w:color="E5FF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2017</w:t>
            </w:r>
          </w:p>
        </w:tc>
      </w:tr>
      <w:tr>
        <w:trPr>
          <w:trHeight w:val="196"/>
        </w:trPr>
        <w:tc>
          <w:tcPr>
            <w:tcW w:w="5720" w:type="dxa"/>
            <w:vAlign w:val="bottom"/>
            <w:shd w:val="clear" w:color="auto" w:fill="E5FFFF"/>
          </w:tcPr>
          <w:p>
            <w:pPr>
              <w:spacing w:after="0" w:line="196" w:lineRule="exact"/>
              <w:rPr>
                <w:sz w:val="20"/>
                <w:szCs w:val="20"/>
                <w:color w:val="auto"/>
              </w:rPr>
            </w:pPr>
            <w:r>
              <w:rPr>
                <w:rFonts w:ascii="Arial" w:cs="Arial" w:eastAsia="Arial" w:hAnsi="Arial"/>
                <w:sz w:val="18"/>
                <w:szCs w:val="18"/>
                <w:color w:val="auto"/>
              </w:rPr>
              <w:t>Trade</w:t>
            </w:r>
          </w:p>
        </w:tc>
        <w:tc>
          <w:tcPr>
            <w:tcW w:w="2640" w:type="dxa"/>
            <w:vAlign w:val="bottom"/>
            <w:shd w:val="clear" w:color="auto" w:fill="E5FFFF"/>
          </w:tcPr>
          <w:p>
            <w:pPr>
              <w:spacing w:after="0"/>
              <w:rPr>
                <w:sz w:val="17"/>
                <w:szCs w:val="17"/>
                <w:color w:val="auto"/>
              </w:rPr>
            </w:pPr>
          </w:p>
        </w:tc>
        <w:tc>
          <w:tcPr>
            <w:tcW w:w="240" w:type="dxa"/>
            <w:vAlign w:val="bottom"/>
            <w:shd w:val="clear" w:color="auto" w:fill="E5FF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shd w:val="clear" w:color="auto" w:fill="E5FFFF"/>
          </w:tcPr>
          <w:p>
            <w:pPr>
              <w:jc w:val="right"/>
              <w:ind w:right="37"/>
              <w:spacing w:after="0" w:line="196" w:lineRule="exact"/>
              <w:rPr>
                <w:sz w:val="20"/>
                <w:szCs w:val="20"/>
                <w:color w:val="auto"/>
              </w:rPr>
            </w:pPr>
            <w:r>
              <w:rPr>
                <w:rFonts w:ascii="Arial" w:cs="Arial" w:eastAsia="Arial" w:hAnsi="Arial"/>
                <w:sz w:val="18"/>
                <w:szCs w:val="18"/>
                <w:color w:val="auto"/>
              </w:rPr>
              <w:t>8,801</w:t>
            </w:r>
          </w:p>
        </w:tc>
        <w:tc>
          <w:tcPr>
            <w:tcW w:w="320" w:type="dxa"/>
            <w:vAlign w:val="bottom"/>
            <w:shd w:val="clear" w:color="auto" w:fill="E5FFFF"/>
          </w:tcPr>
          <w:p>
            <w:pPr>
              <w:spacing w:after="0"/>
              <w:rPr>
                <w:sz w:val="17"/>
                <w:szCs w:val="17"/>
                <w:color w:val="auto"/>
              </w:rPr>
            </w:pPr>
          </w:p>
        </w:tc>
        <w:tc>
          <w:tcPr>
            <w:tcW w:w="160" w:type="dxa"/>
            <w:vAlign w:val="bottom"/>
            <w:shd w:val="clear" w:color="auto" w:fill="E5FFFF"/>
          </w:tcPr>
          <w:p>
            <w:pPr>
              <w:jc w:val="right"/>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shd w:val="clear" w:color="auto" w:fill="E5FFFF"/>
          </w:tcPr>
          <w:p>
            <w:pPr>
              <w:jc w:val="right"/>
              <w:ind w:right="17"/>
              <w:spacing w:after="0" w:line="196" w:lineRule="exact"/>
              <w:rPr>
                <w:sz w:val="20"/>
                <w:szCs w:val="20"/>
                <w:color w:val="auto"/>
              </w:rPr>
            </w:pPr>
            <w:r>
              <w:rPr>
                <w:rFonts w:ascii="Arial" w:cs="Arial" w:eastAsia="Arial" w:hAnsi="Arial"/>
                <w:sz w:val="18"/>
                <w:szCs w:val="18"/>
                <w:color w:val="auto"/>
              </w:rPr>
              <w:t>9,068</w:t>
            </w:r>
          </w:p>
        </w:tc>
      </w:tr>
      <w:tr>
        <w:trPr>
          <w:trHeight w:val="203"/>
        </w:trPr>
        <w:tc>
          <w:tcPr>
            <w:tcW w:w="5720" w:type="dxa"/>
            <w:vAlign w:val="bottom"/>
            <w:tcBorders>
              <w:bottom w:val="single" w:sz="8" w:color="E5FFFF"/>
            </w:tcBorders>
          </w:tcPr>
          <w:p>
            <w:pPr>
              <w:spacing w:after="0" w:line="202" w:lineRule="exact"/>
              <w:rPr>
                <w:sz w:val="20"/>
                <w:szCs w:val="20"/>
                <w:color w:val="auto"/>
              </w:rPr>
            </w:pPr>
            <w:r>
              <w:rPr>
                <w:rFonts w:ascii="Arial" w:cs="Arial" w:eastAsia="Arial" w:hAnsi="Arial"/>
                <w:sz w:val="18"/>
                <w:szCs w:val="18"/>
                <w:color w:val="auto"/>
              </w:rPr>
              <w:t>Less - Allowance for doubtful accounts</w:t>
            </w:r>
          </w:p>
        </w:tc>
        <w:tc>
          <w:tcPr>
            <w:tcW w:w="2640" w:type="dxa"/>
            <w:vAlign w:val="bottom"/>
            <w:tcBorders>
              <w:bottom w:val="single" w:sz="8" w:color="E5FF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(201)</w:t>
            </w:r>
          </w:p>
        </w:tc>
        <w:tc>
          <w:tcPr>
            <w:tcW w:w="320" w:type="dxa"/>
            <w:vAlign w:val="bottom"/>
            <w:tcBorders>
              <w:bottom w:val="single" w:sz="8" w:color="E5FF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(202)</w:t>
            </w:r>
          </w:p>
        </w:tc>
      </w:tr>
      <w:tr>
        <w:trPr>
          <w:trHeight w:val="196"/>
        </w:trPr>
        <w:tc>
          <w:tcPr>
            <w:tcW w:w="5720" w:type="dxa"/>
            <w:vAlign w:val="bottom"/>
            <w:tcBorders>
              <w:bottom w:val="single" w:sz="8" w:color="E5FFFF"/>
            </w:tcBorders>
            <w:shd w:val="clear" w:color="auto" w:fill="E5FFFF"/>
          </w:tcPr>
          <w:p>
            <w:pPr>
              <w:spacing w:after="0"/>
              <w:rPr>
                <w:sz w:val="17"/>
                <w:szCs w:val="17"/>
                <w:color w:val="auto"/>
              </w:rPr>
            </w:pPr>
          </w:p>
        </w:tc>
        <w:tc>
          <w:tcPr>
            <w:tcW w:w="2640" w:type="dxa"/>
            <w:vAlign w:val="bottom"/>
            <w:tcBorders>
              <w:bottom w:val="single" w:sz="8" w:color="E5FFFF"/>
            </w:tcBorders>
            <w:shd w:val="clear" w:color="auto" w:fill="E5FFFF"/>
          </w:tcPr>
          <w:p>
            <w:pPr>
              <w:spacing w:after="0"/>
              <w:rPr>
                <w:sz w:val="17"/>
                <w:szCs w:val="17"/>
                <w:color w:val="auto"/>
              </w:rPr>
            </w:pPr>
          </w:p>
        </w:tc>
        <w:tc>
          <w:tcPr>
            <w:tcW w:w="240" w:type="dxa"/>
            <w:vAlign w:val="bottom"/>
            <w:tcBorders>
              <w:bottom w:val="single" w:sz="8" w:color="auto"/>
            </w:tcBorders>
            <w:shd w:val="clear" w:color="auto" w:fill="E5FF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E5FFFF"/>
          </w:tcPr>
          <w:p>
            <w:pPr>
              <w:jc w:val="right"/>
              <w:ind w:right="37"/>
              <w:spacing w:after="0" w:line="196" w:lineRule="exact"/>
              <w:rPr>
                <w:sz w:val="20"/>
                <w:szCs w:val="20"/>
                <w:color w:val="auto"/>
              </w:rPr>
            </w:pPr>
            <w:r>
              <w:rPr>
                <w:rFonts w:ascii="Arial" w:cs="Arial" w:eastAsia="Arial" w:hAnsi="Arial"/>
                <w:sz w:val="18"/>
                <w:szCs w:val="18"/>
                <w:color w:val="auto"/>
              </w:rPr>
              <w:t>8,600</w:t>
            </w:r>
          </w:p>
        </w:tc>
        <w:tc>
          <w:tcPr>
            <w:tcW w:w="320" w:type="dxa"/>
            <w:vAlign w:val="bottom"/>
            <w:tcBorders>
              <w:bottom w:val="single" w:sz="8" w:color="E5FFFF"/>
            </w:tcBorders>
            <w:shd w:val="clear" w:color="auto" w:fill="E5FFFF"/>
          </w:tcPr>
          <w:p>
            <w:pPr>
              <w:spacing w:after="0"/>
              <w:rPr>
                <w:sz w:val="17"/>
                <w:szCs w:val="17"/>
                <w:color w:val="auto"/>
              </w:rPr>
            </w:pPr>
          </w:p>
        </w:tc>
        <w:tc>
          <w:tcPr>
            <w:tcW w:w="160" w:type="dxa"/>
            <w:vAlign w:val="bottom"/>
            <w:tcBorders>
              <w:bottom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E5FFFF"/>
          </w:tcPr>
          <w:p>
            <w:pPr>
              <w:jc w:val="right"/>
              <w:ind w:right="17"/>
              <w:spacing w:after="0" w:line="196" w:lineRule="exact"/>
              <w:rPr>
                <w:sz w:val="20"/>
                <w:szCs w:val="20"/>
                <w:color w:val="auto"/>
              </w:rPr>
            </w:pPr>
            <w:r>
              <w:rPr>
                <w:rFonts w:ascii="Arial" w:cs="Arial" w:eastAsia="Arial" w:hAnsi="Arial"/>
                <w:sz w:val="18"/>
                <w:szCs w:val="18"/>
                <w:color w:val="auto"/>
              </w:rPr>
              <w:t>8,866</w:t>
            </w:r>
          </w:p>
        </w:tc>
      </w:tr>
      <w:tr>
        <w:trPr>
          <w:trHeight w:val="20"/>
        </w:trPr>
        <w:tc>
          <w:tcPr>
            <w:tcW w:w="57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20" w:firstLine="648"/>
        <w:spacing w:after="0" w:line="246" w:lineRule="auto"/>
        <w:rPr>
          <w:sz w:val="20"/>
          <w:szCs w:val="20"/>
          <w:color w:val="auto"/>
        </w:rPr>
      </w:pPr>
      <w:r>
        <w:rPr>
          <w:rFonts w:ascii="Arial" w:cs="Arial" w:eastAsia="Arial" w:hAnsi="Arial"/>
          <w:sz w:val="18"/>
          <w:szCs w:val="18"/>
          <w:color w:val="auto"/>
        </w:rPr>
        <w:t>Trade receivables include $1,645 million and $1,853 million of unbilled balances under long-term contracts as of June 30, 2018 and December 31, 2017. These amounts are billed in accordance with the terms of the customer contracts to which they relate.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Inventories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98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jc w:val="right"/>
              <w:ind w:right="314"/>
              <w:spacing w:after="0"/>
              <w:rPr>
                <w:sz w:val="20"/>
                <w:szCs w:val="20"/>
                <w:color w:val="auto"/>
              </w:rPr>
            </w:pPr>
            <w:r>
              <w:rPr>
                <w:rFonts w:ascii="Arial" w:cs="Arial" w:eastAsia="Arial" w:hAnsi="Arial"/>
                <w:sz w:val="14"/>
                <w:szCs w:val="14"/>
                <w:b w:val="1"/>
                <w:bCs w:val="1"/>
                <w:color w:val="auto"/>
              </w:rPr>
              <w:t>June 30,</w:t>
            </w: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jc w:val="right"/>
              <w:ind w:right="114"/>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5"/>
        </w:trPr>
        <w:tc>
          <w:tcPr>
            <w:tcW w:w="3980" w:type="dxa"/>
            <w:vAlign w:val="bottom"/>
            <w:tcBorders>
              <w:bottom w:val="single" w:sz="8" w:color="E5FFFF"/>
            </w:tcBorders>
          </w:tcPr>
          <w:p>
            <w:pPr>
              <w:spacing w:after="0"/>
              <w:rPr>
                <w:sz w:val="15"/>
                <w:szCs w:val="15"/>
                <w:color w:val="auto"/>
              </w:rPr>
            </w:pPr>
          </w:p>
        </w:tc>
        <w:tc>
          <w:tcPr>
            <w:tcW w:w="4380" w:type="dxa"/>
            <w:vAlign w:val="bottom"/>
            <w:tcBorders>
              <w:bottom w:val="single" w:sz="8" w:color="E5FF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2018</w:t>
            </w:r>
          </w:p>
        </w:tc>
        <w:tc>
          <w:tcPr>
            <w:tcW w:w="320" w:type="dxa"/>
            <w:vAlign w:val="bottom"/>
            <w:tcBorders>
              <w:bottom w:val="single" w:sz="8" w:color="E5FF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196"/>
        </w:trPr>
        <w:tc>
          <w:tcPr>
            <w:tcW w:w="3980" w:type="dxa"/>
            <w:vAlign w:val="bottom"/>
            <w:shd w:val="clear" w:color="auto" w:fill="E5FFFF"/>
          </w:tcPr>
          <w:p>
            <w:pPr>
              <w:ind w:left="40"/>
              <w:spacing w:after="0" w:line="196" w:lineRule="exact"/>
              <w:rPr>
                <w:sz w:val="20"/>
                <w:szCs w:val="20"/>
                <w:color w:val="auto"/>
              </w:rPr>
            </w:pPr>
            <w:r>
              <w:rPr>
                <w:rFonts w:ascii="Arial" w:cs="Arial" w:eastAsia="Arial" w:hAnsi="Arial"/>
                <w:sz w:val="18"/>
                <w:szCs w:val="18"/>
                <w:color w:val="auto"/>
              </w:rPr>
              <w:t>Raw materials</w:t>
            </w:r>
          </w:p>
        </w:tc>
        <w:tc>
          <w:tcPr>
            <w:tcW w:w="4380" w:type="dxa"/>
            <w:vAlign w:val="bottom"/>
            <w:shd w:val="clear" w:color="auto" w:fill="E5FFFF"/>
          </w:tcPr>
          <w:p>
            <w:pPr>
              <w:spacing w:after="0"/>
              <w:rPr>
                <w:sz w:val="17"/>
                <w:szCs w:val="17"/>
                <w:color w:val="auto"/>
              </w:rPr>
            </w:pPr>
          </w:p>
        </w:tc>
        <w:tc>
          <w:tcPr>
            <w:tcW w:w="240" w:type="dxa"/>
            <w:vAlign w:val="bottom"/>
            <w:shd w:val="clear" w:color="auto" w:fill="E5FF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shd w:val="clear" w:color="auto" w:fill="E5FFFF"/>
          </w:tcPr>
          <w:p>
            <w:pPr>
              <w:jc w:val="right"/>
              <w:ind w:right="34"/>
              <w:spacing w:after="0" w:line="196" w:lineRule="exact"/>
              <w:rPr>
                <w:sz w:val="20"/>
                <w:szCs w:val="20"/>
                <w:color w:val="auto"/>
              </w:rPr>
            </w:pPr>
            <w:r>
              <w:rPr>
                <w:rFonts w:ascii="Arial" w:cs="Arial" w:eastAsia="Arial" w:hAnsi="Arial"/>
                <w:sz w:val="18"/>
                <w:szCs w:val="18"/>
                <w:color w:val="auto"/>
              </w:rPr>
              <w:t>1,238</w:t>
            </w:r>
          </w:p>
        </w:tc>
        <w:tc>
          <w:tcPr>
            <w:tcW w:w="320" w:type="dxa"/>
            <w:vAlign w:val="bottom"/>
            <w:shd w:val="clear" w:color="auto" w:fill="E5FFFF"/>
          </w:tcPr>
          <w:p>
            <w:pPr>
              <w:spacing w:after="0"/>
              <w:rPr>
                <w:sz w:val="17"/>
                <w:szCs w:val="17"/>
                <w:color w:val="auto"/>
              </w:rPr>
            </w:pPr>
          </w:p>
        </w:tc>
        <w:tc>
          <w:tcPr>
            <w:tcW w:w="160" w:type="dxa"/>
            <w:vAlign w:val="bottom"/>
            <w:shd w:val="clear" w:color="auto" w:fill="E5FFFF"/>
          </w:tcPr>
          <w:p>
            <w:pPr>
              <w:jc w:val="right"/>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shd w:val="clear" w:color="auto" w:fill="E5FFFF"/>
          </w:tcPr>
          <w:p>
            <w:pPr>
              <w:jc w:val="right"/>
              <w:ind w:right="14"/>
              <w:spacing w:after="0" w:line="196" w:lineRule="exact"/>
              <w:rPr>
                <w:sz w:val="20"/>
                <w:szCs w:val="20"/>
                <w:color w:val="auto"/>
              </w:rPr>
            </w:pPr>
            <w:r>
              <w:rPr>
                <w:rFonts w:ascii="Arial" w:cs="Arial" w:eastAsia="Arial" w:hAnsi="Arial"/>
                <w:sz w:val="18"/>
                <w:szCs w:val="18"/>
                <w:color w:val="auto"/>
              </w:rPr>
              <w:t>1,193</w:t>
            </w:r>
          </w:p>
        </w:tc>
        <w:tc>
          <w:tcPr>
            <w:tcW w:w="0" w:type="dxa"/>
            <w:vAlign w:val="bottom"/>
          </w:tcPr>
          <w:p>
            <w:pPr>
              <w:spacing w:after="0"/>
              <w:rPr>
                <w:sz w:val="1"/>
                <w:szCs w:val="1"/>
                <w:color w:val="auto"/>
              </w:rPr>
            </w:pPr>
          </w:p>
        </w:tc>
      </w:tr>
      <w:tr>
        <w:trPr>
          <w:trHeight w:val="203"/>
        </w:trPr>
        <w:tc>
          <w:tcPr>
            <w:tcW w:w="3980" w:type="dxa"/>
            <w:vAlign w:val="bottom"/>
          </w:tcPr>
          <w:p>
            <w:pPr>
              <w:ind w:left="40"/>
              <w:spacing w:after="0" w:line="202" w:lineRule="exact"/>
              <w:rPr>
                <w:sz w:val="20"/>
                <w:szCs w:val="20"/>
                <w:color w:val="auto"/>
              </w:rPr>
            </w:pPr>
            <w:r>
              <w:rPr>
                <w:rFonts w:ascii="Arial" w:cs="Arial" w:eastAsia="Arial" w:hAnsi="Arial"/>
                <w:sz w:val="18"/>
                <w:szCs w:val="18"/>
                <w:color w:val="auto"/>
              </w:rPr>
              <w:t>Work in process</w:t>
            </w:r>
          </w:p>
        </w:tc>
        <w:tc>
          <w:tcPr>
            <w:tcW w:w="4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jc w:val="right"/>
              <w:ind w:right="34"/>
              <w:spacing w:after="0" w:line="202" w:lineRule="exact"/>
              <w:rPr>
                <w:sz w:val="20"/>
                <w:szCs w:val="20"/>
                <w:color w:val="auto"/>
              </w:rPr>
            </w:pPr>
            <w:r>
              <w:rPr>
                <w:rFonts w:ascii="Arial" w:cs="Arial" w:eastAsia="Arial" w:hAnsi="Arial"/>
                <w:sz w:val="18"/>
                <w:szCs w:val="18"/>
                <w:color w:val="auto"/>
              </w:rPr>
              <w:t>801</w:t>
            </w: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ind w:right="14"/>
              <w:spacing w:after="0" w:line="202" w:lineRule="exact"/>
              <w:rPr>
                <w:sz w:val="20"/>
                <w:szCs w:val="20"/>
                <w:color w:val="auto"/>
              </w:rPr>
            </w:pPr>
            <w:r>
              <w:rPr>
                <w:rFonts w:ascii="Arial" w:cs="Arial" w:eastAsia="Arial" w:hAnsi="Arial"/>
                <w:sz w:val="18"/>
                <w:szCs w:val="18"/>
                <w:color w:val="auto"/>
              </w:rPr>
              <w:t>790</w:t>
            </w:r>
          </w:p>
        </w:tc>
        <w:tc>
          <w:tcPr>
            <w:tcW w:w="0" w:type="dxa"/>
            <w:vAlign w:val="bottom"/>
          </w:tcPr>
          <w:p>
            <w:pPr>
              <w:spacing w:after="0"/>
              <w:rPr>
                <w:sz w:val="1"/>
                <w:szCs w:val="1"/>
                <w:color w:val="auto"/>
              </w:rPr>
            </w:pPr>
          </w:p>
        </w:tc>
      </w:tr>
      <w:tr>
        <w:trPr>
          <w:trHeight w:val="216"/>
        </w:trPr>
        <w:tc>
          <w:tcPr>
            <w:tcW w:w="3980" w:type="dxa"/>
            <w:vAlign w:val="bottom"/>
            <w:shd w:val="clear" w:color="auto" w:fill="E5FFFF"/>
          </w:tcPr>
          <w:p>
            <w:pPr>
              <w:ind w:left="40"/>
              <w:spacing w:after="0"/>
              <w:rPr>
                <w:sz w:val="20"/>
                <w:szCs w:val="20"/>
                <w:color w:val="auto"/>
              </w:rPr>
            </w:pPr>
            <w:r>
              <w:rPr>
                <w:rFonts w:ascii="Arial" w:cs="Arial" w:eastAsia="Arial" w:hAnsi="Arial"/>
                <w:sz w:val="18"/>
                <w:szCs w:val="18"/>
                <w:color w:val="auto"/>
              </w:rPr>
              <w:t>Finished products</w:t>
            </w:r>
          </w:p>
        </w:tc>
        <w:tc>
          <w:tcPr>
            <w:tcW w:w="4380" w:type="dxa"/>
            <w:vAlign w:val="bottom"/>
            <w:shd w:val="clear" w:color="auto" w:fill="E5FFFF"/>
          </w:tcPr>
          <w:p>
            <w:pPr>
              <w:spacing w:after="0"/>
              <w:rPr>
                <w:sz w:val="18"/>
                <w:szCs w:val="18"/>
                <w:color w:val="auto"/>
              </w:rPr>
            </w:pPr>
          </w:p>
        </w:tc>
        <w:tc>
          <w:tcPr>
            <w:tcW w:w="240" w:type="dxa"/>
            <w:vAlign w:val="bottom"/>
            <w:tcBorders>
              <w:bottom w:val="single" w:sz="8" w:color="auto"/>
            </w:tcBorders>
            <w:shd w:val="clear" w:color="auto" w:fill="E5FFFF"/>
          </w:tcPr>
          <w:p>
            <w:pPr>
              <w:spacing w:after="0"/>
              <w:rPr>
                <w:sz w:val="18"/>
                <w:szCs w:val="18"/>
                <w:color w:val="auto"/>
              </w:rPr>
            </w:pPr>
          </w:p>
        </w:tc>
        <w:tc>
          <w:tcPr>
            <w:tcW w:w="1140" w:type="dxa"/>
            <w:vAlign w:val="bottom"/>
            <w:tcBorders>
              <w:bottom w:val="single" w:sz="8" w:color="auto"/>
            </w:tcBorders>
            <w:shd w:val="clear" w:color="auto" w:fill="E5FFFF"/>
          </w:tcPr>
          <w:p>
            <w:pPr>
              <w:jc w:val="right"/>
              <w:ind w:right="34"/>
              <w:spacing w:after="0"/>
              <w:rPr>
                <w:sz w:val="20"/>
                <w:szCs w:val="20"/>
                <w:color w:val="auto"/>
              </w:rPr>
            </w:pPr>
            <w:r>
              <w:rPr>
                <w:rFonts w:ascii="Arial" w:cs="Arial" w:eastAsia="Arial" w:hAnsi="Arial"/>
                <w:sz w:val="18"/>
                <w:szCs w:val="18"/>
                <w:color w:val="auto"/>
              </w:rPr>
              <w:t>2,790</w:t>
            </w:r>
          </w:p>
        </w:tc>
        <w:tc>
          <w:tcPr>
            <w:tcW w:w="320" w:type="dxa"/>
            <w:vAlign w:val="bottom"/>
            <w:shd w:val="clear" w:color="auto" w:fill="E5FFFF"/>
          </w:tcPr>
          <w:p>
            <w:pPr>
              <w:spacing w:after="0"/>
              <w:rPr>
                <w:sz w:val="18"/>
                <w:szCs w:val="18"/>
                <w:color w:val="auto"/>
              </w:rPr>
            </w:pPr>
          </w:p>
        </w:tc>
        <w:tc>
          <w:tcPr>
            <w:tcW w:w="160" w:type="dxa"/>
            <w:vAlign w:val="bottom"/>
            <w:tcBorders>
              <w:bottom w:val="single" w:sz="8" w:color="auto"/>
            </w:tcBorders>
            <w:shd w:val="clear" w:color="auto" w:fill="E5FFFF"/>
          </w:tcPr>
          <w:p>
            <w:pPr>
              <w:spacing w:after="0"/>
              <w:rPr>
                <w:sz w:val="18"/>
                <w:szCs w:val="18"/>
                <w:color w:val="auto"/>
              </w:rPr>
            </w:pPr>
          </w:p>
        </w:tc>
        <w:tc>
          <w:tcPr>
            <w:tcW w:w="1200" w:type="dxa"/>
            <w:vAlign w:val="bottom"/>
            <w:tcBorders>
              <w:bottom w:val="single" w:sz="8" w:color="auto"/>
            </w:tcBorders>
            <w:shd w:val="clear" w:color="auto" w:fill="E5FFFF"/>
          </w:tcPr>
          <w:p>
            <w:pPr>
              <w:jc w:val="right"/>
              <w:ind w:right="14"/>
              <w:spacing w:after="0"/>
              <w:rPr>
                <w:sz w:val="20"/>
                <w:szCs w:val="20"/>
                <w:color w:val="auto"/>
              </w:rPr>
            </w:pPr>
            <w:r>
              <w:rPr>
                <w:rFonts w:ascii="Arial" w:cs="Arial" w:eastAsia="Arial" w:hAnsi="Arial"/>
                <w:sz w:val="18"/>
                <w:szCs w:val="18"/>
                <w:color w:val="auto"/>
              </w:rPr>
              <w:t>2,669</w:t>
            </w:r>
          </w:p>
        </w:tc>
        <w:tc>
          <w:tcPr>
            <w:tcW w:w="0" w:type="dxa"/>
            <w:vAlign w:val="bottom"/>
          </w:tcPr>
          <w:p>
            <w:pPr>
              <w:spacing w:after="0"/>
              <w:rPr>
                <w:sz w:val="1"/>
                <w:szCs w:val="1"/>
                <w:color w:val="auto"/>
              </w:rPr>
            </w:pPr>
          </w:p>
        </w:tc>
      </w:tr>
      <w:tr>
        <w:trPr>
          <w:trHeight w:val="196"/>
        </w:trPr>
        <w:tc>
          <w:tcPr>
            <w:tcW w:w="3980" w:type="dxa"/>
            <w:vAlign w:val="bottom"/>
          </w:tcPr>
          <w:p>
            <w:pPr>
              <w:spacing w:after="0"/>
              <w:rPr>
                <w:sz w:val="17"/>
                <w:szCs w:val="17"/>
                <w:color w:val="auto"/>
              </w:rPr>
            </w:pPr>
          </w:p>
        </w:tc>
        <w:tc>
          <w:tcPr>
            <w:tcW w:w="4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jc w:val="right"/>
              <w:ind w:right="34"/>
              <w:spacing w:after="0" w:line="196" w:lineRule="exact"/>
              <w:rPr>
                <w:sz w:val="20"/>
                <w:szCs w:val="20"/>
                <w:color w:val="auto"/>
              </w:rPr>
            </w:pPr>
            <w:r>
              <w:rPr>
                <w:rFonts w:ascii="Arial" w:cs="Arial" w:eastAsia="Arial" w:hAnsi="Arial"/>
                <w:sz w:val="18"/>
                <w:szCs w:val="18"/>
                <w:color w:val="auto"/>
              </w:rPr>
              <w:t>4,829</w:t>
            </w: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ind w:right="14"/>
              <w:spacing w:after="0" w:line="196" w:lineRule="exact"/>
              <w:rPr>
                <w:sz w:val="20"/>
                <w:szCs w:val="20"/>
                <w:color w:val="auto"/>
              </w:rPr>
            </w:pPr>
            <w:r>
              <w:rPr>
                <w:rFonts w:ascii="Arial" w:cs="Arial" w:eastAsia="Arial" w:hAnsi="Arial"/>
                <w:sz w:val="18"/>
                <w:szCs w:val="18"/>
                <w:color w:val="auto"/>
              </w:rPr>
              <w:t>4,652</w:t>
            </w:r>
          </w:p>
        </w:tc>
        <w:tc>
          <w:tcPr>
            <w:tcW w:w="0" w:type="dxa"/>
            <w:vAlign w:val="bottom"/>
          </w:tcPr>
          <w:p>
            <w:pPr>
              <w:spacing w:after="0"/>
              <w:rPr>
                <w:sz w:val="1"/>
                <w:szCs w:val="1"/>
                <w:color w:val="auto"/>
              </w:rPr>
            </w:pPr>
          </w:p>
        </w:tc>
      </w:tr>
      <w:tr>
        <w:trPr>
          <w:trHeight w:val="216"/>
        </w:trPr>
        <w:tc>
          <w:tcPr>
            <w:tcW w:w="3980" w:type="dxa"/>
            <w:vAlign w:val="bottom"/>
            <w:shd w:val="clear" w:color="auto" w:fill="E5FFFF"/>
          </w:tcPr>
          <w:p>
            <w:pPr>
              <w:ind w:left="40"/>
              <w:spacing w:after="0"/>
              <w:rPr>
                <w:sz w:val="20"/>
                <w:szCs w:val="20"/>
                <w:color w:val="auto"/>
              </w:rPr>
            </w:pPr>
            <w:r>
              <w:rPr>
                <w:rFonts w:ascii="Arial" w:cs="Arial" w:eastAsia="Arial" w:hAnsi="Arial"/>
                <w:sz w:val="18"/>
                <w:szCs w:val="18"/>
                <w:color w:val="auto"/>
              </w:rPr>
              <w:t>Reduction to LIFO cost basis</w:t>
            </w:r>
          </w:p>
        </w:tc>
        <w:tc>
          <w:tcPr>
            <w:tcW w:w="4380" w:type="dxa"/>
            <w:vAlign w:val="bottom"/>
            <w:shd w:val="clear" w:color="auto" w:fill="E5FFFF"/>
          </w:tcPr>
          <w:p>
            <w:pPr>
              <w:spacing w:after="0"/>
              <w:rPr>
                <w:sz w:val="18"/>
                <w:szCs w:val="18"/>
                <w:color w:val="auto"/>
              </w:rPr>
            </w:pPr>
          </w:p>
        </w:tc>
        <w:tc>
          <w:tcPr>
            <w:tcW w:w="240" w:type="dxa"/>
            <w:vAlign w:val="bottom"/>
            <w:tcBorders>
              <w:bottom w:val="single" w:sz="8" w:color="auto"/>
            </w:tcBorders>
            <w:shd w:val="clear" w:color="auto" w:fill="E5FFFF"/>
          </w:tcPr>
          <w:p>
            <w:pPr>
              <w:spacing w:after="0"/>
              <w:rPr>
                <w:sz w:val="18"/>
                <w:szCs w:val="18"/>
                <w:color w:val="auto"/>
              </w:rPr>
            </w:pPr>
          </w:p>
        </w:tc>
        <w:tc>
          <w:tcPr>
            <w:tcW w:w="11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(37)</w:t>
            </w:r>
          </w:p>
        </w:tc>
        <w:tc>
          <w:tcPr>
            <w:tcW w:w="320" w:type="dxa"/>
            <w:vAlign w:val="bottom"/>
            <w:shd w:val="clear" w:color="auto" w:fill="E5FFFF"/>
          </w:tcPr>
          <w:p>
            <w:pPr>
              <w:spacing w:after="0"/>
              <w:rPr>
                <w:sz w:val="18"/>
                <w:szCs w:val="18"/>
                <w:color w:val="auto"/>
              </w:rPr>
            </w:pPr>
          </w:p>
        </w:tc>
        <w:tc>
          <w:tcPr>
            <w:tcW w:w="160" w:type="dxa"/>
            <w:vAlign w:val="bottom"/>
            <w:tcBorders>
              <w:bottom w:val="single" w:sz="8" w:color="auto"/>
            </w:tcBorders>
            <w:shd w:val="clear" w:color="auto" w:fill="E5FFFF"/>
          </w:tcPr>
          <w:p>
            <w:pPr>
              <w:spacing w:after="0"/>
              <w:rPr>
                <w:sz w:val="18"/>
                <w:szCs w:val="18"/>
                <w:color w:val="auto"/>
              </w:rPr>
            </w:pPr>
          </w:p>
        </w:tc>
        <w:tc>
          <w:tcPr>
            <w:tcW w:w="12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196"/>
        </w:trPr>
        <w:tc>
          <w:tcPr>
            <w:tcW w:w="3980" w:type="dxa"/>
            <w:vAlign w:val="bottom"/>
          </w:tcPr>
          <w:p>
            <w:pPr>
              <w:spacing w:after="0"/>
              <w:rPr>
                <w:sz w:val="17"/>
                <w:szCs w:val="17"/>
                <w:color w:val="auto"/>
              </w:rPr>
            </w:pPr>
          </w:p>
        </w:tc>
        <w:tc>
          <w:tcPr>
            <w:tcW w:w="4380" w:type="dxa"/>
            <w:vAlign w:val="bottom"/>
          </w:tcPr>
          <w:p>
            <w:pPr>
              <w:spacing w:after="0"/>
              <w:rPr>
                <w:sz w:val="17"/>
                <w:szCs w:val="17"/>
                <w:color w:val="auto"/>
              </w:rPr>
            </w:pPr>
          </w:p>
        </w:tc>
        <w:tc>
          <w:tcPr>
            <w:tcW w:w="24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ind w:right="34"/>
              <w:spacing w:after="0" w:line="196" w:lineRule="exact"/>
              <w:rPr>
                <w:sz w:val="20"/>
                <w:szCs w:val="20"/>
                <w:color w:val="auto"/>
              </w:rPr>
            </w:pPr>
            <w:r>
              <w:rPr>
                <w:rFonts w:ascii="Arial" w:cs="Arial" w:eastAsia="Arial" w:hAnsi="Arial"/>
                <w:sz w:val="18"/>
                <w:szCs w:val="18"/>
                <w:color w:val="auto"/>
              </w:rPr>
              <w:t>4,792</w:t>
            </w:r>
          </w:p>
        </w:tc>
        <w:tc>
          <w:tcPr>
            <w:tcW w:w="320" w:type="dxa"/>
            <w:vAlign w:val="bottom"/>
          </w:tcPr>
          <w:p>
            <w:pPr>
              <w:spacing w:after="0"/>
              <w:rPr>
                <w:sz w:val="17"/>
                <w:szCs w:val="17"/>
                <w:color w:val="auto"/>
              </w:rPr>
            </w:pPr>
          </w:p>
        </w:tc>
        <w:tc>
          <w:tcPr>
            <w:tcW w:w="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ind w:right="14"/>
              <w:spacing w:after="0" w:line="196" w:lineRule="exact"/>
              <w:rPr>
                <w:sz w:val="20"/>
                <w:szCs w:val="20"/>
                <w:color w:val="auto"/>
              </w:rPr>
            </w:pPr>
            <w:r>
              <w:rPr>
                <w:rFonts w:ascii="Arial" w:cs="Arial" w:eastAsia="Arial" w:hAnsi="Arial"/>
                <w:sz w:val="18"/>
                <w:szCs w:val="18"/>
                <w:color w:val="auto"/>
              </w:rPr>
              <w:t>4,613</w:t>
            </w: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4380" w:type="dxa"/>
            <w:vAlign w:val="bottom"/>
            <w:vMerge w:val="restart"/>
          </w:tcPr>
          <w:p>
            <w:pPr>
              <w:jc w:val="right"/>
              <w:ind w:right="2450"/>
              <w:spacing w:after="0"/>
              <w:rPr>
                <w:sz w:val="20"/>
                <w:szCs w:val="20"/>
                <w:color w:val="auto"/>
              </w:rPr>
            </w:pPr>
            <w:r>
              <w:rPr>
                <w:rFonts w:ascii="Arial" w:cs="Arial" w:eastAsia="Arial" w:hAnsi="Arial"/>
                <w:sz w:val="18"/>
                <w:szCs w:val="18"/>
                <w:color w:val="auto"/>
              </w:rPr>
              <w:t>17</w:t>
            </w: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3980" w:type="dxa"/>
            <w:vAlign w:val="bottom"/>
          </w:tcPr>
          <w:p>
            <w:pPr>
              <w:spacing w:after="0"/>
              <w:rPr>
                <w:sz w:val="24"/>
                <w:szCs w:val="24"/>
                <w:color w:val="auto"/>
              </w:rPr>
            </w:pPr>
          </w:p>
        </w:tc>
        <w:tc>
          <w:tcPr>
            <w:tcW w:w="43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980" w:type="dxa"/>
            <w:vAlign w:val="bottom"/>
            <w:tcBorders>
              <w:bottom w:val="single" w:sz="8" w:color="C0C0C0"/>
            </w:tcBorders>
          </w:tcPr>
          <w:p>
            <w:pPr>
              <w:spacing w:after="0"/>
              <w:rPr>
                <w:sz w:val="20"/>
                <w:szCs w:val="20"/>
                <w:color w:val="auto"/>
              </w:rPr>
            </w:pPr>
          </w:p>
        </w:tc>
        <w:tc>
          <w:tcPr>
            <w:tcW w:w="4380" w:type="dxa"/>
            <w:vAlign w:val="bottom"/>
            <w:tcBorders>
              <w:bottom w:val="single" w:sz="8" w:color="C0C0C0"/>
            </w:tcBorders>
          </w:tcPr>
          <w:p>
            <w:pPr>
              <w:spacing w:after="0"/>
              <w:rPr>
                <w:sz w:val="20"/>
                <w:szCs w:val="20"/>
                <w:color w:val="auto"/>
              </w:rPr>
            </w:pPr>
          </w:p>
        </w:tc>
        <w:tc>
          <w:tcPr>
            <w:tcW w:w="240" w:type="dxa"/>
            <w:vAlign w:val="bottom"/>
            <w:tcBorders>
              <w:bottom w:val="single" w:sz="8" w:color="C0C0C0"/>
            </w:tcBorders>
          </w:tcPr>
          <w:p>
            <w:pPr>
              <w:spacing w:after="0"/>
              <w:rPr>
                <w:sz w:val="20"/>
                <w:szCs w:val="20"/>
                <w:color w:val="auto"/>
              </w:rPr>
            </w:pPr>
          </w:p>
        </w:tc>
        <w:tc>
          <w:tcPr>
            <w:tcW w:w="1140" w:type="dxa"/>
            <w:vAlign w:val="bottom"/>
            <w:tcBorders>
              <w:bottom w:val="single" w:sz="8" w:color="C0C0C0"/>
            </w:tcBorders>
          </w:tcPr>
          <w:p>
            <w:pPr>
              <w:spacing w:after="0"/>
              <w:rPr>
                <w:sz w:val="20"/>
                <w:szCs w:val="20"/>
                <w:color w:val="auto"/>
              </w:rPr>
            </w:pPr>
          </w:p>
        </w:tc>
        <w:tc>
          <w:tcPr>
            <w:tcW w:w="320" w:type="dxa"/>
            <w:vAlign w:val="bottom"/>
            <w:tcBorders>
              <w:bottom w:val="single" w:sz="8" w:color="C0C0C0"/>
            </w:tcBorders>
          </w:tcPr>
          <w:p>
            <w:pPr>
              <w:spacing w:after="0"/>
              <w:rPr>
                <w:sz w:val="20"/>
                <w:szCs w:val="20"/>
                <w:color w:val="auto"/>
              </w:rPr>
            </w:pPr>
          </w:p>
        </w:tc>
        <w:tc>
          <w:tcPr>
            <w:tcW w:w="160" w:type="dxa"/>
            <w:vAlign w:val="bottom"/>
            <w:tcBorders>
              <w:bottom w:val="single" w:sz="8" w:color="C0C0C0"/>
            </w:tcBorders>
          </w:tcPr>
          <w:p>
            <w:pPr>
              <w:spacing w:after="0"/>
              <w:rPr>
                <w:sz w:val="20"/>
                <w:szCs w:val="20"/>
                <w:color w:val="auto"/>
              </w:rPr>
            </w:pPr>
          </w:p>
        </w:tc>
        <w:tc>
          <w:tcPr>
            <w:tcW w:w="1200" w:type="dxa"/>
            <w:vAlign w:val="bottom"/>
            <w:tcBorders>
              <w:bottom w:val="single" w:sz="8" w:color="C0C0C0"/>
            </w:tcBorders>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96" w:right="2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Honeywell International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jc w:val="center"/>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Long-term Debt and Credit Agreements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0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jc w:val="right"/>
              <w:ind w:right="311"/>
              <w:spacing w:after="0"/>
              <w:rPr>
                <w:sz w:val="20"/>
                <w:szCs w:val="20"/>
                <w:color w:val="auto"/>
              </w:rPr>
            </w:pPr>
            <w:r>
              <w:rPr>
                <w:rFonts w:ascii="Arial" w:cs="Arial" w:eastAsia="Arial" w:hAnsi="Arial"/>
                <w:sz w:val="14"/>
                <w:szCs w:val="14"/>
                <w:b w:val="1"/>
                <w:bCs w:val="1"/>
                <w:color w:val="auto"/>
              </w:rPr>
              <w:t>June 30,</w:t>
            </w: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jc w:val="right"/>
              <w:ind w:right="111"/>
              <w:spacing w:after="0"/>
              <w:rPr>
                <w:sz w:val="20"/>
                <w:szCs w:val="20"/>
                <w:color w:val="auto"/>
              </w:rPr>
            </w:pPr>
            <w:r>
              <w:rPr>
                <w:rFonts w:ascii="Arial" w:cs="Arial" w:eastAsia="Arial" w:hAnsi="Arial"/>
                <w:sz w:val="14"/>
                <w:szCs w:val="14"/>
                <w:b w:val="1"/>
                <w:bCs w:val="1"/>
                <w:color w:val="auto"/>
              </w:rPr>
              <w:t>December 31,</w:t>
            </w:r>
          </w:p>
        </w:tc>
      </w:tr>
      <w:tr>
        <w:trPr>
          <w:trHeight w:val="175"/>
        </w:trPr>
        <w:tc>
          <w:tcPr>
            <w:tcW w:w="8040" w:type="dxa"/>
            <w:vAlign w:val="bottom"/>
            <w:tcBorders>
              <w:bottom w:val="single" w:sz="8" w:color="E5FFFF"/>
            </w:tcBorders>
          </w:tcPr>
          <w:p>
            <w:pPr>
              <w:spacing w:after="0"/>
              <w:rPr>
                <w:sz w:val="15"/>
                <w:szCs w:val="15"/>
                <w:color w:val="auto"/>
              </w:rPr>
            </w:pPr>
          </w:p>
        </w:tc>
        <w:tc>
          <w:tcPr>
            <w:tcW w:w="320" w:type="dxa"/>
            <w:vAlign w:val="bottom"/>
            <w:tcBorders>
              <w:bottom w:val="single" w:sz="8" w:color="E5FF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2018</w:t>
            </w:r>
          </w:p>
        </w:tc>
        <w:tc>
          <w:tcPr>
            <w:tcW w:w="320" w:type="dxa"/>
            <w:vAlign w:val="bottom"/>
            <w:tcBorders>
              <w:bottom w:val="single" w:sz="8" w:color="E5FF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2017</w:t>
            </w:r>
          </w:p>
        </w:tc>
      </w:tr>
      <w:tr>
        <w:trPr>
          <w:trHeight w:val="196"/>
        </w:trPr>
        <w:tc>
          <w:tcPr>
            <w:tcW w:w="8040" w:type="dxa"/>
            <w:vAlign w:val="bottom"/>
            <w:shd w:val="clear" w:color="auto" w:fill="E5FFFF"/>
          </w:tcPr>
          <w:p>
            <w:pPr>
              <w:spacing w:after="0" w:line="196" w:lineRule="exact"/>
              <w:rPr>
                <w:sz w:val="20"/>
                <w:szCs w:val="20"/>
                <w:color w:val="auto"/>
              </w:rPr>
            </w:pPr>
            <w:r>
              <w:rPr>
                <w:rFonts w:ascii="Arial" w:cs="Arial" w:eastAsia="Arial" w:hAnsi="Arial"/>
                <w:sz w:val="18"/>
                <w:szCs w:val="18"/>
                <w:color w:val="auto"/>
              </w:rPr>
              <w:t>Two year floating rate Euro notes due 2018</w:t>
            </w:r>
          </w:p>
        </w:tc>
        <w:tc>
          <w:tcPr>
            <w:tcW w:w="320" w:type="dxa"/>
            <w:vAlign w:val="bottom"/>
            <w:shd w:val="clear" w:color="auto" w:fill="E5FFFF"/>
          </w:tcPr>
          <w:p>
            <w:pPr>
              <w:spacing w:after="0"/>
              <w:rPr>
                <w:sz w:val="17"/>
                <w:szCs w:val="17"/>
                <w:color w:val="auto"/>
              </w:rPr>
            </w:pPr>
          </w:p>
        </w:tc>
        <w:tc>
          <w:tcPr>
            <w:tcW w:w="240" w:type="dxa"/>
            <w:vAlign w:val="bottom"/>
            <w:shd w:val="clear" w:color="auto" w:fill="E5FF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shd w:val="clear" w:color="auto" w:fill="E5FFFF"/>
          </w:tcPr>
          <w:p>
            <w:pPr>
              <w:jc w:val="right"/>
              <w:ind w:right="31"/>
              <w:spacing w:after="0" w:line="196" w:lineRule="exact"/>
              <w:rPr>
                <w:sz w:val="20"/>
                <w:szCs w:val="20"/>
                <w:color w:val="auto"/>
              </w:rPr>
            </w:pPr>
            <w:r>
              <w:rPr>
                <w:rFonts w:ascii="Arial" w:cs="Arial" w:eastAsia="Arial" w:hAnsi="Arial"/>
                <w:sz w:val="18"/>
                <w:szCs w:val="18"/>
                <w:color w:val="auto"/>
              </w:rPr>
              <w:t>-</w:t>
            </w:r>
          </w:p>
        </w:tc>
        <w:tc>
          <w:tcPr>
            <w:tcW w:w="320" w:type="dxa"/>
            <w:vAlign w:val="bottom"/>
            <w:shd w:val="clear" w:color="auto" w:fill="E5FFFF"/>
          </w:tcPr>
          <w:p>
            <w:pPr>
              <w:spacing w:after="0"/>
              <w:rPr>
                <w:sz w:val="17"/>
                <w:szCs w:val="17"/>
                <w:color w:val="auto"/>
              </w:rPr>
            </w:pPr>
          </w:p>
        </w:tc>
        <w:tc>
          <w:tcPr>
            <w:tcW w:w="160" w:type="dxa"/>
            <w:vAlign w:val="bottom"/>
            <w:shd w:val="clear" w:color="auto" w:fill="E5FFFF"/>
          </w:tcPr>
          <w:p>
            <w:pPr>
              <w:jc w:val="right"/>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shd w:val="clear" w:color="auto" w:fill="E5FFFF"/>
          </w:tcPr>
          <w:p>
            <w:pPr>
              <w:jc w:val="right"/>
              <w:ind w:right="11"/>
              <w:spacing w:after="0" w:line="196" w:lineRule="exact"/>
              <w:rPr>
                <w:sz w:val="20"/>
                <w:szCs w:val="20"/>
                <w:color w:val="auto"/>
              </w:rPr>
            </w:pPr>
            <w:r>
              <w:rPr>
                <w:rFonts w:ascii="Arial" w:cs="Arial" w:eastAsia="Arial" w:hAnsi="Arial"/>
                <w:sz w:val="18"/>
                <w:szCs w:val="18"/>
                <w:color w:val="auto"/>
              </w:rPr>
              <w:t>1,199</w:t>
            </w:r>
          </w:p>
        </w:tc>
      </w:tr>
      <w:tr>
        <w:trPr>
          <w:trHeight w:val="203"/>
        </w:trPr>
        <w:tc>
          <w:tcPr>
            <w:tcW w:w="8040" w:type="dxa"/>
            <w:vAlign w:val="bottom"/>
          </w:tcPr>
          <w:p>
            <w:pPr>
              <w:spacing w:after="0" w:line="202" w:lineRule="exact"/>
              <w:rPr>
                <w:sz w:val="20"/>
                <w:szCs w:val="20"/>
                <w:color w:val="auto"/>
              </w:rPr>
            </w:pPr>
            <w:r>
              <w:rPr>
                <w:rFonts w:ascii="Arial" w:cs="Arial" w:eastAsia="Arial" w:hAnsi="Arial"/>
                <w:sz w:val="18"/>
                <w:szCs w:val="18"/>
                <w:color w:val="auto"/>
              </w:rPr>
              <w:t>1.40% notes due 2019</w:t>
            </w: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jc w:val="right"/>
              <w:ind w:right="31"/>
              <w:spacing w:after="0" w:line="202" w:lineRule="exact"/>
              <w:rPr>
                <w:sz w:val="20"/>
                <w:szCs w:val="20"/>
                <w:color w:val="auto"/>
              </w:rPr>
            </w:pPr>
            <w:r>
              <w:rPr>
                <w:rFonts w:ascii="Arial" w:cs="Arial" w:eastAsia="Arial" w:hAnsi="Arial"/>
                <w:sz w:val="18"/>
                <w:szCs w:val="18"/>
                <w:color w:val="auto"/>
              </w:rPr>
              <w:t>1,250</w:t>
            </w: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ind w:right="11"/>
              <w:spacing w:after="0" w:line="202" w:lineRule="exact"/>
              <w:rPr>
                <w:sz w:val="20"/>
                <w:szCs w:val="20"/>
                <w:color w:val="auto"/>
              </w:rPr>
            </w:pPr>
            <w:r>
              <w:rPr>
                <w:rFonts w:ascii="Arial" w:cs="Arial" w:eastAsia="Arial" w:hAnsi="Arial"/>
                <w:sz w:val="18"/>
                <w:szCs w:val="18"/>
                <w:color w:val="auto"/>
              </w:rPr>
              <w:t>1,250</w:t>
            </w:r>
          </w:p>
        </w:tc>
      </w:tr>
      <w:tr>
        <w:trPr>
          <w:trHeight w:val="203"/>
        </w:trPr>
        <w:tc>
          <w:tcPr>
            <w:tcW w:w="804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Three year floating rate notes due 2019</w:t>
            </w:r>
          </w:p>
        </w:tc>
        <w:tc>
          <w:tcPr>
            <w:tcW w:w="32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1140" w:type="dxa"/>
            <w:vAlign w:val="bottom"/>
            <w:shd w:val="clear" w:color="auto" w:fill="E5FFFF"/>
          </w:tcPr>
          <w:p>
            <w:pPr>
              <w:jc w:val="right"/>
              <w:ind w:right="31"/>
              <w:spacing w:after="0" w:line="202" w:lineRule="exact"/>
              <w:rPr>
                <w:sz w:val="20"/>
                <w:szCs w:val="20"/>
                <w:color w:val="auto"/>
              </w:rPr>
            </w:pPr>
            <w:r>
              <w:rPr>
                <w:rFonts w:ascii="Arial" w:cs="Arial" w:eastAsia="Arial" w:hAnsi="Arial"/>
                <w:sz w:val="18"/>
                <w:szCs w:val="18"/>
                <w:color w:val="auto"/>
              </w:rPr>
              <w:t>250</w:t>
            </w:r>
          </w:p>
        </w:tc>
        <w:tc>
          <w:tcPr>
            <w:tcW w:w="32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120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250</w:t>
            </w:r>
          </w:p>
        </w:tc>
      </w:tr>
      <w:tr>
        <w:trPr>
          <w:trHeight w:val="203"/>
        </w:trPr>
        <w:tc>
          <w:tcPr>
            <w:tcW w:w="8040" w:type="dxa"/>
            <w:vAlign w:val="bottom"/>
          </w:tcPr>
          <w:p>
            <w:pPr>
              <w:spacing w:after="0" w:line="202" w:lineRule="exact"/>
              <w:rPr>
                <w:sz w:val="20"/>
                <w:szCs w:val="20"/>
                <w:color w:val="auto"/>
              </w:rPr>
            </w:pPr>
            <w:r>
              <w:rPr>
                <w:rFonts w:ascii="Arial" w:cs="Arial" w:eastAsia="Arial" w:hAnsi="Arial"/>
                <w:sz w:val="18"/>
                <w:szCs w:val="18"/>
                <w:color w:val="auto"/>
              </w:rPr>
              <w:t>Two year floating rate notes due 2019</w:t>
            </w: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jc w:val="right"/>
              <w:ind w:right="31"/>
              <w:spacing w:after="0" w:line="202" w:lineRule="exact"/>
              <w:rPr>
                <w:sz w:val="20"/>
                <w:szCs w:val="20"/>
                <w:color w:val="auto"/>
              </w:rPr>
            </w:pPr>
            <w:r>
              <w:rPr>
                <w:rFonts w:ascii="Arial" w:cs="Arial" w:eastAsia="Arial" w:hAnsi="Arial"/>
                <w:sz w:val="18"/>
                <w:szCs w:val="18"/>
                <w:color w:val="auto"/>
              </w:rPr>
              <w:t>450</w:t>
            </w: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ind w:right="11"/>
              <w:spacing w:after="0" w:line="202" w:lineRule="exact"/>
              <w:rPr>
                <w:sz w:val="20"/>
                <w:szCs w:val="20"/>
                <w:color w:val="auto"/>
              </w:rPr>
            </w:pPr>
            <w:r>
              <w:rPr>
                <w:rFonts w:ascii="Arial" w:cs="Arial" w:eastAsia="Arial" w:hAnsi="Arial"/>
                <w:sz w:val="18"/>
                <w:szCs w:val="18"/>
                <w:color w:val="auto"/>
              </w:rPr>
              <w:t>450</w:t>
            </w:r>
          </w:p>
        </w:tc>
      </w:tr>
      <w:tr>
        <w:trPr>
          <w:trHeight w:val="203"/>
        </w:trPr>
        <w:tc>
          <w:tcPr>
            <w:tcW w:w="804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1.80% notes due 2019</w:t>
            </w:r>
          </w:p>
        </w:tc>
        <w:tc>
          <w:tcPr>
            <w:tcW w:w="32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1140" w:type="dxa"/>
            <w:vAlign w:val="bottom"/>
            <w:shd w:val="clear" w:color="auto" w:fill="E5FFFF"/>
          </w:tcPr>
          <w:p>
            <w:pPr>
              <w:jc w:val="right"/>
              <w:ind w:right="31"/>
              <w:spacing w:after="0" w:line="202" w:lineRule="exact"/>
              <w:rPr>
                <w:sz w:val="20"/>
                <w:szCs w:val="20"/>
                <w:color w:val="auto"/>
              </w:rPr>
            </w:pPr>
            <w:r>
              <w:rPr>
                <w:rFonts w:ascii="Arial" w:cs="Arial" w:eastAsia="Arial" w:hAnsi="Arial"/>
                <w:sz w:val="18"/>
                <w:szCs w:val="18"/>
                <w:color w:val="auto"/>
              </w:rPr>
              <w:t>750</w:t>
            </w:r>
          </w:p>
        </w:tc>
        <w:tc>
          <w:tcPr>
            <w:tcW w:w="32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120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750</w:t>
            </w:r>
          </w:p>
        </w:tc>
      </w:tr>
      <w:tr>
        <w:trPr>
          <w:trHeight w:val="203"/>
        </w:trPr>
        <w:tc>
          <w:tcPr>
            <w:tcW w:w="8040" w:type="dxa"/>
            <w:vAlign w:val="bottom"/>
          </w:tcPr>
          <w:p>
            <w:pPr>
              <w:spacing w:after="0" w:line="202" w:lineRule="exact"/>
              <w:rPr>
                <w:sz w:val="20"/>
                <w:szCs w:val="20"/>
                <w:color w:val="auto"/>
              </w:rPr>
            </w:pPr>
            <w:r>
              <w:rPr>
                <w:rFonts w:ascii="Arial" w:cs="Arial" w:eastAsia="Arial" w:hAnsi="Arial"/>
                <w:sz w:val="18"/>
                <w:szCs w:val="18"/>
                <w:color w:val="auto"/>
              </w:rPr>
              <w:t>0.65% Euro notes due 2020</w:t>
            </w: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jc w:val="right"/>
              <w:ind w:right="31"/>
              <w:spacing w:after="0" w:line="202" w:lineRule="exact"/>
              <w:rPr>
                <w:sz w:val="20"/>
                <w:szCs w:val="20"/>
                <w:color w:val="auto"/>
              </w:rPr>
            </w:pPr>
            <w:r>
              <w:rPr>
                <w:rFonts w:ascii="Arial" w:cs="Arial" w:eastAsia="Arial" w:hAnsi="Arial"/>
                <w:sz w:val="18"/>
                <w:szCs w:val="18"/>
                <w:color w:val="auto"/>
              </w:rPr>
              <w:t>1,165</w:t>
            </w: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ind w:right="11"/>
              <w:spacing w:after="0" w:line="202" w:lineRule="exact"/>
              <w:rPr>
                <w:sz w:val="20"/>
                <w:szCs w:val="20"/>
                <w:color w:val="auto"/>
              </w:rPr>
            </w:pPr>
            <w:r>
              <w:rPr>
                <w:rFonts w:ascii="Arial" w:cs="Arial" w:eastAsia="Arial" w:hAnsi="Arial"/>
                <w:sz w:val="18"/>
                <w:szCs w:val="18"/>
                <w:color w:val="auto"/>
              </w:rPr>
              <w:t>1,199</w:t>
            </w:r>
          </w:p>
        </w:tc>
      </w:tr>
      <w:tr>
        <w:trPr>
          <w:trHeight w:val="203"/>
        </w:trPr>
        <w:tc>
          <w:tcPr>
            <w:tcW w:w="804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4.25% notes due 2021</w:t>
            </w:r>
          </w:p>
        </w:tc>
        <w:tc>
          <w:tcPr>
            <w:tcW w:w="32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1140" w:type="dxa"/>
            <w:vAlign w:val="bottom"/>
            <w:shd w:val="clear" w:color="auto" w:fill="E5FFFF"/>
          </w:tcPr>
          <w:p>
            <w:pPr>
              <w:jc w:val="right"/>
              <w:ind w:right="31"/>
              <w:spacing w:after="0" w:line="202" w:lineRule="exact"/>
              <w:rPr>
                <w:sz w:val="20"/>
                <w:szCs w:val="20"/>
                <w:color w:val="auto"/>
              </w:rPr>
            </w:pPr>
            <w:r>
              <w:rPr>
                <w:rFonts w:ascii="Arial" w:cs="Arial" w:eastAsia="Arial" w:hAnsi="Arial"/>
                <w:sz w:val="18"/>
                <w:szCs w:val="18"/>
                <w:color w:val="auto"/>
              </w:rPr>
              <w:t>800</w:t>
            </w:r>
          </w:p>
        </w:tc>
        <w:tc>
          <w:tcPr>
            <w:tcW w:w="32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120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800</w:t>
            </w:r>
          </w:p>
        </w:tc>
      </w:tr>
      <w:tr>
        <w:trPr>
          <w:trHeight w:val="203"/>
        </w:trPr>
        <w:tc>
          <w:tcPr>
            <w:tcW w:w="8040" w:type="dxa"/>
            <w:vAlign w:val="bottom"/>
          </w:tcPr>
          <w:p>
            <w:pPr>
              <w:spacing w:after="0" w:line="202" w:lineRule="exact"/>
              <w:rPr>
                <w:sz w:val="20"/>
                <w:szCs w:val="20"/>
                <w:color w:val="auto"/>
              </w:rPr>
            </w:pPr>
            <w:r>
              <w:rPr>
                <w:rFonts w:ascii="Arial" w:cs="Arial" w:eastAsia="Arial" w:hAnsi="Arial"/>
                <w:sz w:val="18"/>
                <w:szCs w:val="18"/>
                <w:color w:val="auto"/>
              </w:rPr>
              <w:t>1.85% notes due 2021</w:t>
            </w: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jc w:val="right"/>
              <w:ind w:right="31"/>
              <w:spacing w:after="0" w:line="202" w:lineRule="exact"/>
              <w:rPr>
                <w:sz w:val="20"/>
                <w:szCs w:val="20"/>
                <w:color w:val="auto"/>
              </w:rPr>
            </w:pPr>
            <w:r>
              <w:rPr>
                <w:rFonts w:ascii="Arial" w:cs="Arial" w:eastAsia="Arial" w:hAnsi="Arial"/>
                <w:sz w:val="18"/>
                <w:szCs w:val="18"/>
                <w:color w:val="auto"/>
              </w:rPr>
              <w:t>1,500</w:t>
            </w: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ind w:right="11"/>
              <w:spacing w:after="0" w:line="202" w:lineRule="exact"/>
              <w:rPr>
                <w:sz w:val="20"/>
                <w:szCs w:val="20"/>
                <w:color w:val="auto"/>
              </w:rPr>
            </w:pPr>
            <w:r>
              <w:rPr>
                <w:rFonts w:ascii="Arial" w:cs="Arial" w:eastAsia="Arial" w:hAnsi="Arial"/>
                <w:sz w:val="18"/>
                <w:szCs w:val="18"/>
                <w:color w:val="auto"/>
              </w:rPr>
              <w:t>1,500</w:t>
            </w:r>
          </w:p>
        </w:tc>
      </w:tr>
      <w:tr>
        <w:trPr>
          <w:trHeight w:val="203"/>
        </w:trPr>
        <w:tc>
          <w:tcPr>
            <w:tcW w:w="804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1.30% Euro notes due 2023</w:t>
            </w:r>
          </w:p>
        </w:tc>
        <w:tc>
          <w:tcPr>
            <w:tcW w:w="32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1140" w:type="dxa"/>
            <w:vAlign w:val="bottom"/>
            <w:shd w:val="clear" w:color="auto" w:fill="E5FFFF"/>
          </w:tcPr>
          <w:p>
            <w:pPr>
              <w:jc w:val="right"/>
              <w:ind w:right="31"/>
              <w:spacing w:after="0" w:line="202" w:lineRule="exact"/>
              <w:rPr>
                <w:sz w:val="20"/>
                <w:szCs w:val="20"/>
                <w:color w:val="auto"/>
              </w:rPr>
            </w:pPr>
            <w:r>
              <w:rPr>
                <w:rFonts w:ascii="Arial" w:cs="Arial" w:eastAsia="Arial" w:hAnsi="Arial"/>
                <w:sz w:val="18"/>
                <w:szCs w:val="18"/>
                <w:color w:val="auto"/>
              </w:rPr>
              <w:t>1,456</w:t>
            </w:r>
          </w:p>
        </w:tc>
        <w:tc>
          <w:tcPr>
            <w:tcW w:w="32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120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1,499</w:t>
            </w:r>
          </w:p>
        </w:tc>
      </w:tr>
      <w:tr>
        <w:trPr>
          <w:trHeight w:val="203"/>
        </w:trPr>
        <w:tc>
          <w:tcPr>
            <w:tcW w:w="8040" w:type="dxa"/>
            <w:vAlign w:val="bottom"/>
          </w:tcPr>
          <w:p>
            <w:pPr>
              <w:spacing w:after="0" w:line="202" w:lineRule="exact"/>
              <w:rPr>
                <w:sz w:val="20"/>
                <w:szCs w:val="20"/>
                <w:color w:val="auto"/>
              </w:rPr>
            </w:pPr>
            <w:r>
              <w:rPr>
                <w:rFonts w:ascii="Arial" w:cs="Arial" w:eastAsia="Arial" w:hAnsi="Arial"/>
                <w:sz w:val="18"/>
                <w:szCs w:val="18"/>
                <w:color w:val="auto"/>
              </w:rPr>
              <w:t>3.35% notes due 2023</w:t>
            </w: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jc w:val="right"/>
              <w:ind w:right="31"/>
              <w:spacing w:after="0" w:line="202" w:lineRule="exact"/>
              <w:rPr>
                <w:sz w:val="20"/>
                <w:szCs w:val="20"/>
                <w:color w:val="auto"/>
              </w:rPr>
            </w:pPr>
            <w:r>
              <w:rPr>
                <w:rFonts w:ascii="Arial" w:cs="Arial" w:eastAsia="Arial" w:hAnsi="Arial"/>
                <w:sz w:val="18"/>
                <w:szCs w:val="18"/>
                <w:color w:val="auto"/>
              </w:rPr>
              <w:t>300</w:t>
            </w: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ind w:right="11"/>
              <w:spacing w:after="0" w:line="202" w:lineRule="exact"/>
              <w:rPr>
                <w:sz w:val="20"/>
                <w:szCs w:val="20"/>
                <w:color w:val="auto"/>
              </w:rPr>
            </w:pPr>
            <w:r>
              <w:rPr>
                <w:rFonts w:ascii="Arial" w:cs="Arial" w:eastAsia="Arial" w:hAnsi="Arial"/>
                <w:sz w:val="18"/>
                <w:szCs w:val="18"/>
                <w:color w:val="auto"/>
              </w:rPr>
              <w:t>300</w:t>
            </w:r>
          </w:p>
        </w:tc>
      </w:tr>
      <w:tr>
        <w:trPr>
          <w:trHeight w:val="203"/>
        </w:trPr>
        <w:tc>
          <w:tcPr>
            <w:tcW w:w="804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2.50% notes due 2026</w:t>
            </w:r>
          </w:p>
        </w:tc>
        <w:tc>
          <w:tcPr>
            <w:tcW w:w="32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1140" w:type="dxa"/>
            <w:vAlign w:val="bottom"/>
            <w:shd w:val="clear" w:color="auto" w:fill="E5FFFF"/>
          </w:tcPr>
          <w:p>
            <w:pPr>
              <w:jc w:val="right"/>
              <w:ind w:right="31"/>
              <w:spacing w:after="0" w:line="202" w:lineRule="exact"/>
              <w:rPr>
                <w:sz w:val="20"/>
                <w:szCs w:val="20"/>
                <w:color w:val="auto"/>
              </w:rPr>
            </w:pPr>
            <w:r>
              <w:rPr>
                <w:rFonts w:ascii="Arial" w:cs="Arial" w:eastAsia="Arial" w:hAnsi="Arial"/>
                <w:sz w:val="18"/>
                <w:szCs w:val="18"/>
                <w:color w:val="auto"/>
              </w:rPr>
              <w:t>1,500</w:t>
            </w:r>
          </w:p>
        </w:tc>
        <w:tc>
          <w:tcPr>
            <w:tcW w:w="32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120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1,500</w:t>
            </w:r>
          </w:p>
        </w:tc>
      </w:tr>
      <w:tr>
        <w:trPr>
          <w:trHeight w:val="203"/>
        </w:trPr>
        <w:tc>
          <w:tcPr>
            <w:tcW w:w="8040" w:type="dxa"/>
            <w:vAlign w:val="bottom"/>
          </w:tcPr>
          <w:p>
            <w:pPr>
              <w:spacing w:after="0" w:line="202" w:lineRule="exact"/>
              <w:rPr>
                <w:sz w:val="20"/>
                <w:szCs w:val="20"/>
                <w:color w:val="auto"/>
              </w:rPr>
            </w:pPr>
            <w:r>
              <w:rPr>
                <w:rFonts w:ascii="Arial" w:cs="Arial" w:eastAsia="Arial" w:hAnsi="Arial"/>
                <w:sz w:val="18"/>
                <w:szCs w:val="18"/>
                <w:color w:val="auto"/>
              </w:rPr>
              <w:t>2.25% Euro notes due 2028</w:t>
            </w: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jc w:val="right"/>
              <w:ind w:right="31"/>
              <w:spacing w:after="0" w:line="202" w:lineRule="exact"/>
              <w:rPr>
                <w:sz w:val="20"/>
                <w:szCs w:val="20"/>
                <w:color w:val="auto"/>
              </w:rPr>
            </w:pPr>
            <w:r>
              <w:rPr>
                <w:rFonts w:ascii="Arial" w:cs="Arial" w:eastAsia="Arial" w:hAnsi="Arial"/>
                <w:sz w:val="18"/>
                <w:szCs w:val="18"/>
                <w:color w:val="auto"/>
              </w:rPr>
              <w:t>873</w:t>
            </w: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ind w:right="11"/>
              <w:spacing w:after="0" w:line="202" w:lineRule="exact"/>
              <w:rPr>
                <w:sz w:val="20"/>
                <w:szCs w:val="20"/>
                <w:color w:val="auto"/>
              </w:rPr>
            </w:pPr>
            <w:r>
              <w:rPr>
                <w:rFonts w:ascii="Arial" w:cs="Arial" w:eastAsia="Arial" w:hAnsi="Arial"/>
                <w:sz w:val="18"/>
                <w:szCs w:val="18"/>
                <w:color w:val="auto"/>
              </w:rPr>
              <w:t>900</w:t>
            </w:r>
          </w:p>
        </w:tc>
      </w:tr>
      <w:tr>
        <w:trPr>
          <w:trHeight w:val="203"/>
        </w:trPr>
        <w:tc>
          <w:tcPr>
            <w:tcW w:w="804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5.70% notes due 2036</w:t>
            </w:r>
          </w:p>
        </w:tc>
        <w:tc>
          <w:tcPr>
            <w:tcW w:w="32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1140" w:type="dxa"/>
            <w:vAlign w:val="bottom"/>
            <w:shd w:val="clear" w:color="auto" w:fill="E5FFFF"/>
          </w:tcPr>
          <w:p>
            <w:pPr>
              <w:jc w:val="right"/>
              <w:ind w:right="31"/>
              <w:spacing w:after="0" w:line="202" w:lineRule="exact"/>
              <w:rPr>
                <w:sz w:val="20"/>
                <w:szCs w:val="20"/>
                <w:color w:val="auto"/>
              </w:rPr>
            </w:pPr>
            <w:r>
              <w:rPr>
                <w:rFonts w:ascii="Arial" w:cs="Arial" w:eastAsia="Arial" w:hAnsi="Arial"/>
                <w:sz w:val="18"/>
                <w:szCs w:val="18"/>
                <w:color w:val="auto"/>
              </w:rPr>
              <w:t>441</w:t>
            </w:r>
          </w:p>
        </w:tc>
        <w:tc>
          <w:tcPr>
            <w:tcW w:w="32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120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441</w:t>
            </w:r>
          </w:p>
        </w:tc>
      </w:tr>
      <w:tr>
        <w:trPr>
          <w:trHeight w:val="203"/>
        </w:trPr>
        <w:tc>
          <w:tcPr>
            <w:tcW w:w="8040" w:type="dxa"/>
            <w:vAlign w:val="bottom"/>
          </w:tcPr>
          <w:p>
            <w:pPr>
              <w:spacing w:after="0" w:line="202" w:lineRule="exact"/>
              <w:rPr>
                <w:sz w:val="20"/>
                <w:szCs w:val="20"/>
                <w:color w:val="auto"/>
              </w:rPr>
            </w:pPr>
            <w:r>
              <w:rPr>
                <w:rFonts w:ascii="Arial" w:cs="Arial" w:eastAsia="Arial" w:hAnsi="Arial"/>
                <w:sz w:val="18"/>
                <w:szCs w:val="18"/>
                <w:color w:val="auto"/>
              </w:rPr>
              <w:t>5.70% notes due 2037</w:t>
            </w: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jc w:val="right"/>
              <w:ind w:right="31"/>
              <w:spacing w:after="0" w:line="202" w:lineRule="exact"/>
              <w:rPr>
                <w:sz w:val="20"/>
                <w:szCs w:val="20"/>
                <w:color w:val="auto"/>
              </w:rPr>
            </w:pPr>
            <w:r>
              <w:rPr>
                <w:rFonts w:ascii="Arial" w:cs="Arial" w:eastAsia="Arial" w:hAnsi="Arial"/>
                <w:sz w:val="18"/>
                <w:szCs w:val="18"/>
                <w:color w:val="auto"/>
              </w:rPr>
              <w:t>462</w:t>
            </w: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ind w:right="11"/>
              <w:spacing w:after="0" w:line="202" w:lineRule="exact"/>
              <w:rPr>
                <w:sz w:val="20"/>
                <w:szCs w:val="20"/>
                <w:color w:val="auto"/>
              </w:rPr>
            </w:pPr>
            <w:r>
              <w:rPr>
                <w:rFonts w:ascii="Arial" w:cs="Arial" w:eastAsia="Arial" w:hAnsi="Arial"/>
                <w:sz w:val="18"/>
                <w:szCs w:val="18"/>
                <w:color w:val="auto"/>
              </w:rPr>
              <w:t>462</w:t>
            </w:r>
          </w:p>
        </w:tc>
      </w:tr>
      <w:tr>
        <w:trPr>
          <w:trHeight w:val="203"/>
        </w:trPr>
        <w:tc>
          <w:tcPr>
            <w:tcW w:w="804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5.375% notes due 2041</w:t>
            </w:r>
          </w:p>
        </w:tc>
        <w:tc>
          <w:tcPr>
            <w:tcW w:w="32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1140" w:type="dxa"/>
            <w:vAlign w:val="bottom"/>
            <w:shd w:val="clear" w:color="auto" w:fill="E5FFFF"/>
          </w:tcPr>
          <w:p>
            <w:pPr>
              <w:jc w:val="right"/>
              <w:ind w:right="31"/>
              <w:spacing w:after="0" w:line="202" w:lineRule="exact"/>
              <w:rPr>
                <w:sz w:val="20"/>
                <w:szCs w:val="20"/>
                <w:color w:val="auto"/>
              </w:rPr>
            </w:pPr>
            <w:r>
              <w:rPr>
                <w:rFonts w:ascii="Arial" w:cs="Arial" w:eastAsia="Arial" w:hAnsi="Arial"/>
                <w:sz w:val="18"/>
                <w:szCs w:val="18"/>
                <w:color w:val="auto"/>
              </w:rPr>
              <w:t>417</w:t>
            </w:r>
          </w:p>
        </w:tc>
        <w:tc>
          <w:tcPr>
            <w:tcW w:w="32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120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417</w:t>
            </w:r>
          </w:p>
        </w:tc>
      </w:tr>
      <w:tr>
        <w:trPr>
          <w:trHeight w:val="203"/>
        </w:trPr>
        <w:tc>
          <w:tcPr>
            <w:tcW w:w="8040" w:type="dxa"/>
            <w:vAlign w:val="bottom"/>
          </w:tcPr>
          <w:p>
            <w:pPr>
              <w:spacing w:after="0" w:line="202" w:lineRule="exact"/>
              <w:rPr>
                <w:sz w:val="20"/>
                <w:szCs w:val="20"/>
                <w:color w:val="auto"/>
              </w:rPr>
            </w:pPr>
            <w:r>
              <w:rPr>
                <w:rFonts w:ascii="Arial" w:cs="Arial" w:eastAsia="Arial" w:hAnsi="Arial"/>
                <w:sz w:val="18"/>
                <w:szCs w:val="18"/>
                <w:color w:val="auto"/>
              </w:rPr>
              <w:t>3.812% notes due 2047</w:t>
            </w: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jc w:val="right"/>
              <w:ind w:right="31"/>
              <w:spacing w:after="0" w:line="202" w:lineRule="exact"/>
              <w:rPr>
                <w:sz w:val="20"/>
                <w:szCs w:val="20"/>
                <w:color w:val="auto"/>
              </w:rPr>
            </w:pPr>
            <w:r>
              <w:rPr>
                <w:rFonts w:ascii="Arial" w:cs="Arial" w:eastAsia="Arial" w:hAnsi="Arial"/>
                <w:sz w:val="18"/>
                <w:szCs w:val="18"/>
                <w:color w:val="auto"/>
              </w:rPr>
              <w:t>445</w:t>
            </w: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ind w:right="11"/>
              <w:spacing w:after="0" w:line="202" w:lineRule="exact"/>
              <w:rPr>
                <w:sz w:val="20"/>
                <w:szCs w:val="20"/>
                <w:color w:val="auto"/>
              </w:rPr>
            </w:pPr>
            <w:r>
              <w:rPr>
                <w:rFonts w:ascii="Arial" w:cs="Arial" w:eastAsia="Arial" w:hAnsi="Arial"/>
                <w:sz w:val="18"/>
                <w:szCs w:val="18"/>
                <w:color w:val="auto"/>
              </w:rPr>
              <w:t>445</w:t>
            </w:r>
          </w:p>
        </w:tc>
      </w:tr>
      <w:tr>
        <w:trPr>
          <w:trHeight w:val="203"/>
        </w:trPr>
        <w:tc>
          <w:tcPr>
            <w:tcW w:w="804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Industrial development bond obligations, floating rate maturing at various dates through 2037</w:t>
            </w:r>
          </w:p>
        </w:tc>
        <w:tc>
          <w:tcPr>
            <w:tcW w:w="32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1140" w:type="dxa"/>
            <w:vAlign w:val="bottom"/>
            <w:shd w:val="clear" w:color="auto" w:fill="E5FFFF"/>
          </w:tcPr>
          <w:p>
            <w:pPr>
              <w:jc w:val="right"/>
              <w:ind w:right="31"/>
              <w:spacing w:after="0" w:line="202" w:lineRule="exact"/>
              <w:rPr>
                <w:sz w:val="20"/>
                <w:szCs w:val="20"/>
                <w:color w:val="auto"/>
              </w:rPr>
            </w:pPr>
            <w:r>
              <w:rPr>
                <w:rFonts w:ascii="Arial" w:cs="Arial" w:eastAsia="Arial" w:hAnsi="Arial"/>
                <w:sz w:val="18"/>
                <w:szCs w:val="18"/>
                <w:color w:val="auto"/>
              </w:rPr>
              <w:t>22</w:t>
            </w:r>
          </w:p>
        </w:tc>
        <w:tc>
          <w:tcPr>
            <w:tcW w:w="32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120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22</w:t>
            </w:r>
          </w:p>
        </w:tc>
      </w:tr>
      <w:tr>
        <w:trPr>
          <w:trHeight w:val="203"/>
        </w:trPr>
        <w:tc>
          <w:tcPr>
            <w:tcW w:w="8040" w:type="dxa"/>
            <w:vAlign w:val="bottom"/>
          </w:tcPr>
          <w:p>
            <w:pPr>
              <w:spacing w:after="0" w:line="202" w:lineRule="exact"/>
              <w:rPr>
                <w:sz w:val="20"/>
                <w:szCs w:val="20"/>
                <w:color w:val="auto"/>
              </w:rPr>
            </w:pPr>
            <w:r>
              <w:rPr>
                <w:rFonts w:ascii="Arial" w:cs="Arial" w:eastAsia="Arial" w:hAnsi="Arial"/>
                <w:sz w:val="18"/>
                <w:szCs w:val="18"/>
                <w:color w:val="auto"/>
              </w:rPr>
              <w:t>6.625% debentures due 2028</w:t>
            </w: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jc w:val="right"/>
              <w:ind w:right="31"/>
              <w:spacing w:after="0" w:line="202" w:lineRule="exact"/>
              <w:rPr>
                <w:sz w:val="20"/>
                <w:szCs w:val="20"/>
                <w:color w:val="auto"/>
              </w:rPr>
            </w:pPr>
            <w:r>
              <w:rPr>
                <w:rFonts w:ascii="Arial" w:cs="Arial" w:eastAsia="Arial" w:hAnsi="Arial"/>
                <w:sz w:val="18"/>
                <w:szCs w:val="18"/>
                <w:color w:val="auto"/>
              </w:rPr>
              <w:t>201</w:t>
            </w: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ind w:right="11"/>
              <w:spacing w:after="0" w:line="202" w:lineRule="exact"/>
              <w:rPr>
                <w:sz w:val="20"/>
                <w:szCs w:val="20"/>
                <w:color w:val="auto"/>
              </w:rPr>
            </w:pPr>
            <w:r>
              <w:rPr>
                <w:rFonts w:ascii="Arial" w:cs="Arial" w:eastAsia="Arial" w:hAnsi="Arial"/>
                <w:sz w:val="18"/>
                <w:szCs w:val="18"/>
                <w:color w:val="auto"/>
              </w:rPr>
              <w:t>201</w:t>
            </w:r>
          </w:p>
        </w:tc>
      </w:tr>
      <w:tr>
        <w:trPr>
          <w:trHeight w:val="203"/>
        </w:trPr>
        <w:tc>
          <w:tcPr>
            <w:tcW w:w="804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9.065% debentures due 2033</w:t>
            </w:r>
          </w:p>
        </w:tc>
        <w:tc>
          <w:tcPr>
            <w:tcW w:w="32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1140" w:type="dxa"/>
            <w:vAlign w:val="bottom"/>
            <w:shd w:val="clear" w:color="auto" w:fill="E5FFFF"/>
          </w:tcPr>
          <w:p>
            <w:pPr>
              <w:jc w:val="right"/>
              <w:ind w:right="31"/>
              <w:spacing w:after="0" w:line="202" w:lineRule="exact"/>
              <w:rPr>
                <w:sz w:val="20"/>
                <w:szCs w:val="20"/>
                <w:color w:val="auto"/>
              </w:rPr>
            </w:pPr>
            <w:r>
              <w:rPr>
                <w:rFonts w:ascii="Arial" w:cs="Arial" w:eastAsia="Arial" w:hAnsi="Arial"/>
                <w:sz w:val="18"/>
                <w:szCs w:val="18"/>
                <w:color w:val="auto"/>
              </w:rPr>
              <w:t>51</w:t>
            </w:r>
          </w:p>
        </w:tc>
        <w:tc>
          <w:tcPr>
            <w:tcW w:w="32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120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51</w:t>
            </w:r>
          </w:p>
        </w:tc>
      </w:tr>
      <w:tr>
        <w:trPr>
          <w:trHeight w:val="202"/>
        </w:trPr>
        <w:tc>
          <w:tcPr>
            <w:tcW w:w="8040" w:type="dxa"/>
            <w:vAlign w:val="bottom"/>
          </w:tcPr>
          <w:p>
            <w:pPr>
              <w:spacing w:after="0" w:line="201" w:lineRule="exact"/>
              <w:rPr>
                <w:sz w:val="20"/>
                <w:szCs w:val="20"/>
                <w:color w:val="auto"/>
              </w:rPr>
            </w:pPr>
            <w:r>
              <w:rPr>
                <w:rFonts w:ascii="Arial" w:cs="Arial" w:eastAsia="Arial" w:hAnsi="Arial"/>
                <w:sz w:val="18"/>
                <w:szCs w:val="18"/>
                <w:color w:val="auto"/>
              </w:rPr>
              <w:t>Other (including capitalized leases and debt issuance costs), 5.5% weighted average maturing at</w:t>
            </w: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17"/>
        </w:trPr>
        <w:tc>
          <w:tcPr>
            <w:tcW w:w="8040" w:type="dxa"/>
            <w:vAlign w:val="bottom"/>
            <w:tcBorders>
              <w:bottom w:val="single" w:sz="8" w:color="E5FFFF"/>
            </w:tcBorders>
          </w:tcPr>
          <w:p>
            <w:pPr>
              <w:ind w:left="180"/>
              <w:spacing w:after="0"/>
              <w:rPr>
                <w:sz w:val="20"/>
                <w:szCs w:val="20"/>
                <w:color w:val="auto"/>
              </w:rPr>
            </w:pPr>
            <w:r>
              <w:rPr>
                <w:rFonts w:ascii="Arial" w:cs="Arial" w:eastAsia="Arial" w:hAnsi="Arial"/>
                <w:sz w:val="18"/>
                <w:szCs w:val="18"/>
                <w:color w:val="auto"/>
              </w:rPr>
              <w:t>various dates through 2025</w:t>
            </w:r>
          </w:p>
        </w:tc>
        <w:tc>
          <w:tcPr>
            <w:tcW w:w="320" w:type="dxa"/>
            <w:vAlign w:val="bottom"/>
            <w:tcBorders>
              <w:bottom w:val="single" w:sz="8" w:color="E5FF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304</w:t>
            </w:r>
          </w:p>
        </w:tc>
        <w:tc>
          <w:tcPr>
            <w:tcW w:w="320" w:type="dxa"/>
            <w:vAlign w:val="bottom"/>
            <w:tcBorders>
              <w:bottom w:val="single" w:sz="8" w:color="E5FF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288</w:t>
            </w:r>
          </w:p>
        </w:tc>
      </w:tr>
      <w:tr>
        <w:trPr>
          <w:trHeight w:val="196"/>
        </w:trPr>
        <w:tc>
          <w:tcPr>
            <w:tcW w:w="8040" w:type="dxa"/>
            <w:vAlign w:val="bottom"/>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1140" w:type="dxa"/>
            <w:vAlign w:val="bottom"/>
            <w:shd w:val="clear" w:color="auto" w:fill="E5FFFF"/>
          </w:tcPr>
          <w:p>
            <w:pPr>
              <w:jc w:val="right"/>
              <w:ind w:right="31"/>
              <w:spacing w:after="0" w:line="196" w:lineRule="exact"/>
              <w:rPr>
                <w:sz w:val="20"/>
                <w:szCs w:val="20"/>
                <w:color w:val="auto"/>
              </w:rPr>
            </w:pPr>
            <w:r>
              <w:rPr>
                <w:rFonts w:ascii="Arial" w:cs="Arial" w:eastAsia="Arial" w:hAnsi="Arial"/>
                <w:sz w:val="18"/>
                <w:szCs w:val="18"/>
                <w:color w:val="auto"/>
              </w:rPr>
              <w:t>12,637</w:t>
            </w:r>
          </w:p>
        </w:tc>
        <w:tc>
          <w:tcPr>
            <w:tcW w:w="32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1200" w:type="dxa"/>
            <w:vAlign w:val="bottom"/>
            <w:shd w:val="clear" w:color="auto" w:fill="E5FFFF"/>
          </w:tcPr>
          <w:p>
            <w:pPr>
              <w:jc w:val="right"/>
              <w:ind w:right="11"/>
              <w:spacing w:after="0" w:line="196" w:lineRule="exact"/>
              <w:rPr>
                <w:sz w:val="20"/>
                <w:szCs w:val="20"/>
                <w:color w:val="auto"/>
              </w:rPr>
            </w:pPr>
            <w:r>
              <w:rPr>
                <w:rFonts w:ascii="Arial" w:cs="Arial" w:eastAsia="Arial" w:hAnsi="Arial"/>
                <w:sz w:val="18"/>
                <w:szCs w:val="18"/>
                <w:color w:val="auto"/>
              </w:rPr>
              <w:t>13,924</w:t>
            </w:r>
          </w:p>
        </w:tc>
      </w:tr>
      <w:tr>
        <w:trPr>
          <w:trHeight w:val="216"/>
        </w:trPr>
        <w:tc>
          <w:tcPr>
            <w:tcW w:w="8040" w:type="dxa"/>
            <w:vAlign w:val="bottom"/>
            <w:tcBorders>
              <w:bottom w:val="single" w:sz="8" w:color="E5FFFF"/>
            </w:tcBorders>
          </w:tcPr>
          <w:p>
            <w:pPr>
              <w:spacing w:after="0"/>
              <w:rPr>
                <w:sz w:val="20"/>
                <w:szCs w:val="20"/>
                <w:color w:val="auto"/>
              </w:rPr>
            </w:pPr>
            <w:r>
              <w:rPr>
                <w:rFonts w:ascii="Arial" w:cs="Arial" w:eastAsia="Arial" w:hAnsi="Arial"/>
                <w:sz w:val="18"/>
                <w:szCs w:val="18"/>
                <w:color w:val="auto"/>
              </w:rPr>
              <w:t>Less: current portion</w:t>
            </w:r>
          </w:p>
        </w:tc>
        <w:tc>
          <w:tcPr>
            <w:tcW w:w="320" w:type="dxa"/>
            <w:vAlign w:val="bottom"/>
            <w:tcBorders>
              <w:bottom w:val="single" w:sz="8" w:color="E5FF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w:t>
            </w:r>
          </w:p>
        </w:tc>
        <w:tc>
          <w:tcPr>
            <w:tcW w:w="320" w:type="dxa"/>
            <w:vAlign w:val="bottom"/>
            <w:tcBorders>
              <w:bottom w:val="single" w:sz="8" w:color="E5FF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(1,351)</w:t>
            </w:r>
          </w:p>
        </w:tc>
      </w:tr>
      <w:tr>
        <w:trPr>
          <w:trHeight w:val="237"/>
        </w:trPr>
        <w:tc>
          <w:tcPr>
            <w:tcW w:w="8040" w:type="dxa"/>
            <w:vAlign w:val="bottom"/>
            <w:shd w:val="clear" w:color="auto" w:fill="E5FFFF"/>
          </w:tcPr>
          <w:p>
            <w:pPr>
              <w:spacing w:after="0"/>
              <w:rPr>
                <w:sz w:val="20"/>
                <w:szCs w:val="20"/>
                <w:color w:val="auto"/>
              </w:rPr>
            </w:pPr>
          </w:p>
        </w:tc>
        <w:tc>
          <w:tcPr>
            <w:tcW w:w="560" w:type="dxa"/>
            <w:vAlign w:val="bottom"/>
            <w:gridSpan w:val="2"/>
            <w:shd w:val="clear" w:color="auto" w:fill="E5FFFF"/>
          </w:tcPr>
          <w:p>
            <w:pPr>
              <w:jc w:val="right"/>
              <w:ind w:right="50"/>
              <w:spacing w:after="0"/>
              <w:rPr>
                <w:sz w:val="20"/>
                <w:szCs w:val="20"/>
                <w:color w:val="auto"/>
              </w:rPr>
            </w:pPr>
            <w:r>
              <w:rPr>
                <w:rFonts w:ascii="Arial" w:cs="Arial" w:eastAsia="Arial" w:hAnsi="Arial"/>
                <w:sz w:val="18"/>
                <w:szCs w:val="18"/>
                <w:color w:val="auto"/>
              </w:rPr>
              <w:t>$</w:t>
            </w:r>
          </w:p>
        </w:tc>
        <w:tc>
          <w:tcPr>
            <w:tcW w:w="1140" w:type="dxa"/>
            <w:vAlign w:val="bottom"/>
            <w:shd w:val="clear" w:color="auto" w:fill="E5FFFF"/>
          </w:tcPr>
          <w:p>
            <w:pPr>
              <w:jc w:val="right"/>
              <w:ind w:right="31"/>
              <w:spacing w:after="0"/>
              <w:rPr>
                <w:sz w:val="20"/>
                <w:szCs w:val="20"/>
                <w:color w:val="auto"/>
              </w:rPr>
            </w:pPr>
            <w:r>
              <w:rPr>
                <w:rFonts w:ascii="Arial" w:cs="Arial" w:eastAsia="Arial" w:hAnsi="Arial"/>
                <w:sz w:val="18"/>
                <w:szCs w:val="18"/>
                <w:color w:val="auto"/>
              </w:rPr>
              <w:t>12,504</w:t>
            </w:r>
          </w:p>
        </w:tc>
        <w:tc>
          <w:tcPr>
            <w:tcW w:w="48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E5FFFF"/>
          </w:tcPr>
          <w:p>
            <w:pPr>
              <w:jc w:val="right"/>
              <w:ind w:right="11"/>
              <w:spacing w:after="0"/>
              <w:rPr>
                <w:sz w:val="20"/>
                <w:szCs w:val="20"/>
                <w:color w:val="auto"/>
              </w:rPr>
            </w:pPr>
            <w:r>
              <w:rPr>
                <w:rFonts w:ascii="Arial" w:cs="Arial" w:eastAsia="Arial" w:hAnsi="Arial"/>
                <w:sz w:val="18"/>
                <w:szCs w:val="18"/>
                <w:color w:val="auto"/>
              </w:rPr>
              <w:t>12,573</w:t>
            </w:r>
          </w:p>
        </w:tc>
      </w:tr>
      <w:tr>
        <w:trPr>
          <w:trHeight w:val="20"/>
        </w:trPr>
        <w:tc>
          <w:tcPr>
            <w:tcW w:w="8040" w:type="dxa"/>
            <w:vAlign w:val="bottom"/>
            <w:tcBorders>
              <w:top w:val="single" w:sz="8" w:color="E5FFFF"/>
            </w:tcBorders>
          </w:tcPr>
          <w:p>
            <w:pPr>
              <w:spacing w:after="0" w:line="20" w:lineRule="exact"/>
              <w:rPr>
                <w:sz w:val="1"/>
                <w:szCs w:val="1"/>
                <w:color w:val="auto"/>
              </w:rPr>
            </w:pPr>
          </w:p>
        </w:tc>
        <w:tc>
          <w:tcPr>
            <w:tcW w:w="320" w:type="dxa"/>
            <w:vAlign w:val="bottom"/>
            <w:tcBorders>
              <w:top w:val="single" w:sz="8" w:color="E5FF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E5FF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On January 29, 2018, the Company completed an exchange offer for any and all of its outstanding 3.812% Notes due 2047, which had not been registered (“Unregistered Notes”) under the Securities Act of 1933, as amended (“Securities Act”) for an equal principal amount of new 3.812% Notes due 2047 which had been registered under the Securities Act (“Registered Notes”). 99.4% of the Unregistered Notes were exchanged for Registered Notes, representing 99.4% of the principal amount of the Company’s outstanding 3.812% Notes due 2047.</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 February 22, 2018, the Company paid its Two year floating rate Euro notes.</w:t>
      </w:r>
    </w:p>
    <w:p>
      <w:pPr>
        <w:spacing w:after="0" w:line="198" w:lineRule="exact"/>
        <w:rPr>
          <w:sz w:val="20"/>
          <w:szCs w:val="20"/>
          <w:color w:val="auto"/>
        </w:rPr>
      </w:pPr>
    </w:p>
    <w:p>
      <w:pPr>
        <w:jc w:val="both"/>
        <w:ind w:right="20" w:firstLine="648"/>
        <w:spacing w:after="0" w:line="246" w:lineRule="auto"/>
        <w:rPr>
          <w:sz w:val="20"/>
          <w:szCs w:val="20"/>
          <w:color w:val="auto"/>
        </w:rPr>
      </w:pPr>
      <w:r>
        <w:rPr>
          <w:rFonts w:ascii="Arial" w:cs="Arial" w:eastAsia="Arial" w:hAnsi="Arial"/>
          <w:sz w:val="18"/>
          <w:szCs w:val="18"/>
          <w:color w:val="auto"/>
        </w:rPr>
        <w:t>On February 16, 2018, the Company entered into a $1.5 billion 364-Day Credit Agreement with a syndicate of banks. This 364-Day Credit Agreement is maintained for general corporate purposes.</w:t>
      </w:r>
    </w:p>
    <w:p>
      <w:pPr>
        <w:spacing w:after="0" w:line="183"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On April 27, 2018, the Company entered into a $4 billion Amended and Restated Five Year Credit Agreement (the “5 -Year Credit Agreement”), with a syndicate of banks. The 5-Year Credit Agreement is maintained for general corporate purposes. Commitments under the 5-Year Credit Agreement can be increased pursuant to the terms of the 5-Year Credit Agreement to an aggregate amount not to exceed $4.5 billion. The 5-Year Credit Agreement amends and restates the previously reported $4 billion five year credit agreement dated as of July 10, 2015 (the “Prior Agreement”). The 5-Year Credit Agreement has substantially the same material terms and conditions as the Prior Agreement.</w:t>
      </w:r>
    </w:p>
    <w:p>
      <w:pPr>
        <w:spacing w:after="0" w:line="189" w:lineRule="exact"/>
        <w:rPr>
          <w:sz w:val="20"/>
          <w:szCs w:val="20"/>
          <w:color w:val="auto"/>
        </w:rPr>
      </w:pPr>
    </w:p>
    <w:p>
      <w:pPr>
        <w:jc w:val="both"/>
        <w:ind w:right="20" w:firstLine="648"/>
        <w:spacing w:after="0" w:line="246" w:lineRule="auto"/>
        <w:rPr>
          <w:sz w:val="20"/>
          <w:szCs w:val="20"/>
          <w:color w:val="auto"/>
        </w:rPr>
      </w:pPr>
      <w:r>
        <w:rPr>
          <w:rFonts w:ascii="Arial" w:cs="Arial" w:eastAsia="Arial" w:hAnsi="Arial"/>
          <w:sz w:val="18"/>
          <w:szCs w:val="18"/>
          <w:color w:val="auto"/>
        </w:rPr>
        <w:t>On April 27, 2018, the Company entered into an additional $1.5 billion 364-Day Credit Agreement with a syndicate of banks. This 364-Day Credit Agreement is maintained for general corporate purposes.</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June 30, 2018, there are no outstanding borrowings under any of our credit agreements.</w:t>
      </w:r>
    </w:p>
    <w:p>
      <w:pPr>
        <w:spacing w:after="0" w:line="18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0" w:right="2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Honeywell International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jc w:val="center"/>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Financial Instruments and Fair Value Measures</w:t>
      </w:r>
    </w:p>
    <w:p>
      <w:pPr>
        <w:spacing w:after="0" w:line="202"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8"/>
          <w:szCs w:val="18"/>
          <w:color w:val="auto"/>
        </w:rPr>
        <w:t xml:space="preserve">Our credit, market, foreign currency and interest rate risk management policies are described in Note 14, </w:t>
      </w:r>
      <w:r>
        <w:rPr>
          <w:rFonts w:ascii="Arial" w:cs="Arial" w:eastAsia="Arial" w:hAnsi="Arial"/>
          <w:sz w:val="18"/>
          <w:szCs w:val="18"/>
          <w:i w:val="1"/>
          <w:iCs w:val="1"/>
          <w:color w:val="auto"/>
        </w:rPr>
        <w:t>Financial Instruments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Fair Value Measures </w:t>
      </w:r>
      <w:r>
        <w:rPr>
          <w:rFonts w:ascii="Arial" w:cs="Arial" w:eastAsia="Arial" w:hAnsi="Arial"/>
          <w:sz w:val="18"/>
          <w:szCs w:val="18"/>
          <w:color w:val="auto"/>
        </w:rPr>
        <w:t>of Notes to Consolidated Financial Statements in our 2017 Annual Report on Form 10-K.</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the Company’s financial assets and liabilities that were accounted for at fair value on a recurring basis: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76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jc w:val="right"/>
              <w:ind w:right="314"/>
              <w:spacing w:after="0"/>
              <w:rPr>
                <w:sz w:val="20"/>
                <w:szCs w:val="20"/>
                <w:color w:val="auto"/>
              </w:rPr>
            </w:pPr>
            <w:r>
              <w:rPr>
                <w:rFonts w:ascii="Arial" w:cs="Arial" w:eastAsia="Arial" w:hAnsi="Arial"/>
                <w:sz w:val="14"/>
                <w:szCs w:val="14"/>
                <w:b w:val="1"/>
                <w:bCs w:val="1"/>
                <w:color w:val="auto"/>
              </w:rPr>
              <w:t>June 30,</w:t>
            </w: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jc w:val="right"/>
              <w:ind w:right="114"/>
              <w:spacing w:after="0"/>
              <w:rPr>
                <w:sz w:val="20"/>
                <w:szCs w:val="20"/>
                <w:color w:val="auto"/>
              </w:rPr>
            </w:pPr>
            <w:r>
              <w:rPr>
                <w:rFonts w:ascii="Arial" w:cs="Arial" w:eastAsia="Arial" w:hAnsi="Arial"/>
                <w:sz w:val="14"/>
                <w:szCs w:val="14"/>
                <w:b w:val="1"/>
                <w:bCs w:val="1"/>
                <w:color w:val="auto"/>
              </w:rPr>
              <w:t>December 31,</w:t>
            </w:r>
          </w:p>
        </w:tc>
      </w:tr>
      <w:tr>
        <w:trPr>
          <w:trHeight w:val="175"/>
        </w:trPr>
        <w:tc>
          <w:tcPr>
            <w:tcW w:w="5760" w:type="dxa"/>
            <w:vAlign w:val="bottom"/>
            <w:tcBorders>
              <w:bottom w:val="single" w:sz="8" w:color="E5FFFF"/>
            </w:tcBorders>
          </w:tcPr>
          <w:p>
            <w:pPr>
              <w:spacing w:after="0"/>
              <w:rPr>
                <w:sz w:val="15"/>
                <w:szCs w:val="15"/>
                <w:color w:val="auto"/>
              </w:rPr>
            </w:pPr>
          </w:p>
        </w:tc>
        <w:tc>
          <w:tcPr>
            <w:tcW w:w="2600" w:type="dxa"/>
            <w:vAlign w:val="bottom"/>
            <w:tcBorders>
              <w:bottom w:val="single" w:sz="8" w:color="E5FF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2018</w:t>
            </w:r>
          </w:p>
        </w:tc>
        <w:tc>
          <w:tcPr>
            <w:tcW w:w="320" w:type="dxa"/>
            <w:vAlign w:val="bottom"/>
            <w:tcBorders>
              <w:bottom w:val="single" w:sz="8" w:color="E5FF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2017</w:t>
            </w:r>
          </w:p>
        </w:tc>
      </w:tr>
      <w:tr>
        <w:trPr>
          <w:trHeight w:val="196"/>
        </w:trPr>
        <w:tc>
          <w:tcPr>
            <w:tcW w:w="5760" w:type="dxa"/>
            <w:vAlign w:val="bottom"/>
            <w:shd w:val="clear" w:color="auto" w:fill="E5FFFF"/>
          </w:tcPr>
          <w:p>
            <w:pPr>
              <w:ind w:left="40"/>
              <w:spacing w:after="0" w:line="196" w:lineRule="exact"/>
              <w:rPr>
                <w:sz w:val="20"/>
                <w:szCs w:val="20"/>
                <w:color w:val="auto"/>
              </w:rPr>
            </w:pPr>
            <w:r>
              <w:rPr>
                <w:rFonts w:ascii="Arial" w:cs="Arial" w:eastAsia="Arial" w:hAnsi="Arial"/>
                <w:sz w:val="18"/>
                <w:szCs w:val="18"/>
                <w:b w:val="1"/>
                <w:bCs w:val="1"/>
                <w:color w:val="auto"/>
              </w:rPr>
              <w:t>Assets:</w:t>
            </w:r>
          </w:p>
        </w:tc>
        <w:tc>
          <w:tcPr>
            <w:tcW w:w="260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1140" w:type="dxa"/>
            <w:vAlign w:val="bottom"/>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1200" w:type="dxa"/>
            <w:vAlign w:val="bottom"/>
            <w:shd w:val="clear" w:color="auto" w:fill="E5FFFF"/>
          </w:tcPr>
          <w:p>
            <w:pPr>
              <w:spacing w:after="0"/>
              <w:rPr>
                <w:sz w:val="17"/>
                <w:szCs w:val="17"/>
                <w:color w:val="auto"/>
              </w:rPr>
            </w:pPr>
          </w:p>
        </w:tc>
      </w:tr>
      <w:tr>
        <w:trPr>
          <w:trHeight w:val="203"/>
        </w:trPr>
        <w:tc>
          <w:tcPr>
            <w:tcW w:w="5760" w:type="dxa"/>
            <w:vAlign w:val="bottom"/>
          </w:tcPr>
          <w:p>
            <w:pPr>
              <w:ind w:left="180"/>
              <w:spacing w:after="0" w:line="202" w:lineRule="exact"/>
              <w:rPr>
                <w:sz w:val="20"/>
                <w:szCs w:val="20"/>
                <w:color w:val="auto"/>
              </w:rPr>
            </w:pPr>
            <w:r>
              <w:rPr>
                <w:rFonts w:ascii="Arial" w:cs="Arial" w:eastAsia="Arial" w:hAnsi="Arial"/>
                <w:sz w:val="18"/>
                <w:szCs w:val="18"/>
                <w:color w:val="auto"/>
              </w:rPr>
              <w:t>Foreign currency exchange contracts</w:t>
            </w:r>
          </w:p>
        </w:tc>
        <w:tc>
          <w:tcPr>
            <w:tcW w:w="28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140" w:type="dxa"/>
            <w:vAlign w:val="bottom"/>
          </w:tcPr>
          <w:p>
            <w:pPr>
              <w:jc w:val="right"/>
              <w:ind w:right="34"/>
              <w:spacing w:after="0" w:line="202" w:lineRule="exact"/>
              <w:rPr>
                <w:sz w:val="20"/>
                <w:szCs w:val="20"/>
                <w:color w:val="auto"/>
              </w:rPr>
            </w:pPr>
            <w:r>
              <w:rPr>
                <w:rFonts w:ascii="Arial" w:cs="Arial" w:eastAsia="Arial" w:hAnsi="Arial"/>
                <w:sz w:val="18"/>
                <w:szCs w:val="18"/>
                <w:color w:val="auto"/>
              </w:rPr>
              <w:t>4</w:t>
            </w:r>
          </w:p>
        </w:tc>
        <w:tc>
          <w:tcPr>
            <w:tcW w:w="4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1200" w:type="dxa"/>
            <w:vAlign w:val="bottom"/>
          </w:tcPr>
          <w:p>
            <w:pPr>
              <w:jc w:val="right"/>
              <w:ind w:right="14"/>
              <w:spacing w:after="0" w:line="202" w:lineRule="exact"/>
              <w:rPr>
                <w:sz w:val="20"/>
                <w:szCs w:val="20"/>
                <w:color w:val="auto"/>
              </w:rPr>
            </w:pPr>
            <w:r>
              <w:rPr>
                <w:rFonts w:ascii="Arial" w:cs="Arial" w:eastAsia="Arial" w:hAnsi="Arial"/>
                <w:sz w:val="18"/>
                <w:szCs w:val="18"/>
                <w:color w:val="auto"/>
              </w:rPr>
              <w:t>17</w:t>
            </w:r>
          </w:p>
        </w:tc>
      </w:tr>
      <w:tr>
        <w:trPr>
          <w:trHeight w:val="203"/>
        </w:trPr>
        <w:tc>
          <w:tcPr>
            <w:tcW w:w="5760" w:type="dxa"/>
            <w:vAlign w:val="bottom"/>
            <w:shd w:val="clear" w:color="auto" w:fill="E5FFFF"/>
          </w:tcPr>
          <w:p>
            <w:pPr>
              <w:ind w:left="180"/>
              <w:spacing w:after="0" w:line="202" w:lineRule="exact"/>
              <w:rPr>
                <w:sz w:val="20"/>
                <w:szCs w:val="20"/>
                <w:color w:val="auto"/>
              </w:rPr>
            </w:pPr>
            <w:r>
              <w:rPr>
                <w:rFonts w:ascii="Arial" w:cs="Arial" w:eastAsia="Arial" w:hAnsi="Arial"/>
                <w:sz w:val="18"/>
                <w:szCs w:val="18"/>
                <w:color w:val="auto"/>
              </w:rPr>
              <w:t>Available for sale investments</w:t>
            </w:r>
          </w:p>
        </w:tc>
        <w:tc>
          <w:tcPr>
            <w:tcW w:w="260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1140" w:type="dxa"/>
            <w:vAlign w:val="bottom"/>
            <w:shd w:val="clear" w:color="auto" w:fill="E5FFFF"/>
          </w:tcPr>
          <w:p>
            <w:pPr>
              <w:jc w:val="right"/>
              <w:ind w:right="34"/>
              <w:spacing w:after="0" w:line="202" w:lineRule="exact"/>
              <w:rPr>
                <w:sz w:val="20"/>
                <w:szCs w:val="20"/>
                <w:color w:val="auto"/>
              </w:rPr>
            </w:pPr>
            <w:r>
              <w:rPr>
                <w:rFonts w:ascii="Arial" w:cs="Arial" w:eastAsia="Arial" w:hAnsi="Arial"/>
                <w:sz w:val="18"/>
                <w:szCs w:val="18"/>
                <w:color w:val="auto"/>
              </w:rPr>
              <w:t>2,054</w:t>
            </w:r>
          </w:p>
        </w:tc>
        <w:tc>
          <w:tcPr>
            <w:tcW w:w="32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1200" w:type="dxa"/>
            <w:vAlign w:val="bottom"/>
            <w:shd w:val="clear" w:color="auto" w:fill="E5FFFF"/>
          </w:tcPr>
          <w:p>
            <w:pPr>
              <w:jc w:val="right"/>
              <w:ind w:right="14"/>
              <w:spacing w:after="0" w:line="202" w:lineRule="exact"/>
              <w:rPr>
                <w:sz w:val="20"/>
                <w:szCs w:val="20"/>
                <w:color w:val="auto"/>
              </w:rPr>
            </w:pPr>
            <w:r>
              <w:rPr>
                <w:rFonts w:ascii="Arial" w:cs="Arial" w:eastAsia="Arial" w:hAnsi="Arial"/>
                <w:sz w:val="18"/>
                <w:szCs w:val="18"/>
                <w:color w:val="auto"/>
              </w:rPr>
              <w:t>3,916</w:t>
            </w:r>
          </w:p>
        </w:tc>
      </w:tr>
      <w:tr>
        <w:trPr>
          <w:trHeight w:val="203"/>
        </w:trPr>
        <w:tc>
          <w:tcPr>
            <w:tcW w:w="5760" w:type="dxa"/>
            <w:vAlign w:val="bottom"/>
          </w:tcPr>
          <w:p>
            <w:pPr>
              <w:ind w:left="180"/>
              <w:spacing w:after="0" w:line="202" w:lineRule="exact"/>
              <w:rPr>
                <w:sz w:val="20"/>
                <w:szCs w:val="20"/>
                <w:color w:val="auto"/>
              </w:rPr>
            </w:pPr>
            <w:r>
              <w:rPr>
                <w:rFonts w:ascii="Arial" w:cs="Arial" w:eastAsia="Arial" w:hAnsi="Arial"/>
                <w:sz w:val="18"/>
                <w:szCs w:val="18"/>
                <w:color w:val="auto"/>
              </w:rPr>
              <w:t>Interest rate swap agreements</w:t>
            </w:r>
          </w:p>
        </w:tc>
        <w:tc>
          <w:tcPr>
            <w:tcW w:w="2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jc w:val="right"/>
              <w:ind w:right="34"/>
              <w:spacing w:after="0" w:line="202" w:lineRule="exact"/>
              <w:rPr>
                <w:sz w:val="20"/>
                <w:szCs w:val="20"/>
                <w:color w:val="auto"/>
              </w:rPr>
            </w:pPr>
            <w:r>
              <w:rPr>
                <w:rFonts w:ascii="Arial" w:cs="Arial" w:eastAsia="Arial" w:hAnsi="Arial"/>
                <w:sz w:val="18"/>
                <w:szCs w:val="18"/>
                <w:color w:val="auto"/>
              </w:rPr>
              <w:t>17</w:t>
            </w: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ind w:right="14"/>
              <w:spacing w:after="0" w:line="202" w:lineRule="exact"/>
              <w:rPr>
                <w:sz w:val="20"/>
                <w:szCs w:val="20"/>
                <w:color w:val="auto"/>
              </w:rPr>
            </w:pPr>
            <w:r>
              <w:rPr>
                <w:rFonts w:ascii="Arial" w:cs="Arial" w:eastAsia="Arial" w:hAnsi="Arial"/>
                <w:sz w:val="18"/>
                <w:szCs w:val="18"/>
                <w:color w:val="auto"/>
              </w:rPr>
              <w:t>44</w:t>
            </w:r>
          </w:p>
        </w:tc>
      </w:tr>
      <w:tr>
        <w:trPr>
          <w:trHeight w:val="203"/>
        </w:trPr>
        <w:tc>
          <w:tcPr>
            <w:tcW w:w="5760" w:type="dxa"/>
            <w:vAlign w:val="bottom"/>
            <w:shd w:val="clear" w:color="auto" w:fill="E5FFFF"/>
          </w:tcPr>
          <w:p>
            <w:pPr>
              <w:ind w:left="180"/>
              <w:spacing w:after="0" w:line="202" w:lineRule="exact"/>
              <w:rPr>
                <w:sz w:val="20"/>
                <w:szCs w:val="20"/>
                <w:color w:val="auto"/>
              </w:rPr>
            </w:pPr>
            <w:r>
              <w:rPr>
                <w:rFonts w:ascii="Arial" w:cs="Arial" w:eastAsia="Arial" w:hAnsi="Arial"/>
                <w:sz w:val="18"/>
                <w:szCs w:val="18"/>
                <w:color w:val="auto"/>
              </w:rPr>
              <w:t>Cross currency swap agreements</w:t>
            </w:r>
          </w:p>
        </w:tc>
        <w:tc>
          <w:tcPr>
            <w:tcW w:w="260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1140" w:type="dxa"/>
            <w:vAlign w:val="bottom"/>
            <w:shd w:val="clear" w:color="auto" w:fill="E5FFFF"/>
          </w:tcPr>
          <w:p>
            <w:pPr>
              <w:jc w:val="right"/>
              <w:ind w:right="34"/>
              <w:spacing w:after="0" w:line="202" w:lineRule="exact"/>
              <w:rPr>
                <w:sz w:val="20"/>
                <w:szCs w:val="20"/>
                <w:color w:val="auto"/>
              </w:rPr>
            </w:pPr>
            <w:r>
              <w:rPr>
                <w:rFonts w:ascii="Arial" w:cs="Arial" w:eastAsia="Arial" w:hAnsi="Arial"/>
                <w:sz w:val="18"/>
                <w:szCs w:val="18"/>
                <w:color w:val="auto"/>
              </w:rPr>
              <w:t>10</w:t>
            </w:r>
          </w:p>
        </w:tc>
        <w:tc>
          <w:tcPr>
            <w:tcW w:w="32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1200" w:type="dxa"/>
            <w:vAlign w:val="bottom"/>
            <w:shd w:val="clear" w:color="auto" w:fill="E5FFFF"/>
          </w:tcPr>
          <w:p>
            <w:pPr>
              <w:jc w:val="right"/>
              <w:ind w:right="14"/>
              <w:spacing w:after="0" w:line="202" w:lineRule="exact"/>
              <w:rPr>
                <w:sz w:val="20"/>
                <w:szCs w:val="20"/>
                <w:color w:val="auto"/>
              </w:rPr>
            </w:pPr>
            <w:r>
              <w:rPr>
                <w:rFonts w:ascii="Arial" w:cs="Arial" w:eastAsia="Arial" w:hAnsi="Arial"/>
                <w:sz w:val="18"/>
                <w:szCs w:val="18"/>
                <w:color w:val="auto"/>
              </w:rPr>
              <w:t>-</w:t>
            </w:r>
          </w:p>
        </w:tc>
      </w:tr>
      <w:tr>
        <w:trPr>
          <w:trHeight w:val="203"/>
        </w:trPr>
        <w:tc>
          <w:tcPr>
            <w:tcW w:w="5760" w:type="dxa"/>
            <w:vAlign w:val="bottom"/>
          </w:tcPr>
          <w:p>
            <w:pPr>
              <w:ind w:left="40"/>
              <w:spacing w:after="0" w:line="202" w:lineRule="exact"/>
              <w:rPr>
                <w:sz w:val="20"/>
                <w:szCs w:val="20"/>
                <w:color w:val="auto"/>
              </w:rPr>
            </w:pPr>
            <w:r>
              <w:rPr>
                <w:rFonts w:ascii="Arial" w:cs="Arial" w:eastAsia="Arial" w:hAnsi="Arial"/>
                <w:sz w:val="18"/>
                <w:szCs w:val="18"/>
                <w:b w:val="1"/>
                <w:bCs w:val="1"/>
                <w:color w:val="auto"/>
              </w:rPr>
              <w:t>Liabilities:</w:t>
            </w:r>
          </w:p>
        </w:tc>
        <w:tc>
          <w:tcPr>
            <w:tcW w:w="2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5760" w:type="dxa"/>
            <w:vAlign w:val="bottom"/>
            <w:shd w:val="clear" w:color="auto" w:fill="E5FFFF"/>
          </w:tcPr>
          <w:p>
            <w:pPr>
              <w:ind w:left="180"/>
              <w:spacing w:after="0" w:line="202" w:lineRule="exact"/>
              <w:rPr>
                <w:sz w:val="20"/>
                <w:szCs w:val="20"/>
                <w:color w:val="auto"/>
              </w:rPr>
            </w:pPr>
            <w:r>
              <w:rPr>
                <w:rFonts w:ascii="Arial" w:cs="Arial" w:eastAsia="Arial" w:hAnsi="Arial"/>
                <w:sz w:val="18"/>
                <w:szCs w:val="18"/>
                <w:color w:val="auto"/>
              </w:rPr>
              <w:t>Foreign currency exchange contracts</w:t>
            </w:r>
          </w:p>
        </w:tc>
        <w:tc>
          <w:tcPr>
            <w:tcW w:w="260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1140" w:type="dxa"/>
            <w:vAlign w:val="bottom"/>
            <w:shd w:val="clear" w:color="auto" w:fill="E5FFFF"/>
          </w:tcPr>
          <w:p>
            <w:pPr>
              <w:jc w:val="right"/>
              <w:ind w:right="34"/>
              <w:spacing w:after="0" w:line="202" w:lineRule="exact"/>
              <w:rPr>
                <w:sz w:val="20"/>
                <w:szCs w:val="20"/>
                <w:color w:val="auto"/>
              </w:rPr>
            </w:pPr>
            <w:r>
              <w:rPr>
                <w:rFonts w:ascii="Arial" w:cs="Arial" w:eastAsia="Arial" w:hAnsi="Arial"/>
                <w:sz w:val="18"/>
                <w:szCs w:val="18"/>
                <w:color w:val="auto"/>
              </w:rPr>
              <w:t>30</w:t>
            </w:r>
          </w:p>
        </w:tc>
        <w:tc>
          <w:tcPr>
            <w:tcW w:w="32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1200" w:type="dxa"/>
            <w:vAlign w:val="bottom"/>
            <w:shd w:val="clear" w:color="auto" w:fill="E5FFFF"/>
          </w:tcPr>
          <w:p>
            <w:pPr>
              <w:jc w:val="right"/>
              <w:ind w:right="14"/>
              <w:spacing w:after="0" w:line="202" w:lineRule="exact"/>
              <w:rPr>
                <w:sz w:val="20"/>
                <w:szCs w:val="20"/>
                <w:color w:val="auto"/>
              </w:rPr>
            </w:pPr>
            <w:r>
              <w:rPr>
                <w:rFonts w:ascii="Arial" w:cs="Arial" w:eastAsia="Arial" w:hAnsi="Arial"/>
                <w:sz w:val="18"/>
                <w:szCs w:val="18"/>
                <w:color w:val="auto"/>
              </w:rPr>
              <w:t>70</w:t>
            </w:r>
          </w:p>
        </w:tc>
      </w:tr>
      <w:tr>
        <w:trPr>
          <w:trHeight w:val="217"/>
        </w:trPr>
        <w:tc>
          <w:tcPr>
            <w:tcW w:w="5760" w:type="dxa"/>
            <w:vAlign w:val="bottom"/>
          </w:tcPr>
          <w:p>
            <w:pPr>
              <w:ind w:left="180"/>
              <w:spacing w:after="0"/>
              <w:rPr>
                <w:sz w:val="20"/>
                <w:szCs w:val="20"/>
                <w:color w:val="auto"/>
              </w:rPr>
            </w:pPr>
            <w:r>
              <w:rPr>
                <w:rFonts w:ascii="Arial" w:cs="Arial" w:eastAsia="Arial" w:hAnsi="Arial"/>
                <w:sz w:val="18"/>
                <w:szCs w:val="18"/>
                <w:color w:val="auto"/>
              </w:rPr>
              <w:t>Interest rate swap agreements</w:t>
            </w:r>
          </w:p>
        </w:tc>
        <w:tc>
          <w:tcPr>
            <w:tcW w:w="2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88</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52</w:t>
            </w:r>
          </w:p>
        </w:tc>
      </w:tr>
    </w:tbl>
    <w:p>
      <w:pPr>
        <w:spacing w:after="0" w:line="187"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The foreign currency exchange contracts, interest rate swap agreements, and cross currency swap agreements are valued using broker quotations, or market transactions in either the listed or over-the-counter markets. As such, these derivative instruments are classified within level 2. The Company also holds investments in commercial paper, certificates of deposits, and time deposits that are designated as available for sale and are valued using published prices based off observable market data. As such, these investments are classified within level 2. The Company also holds available for sale investments in U.S. government and corporate debt securities valued utilizing published prices based on quoted market pricing, which are classified within level 1.</w:t>
      </w:r>
    </w:p>
    <w:p>
      <w:pPr>
        <w:spacing w:after="0" w:line="192"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The carrying value of cash and cash equivalents, trade accounts and notes receivables, payables, commercial paper and short-term borrowings contained in the Consolidated Balance Sheet approximates fair value. The following table sets forth the Company’s financial assets and liabilities that were not carried at fair value:</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3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rPr>
              <w:t>June 30, 2018</w:t>
            </w:r>
          </w:p>
        </w:tc>
        <w:tc>
          <w:tcPr>
            <w:tcW w:w="980" w:type="dxa"/>
            <w:vAlign w:val="bottom"/>
            <w:tcBorders>
              <w:bottom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rPr>
              <w:t>December 31, 2017</w:t>
            </w:r>
          </w:p>
        </w:tc>
        <w:tc>
          <w:tcPr>
            <w:tcW w:w="860" w:type="dxa"/>
            <w:vAlign w:val="bottom"/>
            <w:tcBorders>
              <w:bottom w:val="single" w:sz="8" w:color="auto"/>
            </w:tcBorders>
          </w:tcPr>
          <w:p>
            <w:pPr>
              <w:spacing w:after="0"/>
              <w:rPr>
                <w:sz w:val="15"/>
                <w:szCs w:val="15"/>
                <w:color w:val="auto"/>
              </w:rPr>
            </w:pPr>
          </w:p>
        </w:tc>
      </w:tr>
      <w:tr>
        <w:trPr>
          <w:trHeight w:val="156"/>
        </w:trPr>
        <w:tc>
          <w:tcPr>
            <w:tcW w:w="43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jc w:val="right"/>
              <w:ind w:right="321"/>
              <w:spacing w:after="0" w:line="156" w:lineRule="exact"/>
              <w:rPr>
                <w:sz w:val="20"/>
                <w:szCs w:val="20"/>
                <w:color w:val="auto"/>
              </w:rPr>
            </w:pPr>
            <w:r>
              <w:rPr>
                <w:rFonts w:ascii="Arial" w:cs="Arial" w:eastAsia="Arial" w:hAnsi="Arial"/>
                <w:sz w:val="14"/>
                <w:szCs w:val="14"/>
                <w:b w:val="1"/>
                <w:bCs w:val="1"/>
                <w:color w:val="auto"/>
              </w:rPr>
              <w:t>Carrying</w:t>
            </w:r>
          </w:p>
        </w:tc>
        <w:tc>
          <w:tcPr>
            <w:tcW w:w="3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80" w:type="dxa"/>
            <w:vAlign w:val="bottom"/>
          </w:tcPr>
          <w:p>
            <w:pPr>
              <w:jc w:val="right"/>
              <w:ind w:right="459"/>
              <w:spacing w:after="0" w:line="156" w:lineRule="exact"/>
              <w:rPr>
                <w:sz w:val="20"/>
                <w:szCs w:val="20"/>
                <w:color w:val="auto"/>
              </w:rPr>
            </w:pPr>
            <w:r>
              <w:rPr>
                <w:rFonts w:ascii="Arial" w:cs="Arial" w:eastAsia="Arial" w:hAnsi="Arial"/>
                <w:sz w:val="14"/>
                <w:szCs w:val="14"/>
                <w:b w:val="1"/>
                <w:bCs w:val="1"/>
                <w:color w:val="auto"/>
              </w:rPr>
              <w:t>Fair</w:t>
            </w: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tcPr>
          <w:p>
            <w:pPr>
              <w:jc w:val="right"/>
              <w:ind w:right="301"/>
              <w:spacing w:after="0" w:line="156" w:lineRule="exact"/>
              <w:rPr>
                <w:sz w:val="20"/>
                <w:szCs w:val="20"/>
                <w:color w:val="auto"/>
              </w:rPr>
            </w:pPr>
            <w:r>
              <w:rPr>
                <w:rFonts w:ascii="Arial" w:cs="Arial" w:eastAsia="Arial" w:hAnsi="Arial"/>
                <w:sz w:val="14"/>
                <w:szCs w:val="14"/>
                <w:b w:val="1"/>
                <w:bCs w:val="1"/>
                <w:color w:val="auto"/>
              </w:rPr>
              <w:t>Carrying</w:t>
            </w:r>
          </w:p>
        </w:tc>
        <w:tc>
          <w:tcPr>
            <w:tcW w:w="3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60" w:type="dxa"/>
            <w:vAlign w:val="bottom"/>
          </w:tcPr>
          <w:p>
            <w:pPr>
              <w:jc w:val="right"/>
              <w:ind w:right="459"/>
              <w:spacing w:after="0" w:line="156" w:lineRule="exact"/>
              <w:rPr>
                <w:sz w:val="20"/>
                <w:szCs w:val="20"/>
                <w:color w:val="auto"/>
              </w:rPr>
            </w:pPr>
            <w:r>
              <w:rPr>
                <w:rFonts w:ascii="Arial" w:cs="Arial" w:eastAsia="Arial" w:hAnsi="Arial"/>
                <w:sz w:val="14"/>
                <w:szCs w:val="14"/>
                <w:b w:val="1"/>
                <w:bCs w:val="1"/>
                <w:color w:val="auto"/>
              </w:rPr>
              <w:t>Fair</w:t>
            </w:r>
          </w:p>
        </w:tc>
      </w:tr>
      <w:tr>
        <w:trPr>
          <w:trHeight w:val="175"/>
        </w:trPr>
        <w:tc>
          <w:tcPr>
            <w:tcW w:w="4360" w:type="dxa"/>
            <w:vAlign w:val="bottom"/>
            <w:tcBorders>
              <w:bottom w:val="single" w:sz="8" w:color="E5FFFF"/>
            </w:tcBorders>
          </w:tcPr>
          <w:p>
            <w:pPr>
              <w:spacing w:after="0"/>
              <w:rPr>
                <w:sz w:val="15"/>
                <w:szCs w:val="15"/>
                <w:color w:val="auto"/>
              </w:rPr>
            </w:pPr>
          </w:p>
        </w:tc>
        <w:tc>
          <w:tcPr>
            <w:tcW w:w="580" w:type="dxa"/>
            <w:vAlign w:val="bottom"/>
            <w:tcBorders>
              <w:bottom w:val="single" w:sz="8" w:color="E5FF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Value</w:t>
            </w:r>
          </w:p>
        </w:tc>
        <w:tc>
          <w:tcPr>
            <w:tcW w:w="360" w:type="dxa"/>
            <w:vAlign w:val="bottom"/>
            <w:tcBorders>
              <w:bottom w:val="single" w:sz="8" w:color="E5FF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Value</w:t>
            </w:r>
          </w:p>
        </w:tc>
        <w:tc>
          <w:tcPr>
            <w:tcW w:w="340" w:type="dxa"/>
            <w:vAlign w:val="bottom"/>
            <w:tcBorders>
              <w:bottom w:val="single" w:sz="8" w:color="E5FF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Value</w:t>
            </w:r>
          </w:p>
        </w:tc>
        <w:tc>
          <w:tcPr>
            <w:tcW w:w="320" w:type="dxa"/>
            <w:vAlign w:val="bottom"/>
            <w:tcBorders>
              <w:bottom w:val="single" w:sz="8" w:color="E5FFFF"/>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w w:val="96"/>
              </w:rPr>
              <w:t>Value</w:t>
            </w:r>
          </w:p>
        </w:tc>
      </w:tr>
      <w:tr>
        <w:trPr>
          <w:trHeight w:val="196"/>
        </w:trPr>
        <w:tc>
          <w:tcPr>
            <w:tcW w:w="4360" w:type="dxa"/>
            <w:vAlign w:val="bottom"/>
            <w:shd w:val="clear" w:color="auto" w:fill="E5FF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58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1140" w:type="dxa"/>
            <w:vAlign w:val="bottom"/>
            <w:shd w:val="clear" w:color="auto" w:fill="E5FFFF"/>
          </w:tcPr>
          <w:p>
            <w:pPr>
              <w:spacing w:after="0"/>
              <w:rPr>
                <w:sz w:val="17"/>
                <w:szCs w:val="17"/>
                <w:color w:val="auto"/>
              </w:rPr>
            </w:pPr>
          </w:p>
        </w:tc>
        <w:tc>
          <w:tcPr>
            <w:tcW w:w="360" w:type="dxa"/>
            <w:vAlign w:val="bottom"/>
            <w:shd w:val="clear" w:color="auto" w:fill="E5FFFF"/>
          </w:tcPr>
          <w:p>
            <w:pPr>
              <w:spacing w:after="0"/>
              <w:rPr>
                <w:sz w:val="17"/>
                <w:szCs w:val="17"/>
                <w:color w:val="auto"/>
              </w:rPr>
            </w:pPr>
          </w:p>
        </w:tc>
        <w:tc>
          <w:tcPr>
            <w:tcW w:w="380" w:type="dxa"/>
            <w:vAlign w:val="bottom"/>
            <w:shd w:val="clear" w:color="auto" w:fill="E5FFFF"/>
          </w:tcPr>
          <w:p>
            <w:pPr>
              <w:spacing w:after="0"/>
              <w:rPr>
                <w:sz w:val="17"/>
                <w:szCs w:val="17"/>
                <w:color w:val="auto"/>
              </w:rPr>
            </w:pPr>
          </w:p>
        </w:tc>
        <w:tc>
          <w:tcPr>
            <w:tcW w:w="980" w:type="dxa"/>
            <w:vAlign w:val="bottom"/>
            <w:shd w:val="clear" w:color="auto" w:fill="E5FFFF"/>
          </w:tcPr>
          <w:p>
            <w:pPr>
              <w:spacing w:after="0"/>
              <w:rPr>
                <w:sz w:val="17"/>
                <w:szCs w:val="17"/>
                <w:color w:val="auto"/>
              </w:rPr>
            </w:pPr>
          </w:p>
        </w:tc>
        <w:tc>
          <w:tcPr>
            <w:tcW w:w="34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1120" w:type="dxa"/>
            <w:vAlign w:val="bottom"/>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500" w:type="dxa"/>
            <w:vAlign w:val="bottom"/>
            <w:shd w:val="clear" w:color="auto" w:fill="E5FFFF"/>
          </w:tcPr>
          <w:p>
            <w:pPr>
              <w:spacing w:after="0"/>
              <w:rPr>
                <w:sz w:val="17"/>
                <w:szCs w:val="17"/>
                <w:color w:val="auto"/>
              </w:rPr>
            </w:pPr>
          </w:p>
        </w:tc>
        <w:tc>
          <w:tcPr>
            <w:tcW w:w="860" w:type="dxa"/>
            <w:vAlign w:val="bottom"/>
            <w:shd w:val="clear" w:color="auto" w:fill="E5FFFF"/>
          </w:tcPr>
          <w:p>
            <w:pPr>
              <w:spacing w:after="0"/>
              <w:rPr>
                <w:sz w:val="17"/>
                <w:szCs w:val="17"/>
                <w:color w:val="auto"/>
              </w:rPr>
            </w:pPr>
          </w:p>
        </w:tc>
      </w:tr>
      <w:tr>
        <w:trPr>
          <w:trHeight w:val="203"/>
        </w:trPr>
        <w:tc>
          <w:tcPr>
            <w:tcW w:w="4360" w:type="dxa"/>
            <w:vAlign w:val="bottom"/>
          </w:tcPr>
          <w:p>
            <w:pPr>
              <w:ind w:left="180"/>
              <w:spacing w:after="0" w:line="202" w:lineRule="exact"/>
              <w:rPr>
                <w:sz w:val="20"/>
                <w:szCs w:val="20"/>
                <w:color w:val="auto"/>
              </w:rPr>
            </w:pPr>
            <w:r>
              <w:rPr>
                <w:rFonts w:ascii="Arial" w:cs="Arial" w:eastAsia="Arial" w:hAnsi="Arial"/>
                <w:sz w:val="18"/>
                <w:szCs w:val="18"/>
                <w:color w:val="auto"/>
              </w:rPr>
              <w:t>Long-term receivables</w:t>
            </w:r>
          </w:p>
        </w:tc>
        <w:tc>
          <w:tcPr>
            <w:tcW w:w="8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140" w:type="dxa"/>
            <w:vAlign w:val="bottom"/>
          </w:tcPr>
          <w:p>
            <w:pPr>
              <w:jc w:val="right"/>
              <w:ind w:right="41"/>
              <w:spacing w:after="0" w:line="202" w:lineRule="exact"/>
              <w:rPr>
                <w:sz w:val="20"/>
                <w:szCs w:val="20"/>
                <w:color w:val="auto"/>
              </w:rPr>
            </w:pPr>
            <w:r>
              <w:rPr>
                <w:rFonts w:ascii="Arial" w:cs="Arial" w:eastAsia="Arial" w:hAnsi="Arial"/>
                <w:sz w:val="18"/>
                <w:szCs w:val="18"/>
                <w:color w:val="auto"/>
              </w:rPr>
              <w:t>354</w:t>
            </w:r>
          </w:p>
        </w:tc>
        <w:tc>
          <w:tcPr>
            <w:tcW w:w="74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jc w:val="right"/>
              <w:ind w:right="19"/>
              <w:spacing w:after="0" w:line="202" w:lineRule="exact"/>
              <w:rPr>
                <w:sz w:val="20"/>
                <w:szCs w:val="20"/>
                <w:color w:val="auto"/>
              </w:rPr>
            </w:pPr>
            <w:r>
              <w:rPr>
                <w:rFonts w:ascii="Arial" w:cs="Arial" w:eastAsia="Arial" w:hAnsi="Arial"/>
                <w:sz w:val="18"/>
                <w:szCs w:val="18"/>
                <w:color w:val="auto"/>
              </w:rPr>
              <w:t>339</w:t>
            </w:r>
          </w:p>
        </w:tc>
        <w:tc>
          <w:tcPr>
            <w:tcW w:w="5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120" w:type="dxa"/>
            <w:vAlign w:val="bottom"/>
          </w:tcPr>
          <w:p>
            <w:pPr>
              <w:jc w:val="right"/>
              <w:ind w:right="41"/>
              <w:spacing w:after="0" w:line="202" w:lineRule="exact"/>
              <w:rPr>
                <w:sz w:val="20"/>
                <w:szCs w:val="20"/>
                <w:color w:val="auto"/>
              </w:rPr>
            </w:pPr>
            <w:r>
              <w:rPr>
                <w:rFonts w:ascii="Arial" w:cs="Arial" w:eastAsia="Arial" w:hAnsi="Arial"/>
                <w:sz w:val="18"/>
                <w:szCs w:val="18"/>
                <w:color w:val="auto"/>
              </w:rPr>
              <w:t>296</w:t>
            </w:r>
          </w:p>
        </w:tc>
        <w:tc>
          <w:tcPr>
            <w:tcW w:w="82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ind w:right="19"/>
              <w:spacing w:after="0" w:line="202" w:lineRule="exact"/>
              <w:rPr>
                <w:sz w:val="20"/>
                <w:szCs w:val="20"/>
                <w:color w:val="auto"/>
              </w:rPr>
            </w:pPr>
            <w:r>
              <w:rPr>
                <w:rFonts w:ascii="Arial" w:cs="Arial" w:eastAsia="Arial" w:hAnsi="Arial"/>
                <w:sz w:val="18"/>
                <w:szCs w:val="18"/>
                <w:color w:val="auto"/>
              </w:rPr>
              <w:t>289</w:t>
            </w:r>
          </w:p>
        </w:tc>
      </w:tr>
      <w:tr>
        <w:trPr>
          <w:trHeight w:val="203"/>
        </w:trPr>
        <w:tc>
          <w:tcPr>
            <w:tcW w:w="4360" w:type="dxa"/>
            <w:vAlign w:val="bottom"/>
            <w:shd w:val="clear" w:color="auto" w:fill="E5FFFF"/>
          </w:tcPr>
          <w:p>
            <w:pPr>
              <w:spacing w:after="0" w:line="202" w:lineRule="exact"/>
              <w:rPr>
                <w:sz w:val="20"/>
                <w:szCs w:val="20"/>
                <w:color w:val="auto"/>
              </w:rPr>
            </w:pPr>
            <w:r>
              <w:rPr>
                <w:rFonts w:ascii="Arial" w:cs="Arial" w:eastAsia="Arial" w:hAnsi="Arial"/>
                <w:sz w:val="18"/>
                <w:szCs w:val="18"/>
                <w:b w:val="1"/>
                <w:bCs w:val="1"/>
                <w:color w:val="auto"/>
              </w:rPr>
              <w:t>Liabilities</w:t>
            </w:r>
          </w:p>
        </w:tc>
        <w:tc>
          <w:tcPr>
            <w:tcW w:w="58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1140" w:type="dxa"/>
            <w:vAlign w:val="bottom"/>
            <w:shd w:val="clear" w:color="auto" w:fill="E5FFFF"/>
          </w:tcPr>
          <w:p>
            <w:pPr>
              <w:spacing w:after="0"/>
              <w:rPr>
                <w:sz w:val="17"/>
                <w:szCs w:val="17"/>
                <w:color w:val="auto"/>
              </w:rPr>
            </w:pPr>
          </w:p>
        </w:tc>
        <w:tc>
          <w:tcPr>
            <w:tcW w:w="360" w:type="dxa"/>
            <w:vAlign w:val="bottom"/>
            <w:shd w:val="clear" w:color="auto" w:fill="E5FFFF"/>
          </w:tcPr>
          <w:p>
            <w:pPr>
              <w:spacing w:after="0"/>
              <w:rPr>
                <w:sz w:val="17"/>
                <w:szCs w:val="17"/>
                <w:color w:val="auto"/>
              </w:rPr>
            </w:pPr>
          </w:p>
        </w:tc>
        <w:tc>
          <w:tcPr>
            <w:tcW w:w="380" w:type="dxa"/>
            <w:vAlign w:val="bottom"/>
            <w:shd w:val="clear" w:color="auto" w:fill="E5FFFF"/>
          </w:tcPr>
          <w:p>
            <w:pPr>
              <w:spacing w:after="0"/>
              <w:rPr>
                <w:sz w:val="17"/>
                <w:szCs w:val="17"/>
                <w:color w:val="auto"/>
              </w:rPr>
            </w:pPr>
          </w:p>
        </w:tc>
        <w:tc>
          <w:tcPr>
            <w:tcW w:w="980" w:type="dxa"/>
            <w:vAlign w:val="bottom"/>
            <w:shd w:val="clear" w:color="auto" w:fill="E5FFFF"/>
          </w:tcPr>
          <w:p>
            <w:pPr>
              <w:spacing w:after="0"/>
              <w:rPr>
                <w:sz w:val="17"/>
                <w:szCs w:val="17"/>
                <w:color w:val="auto"/>
              </w:rPr>
            </w:pPr>
          </w:p>
        </w:tc>
        <w:tc>
          <w:tcPr>
            <w:tcW w:w="34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1120" w:type="dxa"/>
            <w:vAlign w:val="bottom"/>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500" w:type="dxa"/>
            <w:vAlign w:val="bottom"/>
            <w:shd w:val="clear" w:color="auto" w:fill="E5FFFF"/>
          </w:tcPr>
          <w:p>
            <w:pPr>
              <w:spacing w:after="0"/>
              <w:rPr>
                <w:sz w:val="17"/>
                <w:szCs w:val="17"/>
                <w:color w:val="auto"/>
              </w:rPr>
            </w:pPr>
          </w:p>
        </w:tc>
        <w:tc>
          <w:tcPr>
            <w:tcW w:w="860" w:type="dxa"/>
            <w:vAlign w:val="bottom"/>
            <w:shd w:val="clear" w:color="auto" w:fill="E5FFFF"/>
          </w:tcPr>
          <w:p>
            <w:pPr>
              <w:spacing w:after="0"/>
              <w:rPr>
                <w:sz w:val="17"/>
                <w:szCs w:val="17"/>
                <w:color w:val="auto"/>
              </w:rPr>
            </w:pPr>
          </w:p>
        </w:tc>
      </w:tr>
      <w:tr>
        <w:trPr>
          <w:trHeight w:val="217"/>
        </w:trPr>
        <w:tc>
          <w:tcPr>
            <w:tcW w:w="4360" w:type="dxa"/>
            <w:vAlign w:val="bottom"/>
          </w:tcPr>
          <w:p>
            <w:pPr>
              <w:ind w:left="180"/>
              <w:spacing w:after="0"/>
              <w:rPr>
                <w:sz w:val="20"/>
                <w:szCs w:val="20"/>
                <w:color w:val="auto"/>
              </w:rPr>
            </w:pPr>
            <w:r>
              <w:rPr>
                <w:rFonts w:ascii="Arial" w:cs="Arial" w:eastAsia="Arial" w:hAnsi="Arial"/>
                <w:sz w:val="18"/>
                <w:szCs w:val="18"/>
                <w:color w:val="auto"/>
              </w:rPr>
              <w:t>Long-term debt and related current maturities</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41"/>
              <w:spacing w:after="0"/>
              <w:rPr>
                <w:sz w:val="20"/>
                <w:szCs w:val="20"/>
                <w:color w:val="auto"/>
              </w:rPr>
            </w:pPr>
            <w:r>
              <w:rPr>
                <w:rFonts w:ascii="Arial" w:cs="Arial" w:eastAsia="Arial" w:hAnsi="Arial"/>
                <w:sz w:val="18"/>
                <w:szCs w:val="18"/>
                <w:color w:val="auto"/>
              </w:rPr>
              <w:t>12,637</w:t>
            </w: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9"/>
              <w:spacing w:after="0"/>
              <w:rPr>
                <w:sz w:val="20"/>
                <w:szCs w:val="20"/>
                <w:color w:val="auto"/>
              </w:rPr>
            </w:pPr>
            <w:r>
              <w:rPr>
                <w:rFonts w:ascii="Arial" w:cs="Arial" w:eastAsia="Arial" w:hAnsi="Arial"/>
                <w:sz w:val="18"/>
                <w:szCs w:val="18"/>
                <w:color w:val="auto"/>
              </w:rPr>
              <w:t>13,201</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41"/>
              <w:spacing w:after="0"/>
              <w:rPr>
                <w:sz w:val="20"/>
                <w:szCs w:val="20"/>
                <w:color w:val="auto"/>
              </w:rPr>
            </w:pPr>
            <w:r>
              <w:rPr>
                <w:rFonts w:ascii="Arial" w:cs="Arial" w:eastAsia="Arial" w:hAnsi="Arial"/>
                <w:sz w:val="18"/>
                <w:szCs w:val="18"/>
                <w:color w:val="auto"/>
              </w:rPr>
              <w:t>13,924</w:t>
            </w:r>
          </w:p>
        </w:tc>
        <w:tc>
          <w:tcPr>
            <w:tcW w:w="8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9"/>
              <w:spacing w:after="0"/>
              <w:rPr>
                <w:sz w:val="20"/>
                <w:szCs w:val="20"/>
                <w:color w:val="auto"/>
              </w:rPr>
            </w:pPr>
            <w:r>
              <w:rPr>
                <w:rFonts w:ascii="Arial" w:cs="Arial" w:eastAsia="Arial" w:hAnsi="Arial"/>
                <w:sz w:val="18"/>
                <w:szCs w:val="18"/>
                <w:color w:val="auto"/>
              </w:rPr>
              <w:t>14,695</w:t>
            </w:r>
          </w:p>
        </w:tc>
      </w:tr>
    </w:tbl>
    <w:p>
      <w:pPr>
        <w:spacing w:after="0" w:line="187" w:lineRule="exact"/>
        <w:rPr>
          <w:sz w:val="20"/>
          <w:szCs w:val="20"/>
          <w:color w:val="auto"/>
        </w:rPr>
      </w:pPr>
    </w:p>
    <w:p>
      <w:pPr>
        <w:jc w:val="both"/>
        <w:ind w:right="20" w:firstLine="648"/>
        <w:spacing w:after="0" w:line="239" w:lineRule="auto"/>
        <w:rPr>
          <w:sz w:val="20"/>
          <w:szCs w:val="20"/>
          <w:color w:val="auto"/>
        </w:rPr>
      </w:pPr>
      <w:r>
        <w:rPr>
          <w:rFonts w:ascii="Arial" w:cs="Arial" w:eastAsia="Arial" w:hAnsi="Arial"/>
          <w:sz w:val="18"/>
          <w:szCs w:val="18"/>
          <w:color w:val="auto"/>
        </w:rPr>
        <w:t>The Company determined the fair value of the long-term receivables by discounting based upon the terms of the receivable and counterparty details including credit quality. As such, the fair value of these receivables is considered level 2. The Company determined the fair value of the long-term debt and related current maturities utilizing transactions in the listed markets for identical or similar liabilities. As such, the fair value of the long-term debt and related current maturities is considered level 2 as well.</w:t>
      </w:r>
    </w:p>
    <w:p>
      <w:pPr>
        <w:spacing w:after="0" w:line="188" w:lineRule="exact"/>
        <w:rPr>
          <w:sz w:val="20"/>
          <w:szCs w:val="20"/>
          <w:color w:val="auto"/>
        </w:rPr>
      </w:pPr>
    </w:p>
    <w:p>
      <w:pPr>
        <w:jc w:val="both"/>
        <w:ind w:right="20" w:firstLine="648"/>
        <w:spacing w:after="0" w:line="238" w:lineRule="auto"/>
        <w:rPr>
          <w:sz w:val="20"/>
          <w:szCs w:val="20"/>
          <w:color w:val="auto"/>
        </w:rPr>
      </w:pPr>
      <w:r>
        <w:rPr>
          <w:rFonts w:ascii="Arial" w:cs="Arial" w:eastAsia="Arial" w:hAnsi="Arial"/>
          <w:sz w:val="18"/>
          <w:szCs w:val="18"/>
          <w:color w:val="auto"/>
        </w:rPr>
        <w:t>Interest rate swap agreements are designated as hedge relationships with gains or losses on the derivative recognized in Interest and other financial charges offsetting the gains and losses on the underlying debt being hedged. For the three and six months ended June 30, 2018, we recognized $17 million and $63 million of losses in earnings on interest rate swap agreements. For the three and six months ended June 30, 2017, we recognized $9 million of losses and $2 million of gains in earnings on interest rate swap agreements. Gains and losses are fully offset by losses and gains on the underlying debt being hedged.</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0" w:right="2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Honeywell International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jc w:val="center"/>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198"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We economically hedge our exposure to changes in foreign exchange rates primarily with forward contracts. These contracts are marked-to-market with the resulting gains and losses recognized in earnings offsetting the gains and losses on the non-functional currency denominated monetary assets and liabilities being hedged. We recognized $344 million and $215 million of income in Other (income) expense for the three and six months ended June 30, 2018 on these contracts. We recognized $84 million and $118 million of income in Other (income) expense for the three and six months ended June 30, 2017.</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Accumulated Other Comprehensive Income (Loss)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Accumulated Other Comprehensive Income (Loss) by Component</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jc w:val="center"/>
              <w:ind w:right="59"/>
              <w:spacing w:after="0"/>
              <w:rPr>
                <w:sz w:val="20"/>
                <w:szCs w:val="20"/>
                <w:color w:val="auto"/>
              </w:rPr>
            </w:pPr>
            <w:r>
              <w:rPr>
                <w:rFonts w:ascii="Arial" w:cs="Arial" w:eastAsia="Arial" w:hAnsi="Arial"/>
                <w:sz w:val="14"/>
                <w:szCs w:val="14"/>
                <w:b w:val="1"/>
                <w:bCs w:val="1"/>
                <w:color w:val="auto"/>
              </w:rPr>
              <w:t>Pension</w:t>
            </w: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jc w:val="center"/>
              <w:ind w:right="139"/>
              <w:spacing w:after="0"/>
              <w:rPr>
                <w:sz w:val="20"/>
                <w:szCs w:val="20"/>
                <w:color w:val="auto"/>
              </w:rPr>
            </w:pPr>
            <w:r>
              <w:rPr>
                <w:rFonts w:ascii="Arial" w:cs="Arial" w:eastAsia="Arial" w:hAnsi="Arial"/>
                <w:sz w:val="14"/>
                <w:szCs w:val="14"/>
                <w:b w:val="1"/>
                <w:bCs w:val="1"/>
                <w:color w:val="auto"/>
              </w:rPr>
              <w:t>Changes in</w:t>
            </w: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2"/>
        </w:trPr>
        <w:tc>
          <w:tcPr>
            <w:tcW w:w="4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jc w:val="center"/>
              <w:ind w:right="118"/>
              <w:spacing w:after="0"/>
              <w:rPr>
                <w:sz w:val="20"/>
                <w:szCs w:val="20"/>
                <w:color w:val="auto"/>
              </w:rPr>
            </w:pPr>
            <w:r>
              <w:rPr>
                <w:rFonts w:ascii="Arial" w:cs="Arial" w:eastAsia="Arial" w:hAnsi="Arial"/>
                <w:sz w:val="14"/>
                <w:szCs w:val="14"/>
                <w:b w:val="1"/>
                <w:bCs w:val="1"/>
                <w:color w:val="auto"/>
              </w:rPr>
              <w:t>Foreign</w:t>
            </w: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jc w:val="center"/>
              <w:ind w:right="59"/>
              <w:spacing w:after="0"/>
              <w:rPr>
                <w:sz w:val="20"/>
                <w:szCs w:val="20"/>
                <w:color w:val="auto"/>
              </w:rPr>
            </w:pPr>
            <w:r>
              <w:rPr>
                <w:rFonts w:ascii="Arial" w:cs="Arial" w:eastAsia="Arial" w:hAnsi="Arial"/>
                <w:sz w:val="14"/>
                <w:szCs w:val="14"/>
                <w:b w:val="1"/>
                <w:bCs w:val="1"/>
                <w:color w:val="auto"/>
              </w:rPr>
              <w:t>and Other</w:t>
            </w: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jc w:val="center"/>
              <w:ind w:right="119"/>
              <w:spacing w:after="0"/>
              <w:rPr>
                <w:sz w:val="20"/>
                <w:szCs w:val="20"/>
                <w:color w:val="auto"/>
              </w:rPr>
            </w:pPr>
            <w:r>
              <w:rPr>
                <w:rFonts w:ascii="Arial" w:cs="Arial" w:eastAsia="Arial" w:hAnsi="Arial"/>
                <w:sz w:val="14"/>
                <w:szCs w:val="14"/>
                <w:b w:val="1"/>
                <w:bCs w:val="1"/>
                <w:color w:val="auto"/>
              </w:rPr>
              <w:t>Fair Value</w:t>
            </w: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2"/>
        </w:trPr>
        <w:tc>
          <w:tcPr>
            <w:tcW w:w="4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jc w:val="center"/>
              <w:ind w:right="98"/>
              <w:spacing w:after="0"/>
              <w:rPr>
                <w:sz w:val="20"/>
                <w:szCs w:val="20"/>
                <w:color w:val="auto"/>
              </w:rPr>
            </w:pPr>
            <w:r>
              <w:rPr>
                <w:rFonts w:ascii="Arial" w:cs="Arial" w:eastAsia="Arial" w:hAnsi="Arial"/>
                <w:sz w:val="14"/>
                <w:szCs w:val="14"/>
                <w:b w:val="1"/>
                <w:bCs w:val="1"/>
                <w:color w:val="auto"/>
              </w:rPr>
              <w:t>Exchange</w:t>
            </w: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jc w:val="center"/>
              <w:ind w:right="59"/>
              <w:spacing w:after="0"/>
              <w:rPr>
                <w:sz w:val="20"/>
                <w:szCs w:val="20"/>
                <w:color w:val="auto"/>
              </w:rPr>
            </w:pPr>
            <w:r>
              <w:rPr>
                <w:rFonts w:ascii="Arial" w:cs="Arial" w:eastAsia="Arial" w:hAnsi="Arial"/>
                <w:sz w:val="14"/>
                <w:szCs w:val="14"/>
                <w:b w:val="1"/>
                <w:bCs w:val="1"/>
                <w:color w:val="auto"/>
              </w:rPr>
              <w:t>Postretirement</w:t>
            </w: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jc w:val="center"/>
              <w:ind w:right="139"/>
              <w:spacing w:after="0"/>
              <w:rPr>
                <w:sz w:val="20"/>
                <w:szCs w:val="20"/>
                <w:color w:val="auto"/>
              </w:rPr>
            </w:pPr>
            <w:r>
              <w:rPr>
                <w:rFonts w:ascii="Arial" w:cs="Arial" w:eastAsia="Arial" w:hAnsi="Arial"/>
                <w:sz w:val="14"/>
                <w:szCs w:val="14"/>
                <w:b w:val="1"/>
                <w:bCs w:val="1"/>
                <w:color w:val="auto"/>
              </w:rPr>
              <w:t>of Effective</w:t>
            </w: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6"/>
        </w:trPr>
        <w:tc>
          <w:tcPr>
            <w:tcW w:w="4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jc w:val="center"/>
              <w:ind w:right="118"/>
              <w:spacing w:after="0"/>
              <w:rPr>
                <w:sz w:val="20"/>
                <w:szCs w:val="20"/>
                <w:color w:val="auto"/>
              </w:rPr>
            </w:pPr>
            <w:r>
              <w:rPr>
                <w:rFonts w:ascii="Arial" w:cs="Arial" w:eastAsia="Arial" w:hAnsi="Arial"/>
                <w:sz w:val="14"/>
                <w:szCs w:val="14"/>
                <w:b w:val="1"/>
                <w:bCs w:val="1"/>
                <w:color w:val="auto"/>
              </w:rPr>
              <w:t>Translation</w:t>
            </w: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jc w:val="center"/>
              <w:ind w:right="59"/>
              <w:spacing w:after="0"/>
              <w:rPr>
                <w:sz w:val="20"/>
                <w:szCs w:val="20"/>
                <w:color w:val="auto"/>
              </w:rPr>
            </w:pPr>
            <w:r>
              <w:rPr>
                <w:rFonts w:ascii="Arial" w:cs="Arial" w:eastAsia="Arial" w:hAnsi="Arial"/>
                <w:sz w:val="14"/>
                <w:szCs w:val="14"/>
                <w:b w:val="1"/>
                <w:bCs w:val="1"/>
                <w:color w:val="auto"/>
              </w:rPr>
              <w:t>Benefits</w:t>
            </w: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jc w:val="center"/>
              <w:ind w:right="119"/>
              <w:spacing w:after="0"/>
              <w:rPr>
                <w:sz w:val="20"/>
                <w:szCs w:val="20"/>
                <w:color w:val="auto"/>
              </w:rPr>
            </w:pPr>
            <w:r>
              <w:rPr>
                <w:rFonts w:ascii="Arial" w:cs="Arial" w:eastAsia="Arial" w:hAnsi="Arial"/>
                <w:sz w:val="14"/>
                <w:szCs w:val="14"/>
                <w:b w:val="1"/>
                <w:bCs w:val="1"/>
                <w:color w:val="auto"/>
              </w:rPr>
              <w:t>Cash Flow</w:t>
            </w:r>
          </w:p>
        </w:tc>
        <w:tc>
          <w:tcPr>
            <w:tcW w:w="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5"/>
        </w:trPr>
        <w:tc>
          <w:tcPr>
            <w:tcW w:w="4700" w:type="dxa"/>
            <w:vAlign w:val="bottom"/>
            <w:tcBorders>
              <w:bottom w:val="single" w:sz="8" w:color="E5FFFF"/>
            </w:tcBorders>
          </w:tcPr>
          <w:p>
            <w:pPr>
              <w:spacing w:after="0"/>
              <w:rPr>
                <w:sz w:val="15"/>
                <w:szCs w:val="15"/>
                <w:color w:val="auto"/>
              </w:rPr>
            </w:pPr>
          </w:p>
        </w:tc>
        <w:tc>
          <w:tcPr>
            <w:tcW w:w="240" w:type="dxa"/>
            <w:vAlign w:val="bottom"/>
            <w:tcBorders>
              <w:bottom w:val="single" w:sz="8" w:color="E5FF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center"/>
              <w:ind w:right="118"/>
              <w:spacing w:after="0"/>
              <w:rPr>
                <w:sz w:val="20"/>
                <w:szCs w:val="20"/>
                <w:color w:val="auto"/>
              </w:rPr>
            </w:pPr>
            <w:r>
              <w:rPr>
                <w:rFonts w:ascii="Arial" w:cs="Arial" w:eastAsia="Arial" w:hAnsi="Arial"/>
                <w:sz w:val="14"/>
                <w:szCs w:val="14"/>
                <w:b w:val="1"/>
                <w:bCs w:val="1"/>
                <w:color w:val="auto"/>
              </w:rPr>
              <w:t>Adjustment</w:t>
            </w:r>
          </w:p>
        </w:tc>
        <w:tc>
          <w:tcPr>
            <w:tcW w:w="360" w:type="dxa"/>
            <w:vAlign w:val="bottom"/>
            <w:tcBorders>
              <w:bottom w:val="single" w:sz="8" w:color="E5FF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rPr>
              <w:t>Adjustments</w:t>
            </w:r>
          </w:p>
        </w:tc>
        <w:tc>
          <w:tcPr>
            <w:tcW w:w="340" w:type="dxa"/>
            <w:vAlign w:val="bottom"/>
            <w:tcBorders>
              <w:bottom w:val="single" w:sz="8" w:color="E5FF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center"/>
              <w:ind w:right="119"/>
              <w:spacing w:after="0"/>
              <w:rPr>
                <w:sz w:val="20"/>
                <w:szCs w:val="20"/>
                <w:color w:val="auto"/>
              </w:rPr>
            </w:pPr>
            <w:r>
              <w:rPr>
                <w:rFonts w:ascii="Arial" w:cs="Arial" w:eastAsia="Arial" w:hAnsi="Arial"/>
                <w:sz w:val="14"/>
                <w:szCs w:val="14"/>
                <w:b w:val="1"/>
                <w:bCs w:val="1"/>
                <w:color w:val="auto"/>
              </w:rPr>
              <w:t>Hedges</w:t>
            </w:r>
          </w:p>
        </w:tc>
        <w:tc>
          <w:tcPr>
            <w:tcW w:w="320" w:type="dxa"/>
            <w:vAlign w:val="bottom"/>
            <w:tcBorders>
              <w:bottom w:val="single" w:sz="8" w:color="E5FF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Total</w:t>
            </w:r>
          </w:p>
        </w:tc>
      </w:tr>
      <w:tr>
        <w:trPr>
          <w:trHeight w:val="196"/>
        </w:trPr>
        <w:tc>
          <w:tcPr>
            <w:tcW w:w="4700" w:type="dxa"/>
            <w:vAlign w:val="bottom"/>
            <w:shd w:val="clear" w:color="auto" w:fill="E5FFFF"/>
          </w:tcPr>
          <w:p>
            <w:pPr>
              <w:spacing w:after="0" w:line="196" w:lineRule="exact"/>
              <w:rPr>
                <w:sz w:val="20"/>
                <w:szCs w:val="20"/>
                <w:color w:val="auto"/>
              </w:rPr>
            </w:pPr>
            <w:r>
              <w:rPr>
                <w:rFonts w:ascii="Arial" w:cs="Arial" w:eastAsia="Arial" w:hAnsi="Arial"/>
                <w:sz w:val="18"/>
                <w:szCs w:val="18"/>
                <w:color w:val="auto"/>
              </w:rPr>
              <w:t>Balance at December 31, 2017</w:t>
            </w:r>
          </w:p>
        </w:tc>
        <w:tc>
          <w:tcPr>
            <w:tcW w:w="240" w:type="dxa"/>
            <w:vAlign w:val="bottom"/>
            <w:shd w:val="clear" w:color="auto" w:fill="E5FFFF"/>
          </w:tcPr>
          <w:p>
            <w:pPr>
              <w:spacing w:after="0"/>
              <w:rPr>
                <w:sz w:val="17"/>
                <w:szCs w:val="17"/>
                <w:color w:val="auto"/>
              </w:rPr>
            </w:pPr>
          </w:p>
        </w:tc>
        <w:tc>
          <w:tcPr>
            <w:tcW w:w="200" w:type="dxa"/>
            <w:vAlign w:val="bottom"/>
            <w:shd w:val="clear" w:color="auto" w:fill="E5FF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shd w:val="clear" w:color="auto" w:fill="E5FFFF"/>
          </w:tcPr>
          <w:p>
            <w:pPr>
              <w:jc w:val="right"/>
              <w:spacing w:after="0" w:line="196" w:lineRule="exact"/>
              <w:rPr>
                <w:sz w:val="20"/>
                <w:szCs w:val="20"/>
                <w:color w:val="auto"/>
              </w:rPr>
            </w:pPr>
            <w:r>
              <w:rPr>
                <w:rFonts w:ascii="Arial" w:cs="Arial" w:eastAsia="Arial" w:hAnsi="Arial"/>
                <w:sz w:val="18"/>
                <w:szCs w:val="18"/>
                <w:color w:val="auto"/>
              </w:rPr>
              <w:t>(1,981)</w:t>
            </w:r>
          </w:p>
        </w:tc>
        <w:tc>
          <w:tcPr>
            <w:tcW w:w="360" w:type="dxa"/>
            <w:vAlign w:val="bottom"/>
            <w:shd w:val="clear" w:color="auto" w:fill="E5FFFF"/>
          </w:tcPr>
          <w:p>
            <w:pPr>
              <w:spacing w:after="0"/>
              <w:rPr>
                <w:sz w:val="17"/>
                <w:szCs w:val="17"/>
                <w:color w:val="auto"/>
              </w:rPr>
            </w:pPr>
          </w:p>
        </w:tc>
        <w:tc>
          <w:tcPr>
            <w:tcW w:w="140" w:type="dxa"/>
            <w:vAlign w:val="bottom"/>
            <w:shd w:val="clear" w:color="auto" w:fill="E5FFFF"/>
          </w:tcPr>
          <w:p>
            <w:pPr>
              <w:jc w:val="right"/>
              <w:spacing w:after="0" w:line="196" w:lineRule="exact"/>
              <w:rPr>
                <w:sz w:val="20"/>
                <w:szCs w:val="20"/>
                <w:color w:val="auto"/>
              </w:rPr>
            </w:pPr>
            <w:r>
              <w:rPr>
                <w:rFonts w:ascii="Arial" w:cs="Arial" w:eastAsia="Arial" w:hAnsi="Arial"/>
                <w:sz w:val="18"/>
                <w:szCs w:val="18"/>
                <w:color w:val="auto"/>
                <w:w w:val="79"/>
              </w:rPr>
              <w:t>$</w:t>
            </w:r>
          </w:p>
        </w:tc>
        <w:tc>
          <w:tcPr>
            <w:tcW w:w="1220" w:type="dxa"/>
            <w:vAlign w:val="bottom"/>
            <w:shd w:val="clear" w:color="auto" w:fill="E5FFFF"/>
          </w:tcPr>
          <w:p>
            <w:pPr>
              <w:jc w:val="right"/>
              <w:spacing w:after="0" w:line="196" w:lineRule="exact"/>
              <w:rPr>
                <w:sz w:val="20"/>
                <w:szCs w:val="20"/>
                <w:color w:val="auto"/>
              </w:rPr>
            </w:pPr>
            <w:r>
              <w:rPr>
                <w:rFonts w:ascii="Arial" w:cs="Arial" w:eastAsia="Arial" w:hAnsi="Arial"/>
                <w:sz w:val="18"/>
                <w:szCs w:val="18"/>
                <w:color w:val="auto"/>
              </w:rPr>
              <w:t>(202)</w:t>
            </w:r>
          </w:p>
        </w:tc>
        <w:tc>
          <w:tcPr>
            <w:tcW w:w="340" w:type="dxa"/>
            <w:vAlign w:val="bottom"/>
            <w:shd w:val="clear" w:color="auto" w:fill="E5FFFF"/>
          </w:tcPr>
          <w:p>
            <w:pPr>
              <w:spacing w:after="0"/>
              <w:rPr>
                <w:sz w:val="17"/>
                <w:szCs w:val="17"/>
                <w:color w:val="auto"/>
              </w:rPr>
            </w:pPr>
          </w:p>
        </w:tc>
        <w:tc>
          <w:tcPr>
            <w:tcW w:w="200" w:type="dxa"/>
            <w:vAlign w:val="bottom"/>
            <w:shd w:val="clear" w:color="auto" w:fill="E5FF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shd w:val="clear" w:color="auto" w:fill="E5FFFF"/>
          </w:tcPr>
          <w:p>
            <w:pPr>
              <w:jc w:val="right"/>
              <w:spacing w:after="0" w:line="196" w:lineRule="exact"/>
              <w:rPr>
                <w:sz w:val="20"/>
                <w:szCs w:val="20"/>
                <w:color w:val="auto"/>
              </w:rPr>
            </w:pPr>
            <w:r>
              <w:rPr>
                <w:rFonts w:ascii="Arial" w:cs="Arial" w:eastAsia="Arial" w:hAnsi="Arial"/>
                <w:sz w:val="18"/>
                <w:szCs w:val="18"/>
                <w:color w:val="auto"/>
              </w:rPr>
              <w:t>(52)</w:t>
            </w:r>
          </w:p>
        </w:tc>
        <w:tc>
          <w:tcPr>
            <w:tcW w:w="320" w:type="dxa"/>
            <w:vAlign w:val="bottom"/>
            <w:shd w:val="clear" w:color="auto" w:fill="E5FFFF"/>
          </w:tcPr>
          <w:p>
            <w:pPr>
              <w:spacing w:after="0"/>
              <w:rPr>
                <w:sz w:val="17"/>
                <w:szCs w:val="17"/>
                <w:color w:val="auto"/>
              </w:rPr>
            </w:pPr>
          </w:p>
        </w:tc>
        <w:tc>
          <w:tcPr>
            <w:tcW w:w="320" w:type="dxa"/>
            <w:vAlign w:val="bottom"/>
            <w:shd w:val="clear" w:color="auto" w:fill="E5FFFF"/>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shd w:val="clear" w:color="auto" w:fill="E5FFFF"/>
          </w:tcPr>
          <w:p>
            <w:pPr>
              <w:jc w:val="right"/>
              <w:spacing w:after="0" w:line="196" w:lineRule="exact"/>
              <w:rPr>
                <w:sz w:val="20"/>
                <w:szCs w:val="20"/>
                <w:color w:val="auto"/>
              </w:rPr>
            </w:pPr>
            <w:r>
              <w:rPr>
                <w:rFonts w:ascii="Arial" w:cs="Arial" w:eastAsia="Arial" w:hAnsi="Arial"/>
                <w:sz w:val="18"/>
                <w:szCs w:val="18"/>
                <w:color w:val="auto"/>
              </w:rPr>
              <w:t>(2,235)</w:t>
            </w:r>
          </w:p>
        </w:tc>
      </w:tr>
      <w:tr>
        <w:trPr>
          <w:trHeight w:val="202"/>
        </w:trPr>
        <w:tc>
          <w:tcPr>
            <w:tcW w:w="4700" w:type="dxa"/>
            <w:vAlign w:val="bottom"/>
          </w:tcPr>
          <w:p>
            <w:pPr>
              <w:ind w:left="180"/>
              <w:spacing w:after="0" w:line="201" w:lineRule="exact"/>
              <w:rPr>
                <w:sz w:val="20"/>
                <w:szCs w:val="20"/>
                <w:color w:val="auto"/>
              </w:rPr>
            </w:pPr>
            <w:r>
              <w:rPr>
                <w:rFonts w:ascii="Arial" w:cs="Arial" w:eastAsia="Arial" w:hAnsi="Arial"/>
                <w:sz w:val="18"/>
                <w:szCs w:val="18"/>
                <w:color w:val="auto"/>
              </w:rPr>
              <w:t>Other comprehensive income (loss) before</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17"/>
        </w:trPr>
        <w:tc>
          <w:tcPr>
            <w:tcW w:w="4700" w:type="dxa"/>
            <w:vAlign w:val="bottom"/>
          </w:tcPr>
          <w:p>
            <w:pPr>
              <w:ind w:left="360"/>
              <w:spacing w:after="0"/>
              <w:rPr>
                <w:sz w:val="20"/>
                <w:szCs w:val="20"/>
                <w:color w:val="auto"/>
              </w:rPr>
            </w:pPr>
            <w:r>
              <w:rPr>
                <w:rFonts w:ascii="Arial" w:cs="Arial" w:eastAsia="Arial" w:hAnsi="Arial"/>
                <w:sz w:val="18"/>
                <w:szCs w:val="18"/>
                <w:color w:val="auto"/>
              </w:rPr>
              <w:t>reclassifications</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ind w:right="38"/>
              <w:spacing w:after="0"/>
              <w:rPr>
                <w:sz w:val="20"/>
                <w:szCs w:val="20"/>
                <w:color w:val="auto"/>
              </w:rPr>
            </w:pPr>
            <w:r>
              <w:rPr>
                <w:rFonts w:ascii="Arial" w:cs="Arial" w:eastAsia="Arial" w:hAnsi="Arial"/>
                <w:sz w:val="18"/>
                <w:szCs w:val="18"/>
                <w:color w:val="auto"/>
              </w:rPr>
              <w:t>12</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ind w:right="19"/>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ind w:right="39"/>
              <w:spacing w:after="0"/>
              <w:rPr>
                <w:sz w:val="20"/>
                <w:szCs w:val="20"/>
                <w:color w:val="auto"/>
              </w:rPr>
            </w:pPr>
            <w:r>
              <w:rPr>
                <w:rFonts w:ascii="Arial" w:cs="Arial" w:eastAsia="Arial" w:hAnsi="Arial"/>
                <w:sz w:val="18"/>
                <w:szCs w:val="18"/>
                <w:color w:val="auto"/>
              </w:rPr>
              <w:t>2</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14</w:t>
            </w:r>
          </w:p>
        </w:tc>
      </w:tr>
      <w:tr>
        <w:trPr>
          <w:trHeight w:val="202"/>
        </w:trPr>
        <w:tc>
          <w:tcPr>
            <w:tcW w:w="4700" w:type="dxa"/>
            <w:vAlign w:val="bottom"/>
            <w:shd w:val="clear" w:color="auto" w:fill="E5FFFF"/>
          </w:tcPr>
          <w:p>
            <w:pPr>
              <w:ind w:left="180"/>
              <w:spacing w:after="0" w:line="201" w:lineRule="exact"/>
              <w:rPr>
                <w:sz w:val="20"/>
                <w:szCs w:val="20"/>
                <w:color w:val="auto"/>
              </w:rPr>
            </w:pPr>
            <w:r>
              <w:rPr>
                <w:rFonts w:ascii="Arial" w:cs="Arial" w:eastAsia="Arial" w:hAnsi="Arial"/>
                <w:sz w:val="18"/>
                <w:szCs w:val="18"/>
                <w:color w:val="auto"/>
              </w:rPr>
              <w:t>Amounts reclassified from accumulated other</w:t>
            </w:r>
          </w:p>
        </w:tc>
        <w:tc>
          <w:tcPr>
            <w:tcW w:w="24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1180" w:type="dxa"/>
            <w:vAlign w:val="bottom"/>
            <w:shd w:val="clear" w:color="auto" w:fill="E5FFFF"/>
          </w:tcPr>
          <w:p>
            <w:pPr>
              <w:spacing w:after="0"/>
              <w:rPr>
                <w:sz w:val="17"/>
                <w:szCs w:val="17"/>
                <w:color w:val="auto"/>
              </w:rPr>
            </w:pPr>
          </w:p>
        </w:tc>
        <w:tc>
          <w:tcPr>
            <w:tcW w:w="360" w:type="dxa"/>
            <w:vAlign w:val="bottom"/>
            <w:shd w:val="clear" w:color="auto" w:fill="E5FFFF"/>
          </w:tcPr>
          <w:p>
            <w:pPr>
              <w:spacing w:after="0"/>
              <w:rPr>
                <w:sz w:val="17"/>
                <w:szCs w:val="17"/>
                <w:color w:val="auto"/>
              </w:rPr>
            </w:pPr>
          </w:p>
        </w:tc>
        <w:tc>
          <w:tcPr>
            <w:tcW w:w="140" w:type="dxa"/>
            <w:vAlign w:val="bottom"/>
            <w:shd w:val="clear" w:color="auto" w:fill="E5FFFF"/>
          </w:tcPr>
          <w:p>
            <w:pPr>
              <w:spacing w:after="0"/>
              <w:rPr>
                <w:sz w:val="17"/>
                <w:szCs w:val="17"/>
                <w:color w:val="auto"/>
              </w:rPr>
            </w:pPr>
          </w:p>
        </w:tc>
        <w:tc>
          <w:tcPr>
            <w:tcW w:w="1220" w:type="dxa"/>
            <w:vAlign w:val="bottom"/>
            <w:shd w:val="clear" w:color="auto" w:fill="E5FFFF"/>
          </w:tcPr>
          <w:p>
            <w:pPr>
              <w:spacing w:after="0"/>
              <w:rPr>
                <w:sz w:val="17"/>
                <w:szCs w:val="17"/>
                <w:color w:val="auto"/>
              </w:rPr>
            </w:pPr>
          </w:p>
        </w:tc>
        <w:tc>
          <w:tcPr>
            <w:tcW w:w="34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1160" w:type="dxa"/>
            <w:vAlign w:val="bottom"/>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1040" w:type="dxa"/>
            <w:vAlign w:val="bottom"/>
            <w:shd w:val="clear" w:color="auto" w:fill="E5FFFF"/>
          </w:tcPr>
          <w:p>
            <w:pPr>
              <w:spacing w:after="0"/>
              <w:rPr>
                <w:sz w:val="17"/>
                <w:szCs w:val="17"/>
                <w:color w:val="auto"/>
              </w:rPr>
            </w:pPr>
          </w:p>
        </w:tc>
      </w:tr>
      <w:tr>
        <w:trPr>
          <w:trHeight w:val="217"/>
        </w:trPr>
        <w:tc>
          <w:tcPr>
            <w:tcW w:w="4700" w:type="dxa"/>
            <w:vAlign w:val="bottom"/>
            <w:shd w:val="clear" w:color="auto" w:fill="E5FFFF"/>
          </w:tcPr>
          <w:p>
            <w:pPr>
              <w:ind w:left="360"/>
              <w:spacing w:after="0"/>
              <w:rPr>
                <w:sz w:val="20"/>
                <w:szCs w:val="20"/>
                <w:color w:val="auto"/>
              </w:rPr>
            </w:pPr>
            <w:r>
              <w:rPr>
                <w:rFonts w:ascii="Arial" w:cs="Arial" w:eastAsia="Arial" w:hAnsi="Arial"/>
                <w:sz w:val="18"/>
                <w:szCs w:val="18"/>
                <w:color w:val="auto"/>
              </w:rPr>
              <w:t>comprehensive income</w:t>
            </w:r>
          </w:p>
        </w:tc>
        <w:tc>
          <w:tcPr>
            <w:tcW w:w="240" w:type="dxa"/>
            <w:vAlign w:val="bottom"/>
            <w:shd w:val="clear" w:color="auto" w:fill="E5FFFF"/>
          </w:tcPr>
          <w:p>
            <w:pPr>
              <w:spacing w:after="0"/>
              <w:rPr>
                <w:sz w:val="18"/>
                <w:szCs w:val="18"/>
                <w:color w:val="auto"/>
              </w:rPr>
            </w:pPr>
          </w:p>
        </w:tc>
        <w:tc>
          <w:tcPr>
            <w:tcW w:w="200" w:type="dxa"/>
            <w:vAlign w:val="bottom"/>
            <w:tcBorders>
              <w:bottom w:val="single" w:sz="8" w:color="auto"/>
            </w:tcBorders>
            <w:shd w:val="clear" w:color="auto" w:fill="E5FFFF"/>
          </w:tcPr>
          <w:p>
            <w:pPr>
              <w:spacing w:after="0"/>
              <w:rPr>
                <w:sz w:val="18"/>
                <w:szCs w:val="18"/>
                <w:color w:val="auto"/>
              </w:rPr>
            </w:pPr>
          </w:p>
        </w:tc>
        <w:tc>
          <w:tcPr>
            <w:tcW w:w="1180" w:type="dxa"/>
            <w:vAlign w:val="bottom"/>
            <w:tcBorders>
              <w:bottom w:val="single" w:sz="8" w:color="auto"/>
            </w:tcBorders>
            <w:shd w:val="clear" w:color="auto" w:fill="E5FFFF"/>
          </w:tcPr>
          <w:p>
            <w:pPr>
              <w:jc w:val="right"/>
              <w:ind w:right="38"/>
              <w:spacing w:after="0"/>
              <w:rPr>
                <w:sz w:val="20"/>
                <w:szCs w:val="20"/>
                <w:color w:val="auto"/>
              </w:rPr>
            </w:pPr>
            <w:r>
              <w:rPr>
                <w:rFonts w:ascii="Arial" w:cs="Arial" w:eastAsia="Arial" w:hAnsi="Arial"/>
                <w:sz w:val="18"/>
                <w:szCs w:val="18"/>
                <w:color w:val="auto"/>
              </w:rPr>
              <w:t>-</w:t>
            </w:r>
          </w:p>
        </w:tc>
        <w:tc>
          <w:tcPr>
            <w:tcW w:w="360" w:type="dxa"/>
            <w:vAlign w:val="bottom"/>
            <w:shd w:val="clear" w:color="auto" w:fill="E5FFFF"/>
          </w:tcPr>
          <w:p>
            <w:pPr>
              <w:spacing w:after="0"/>
              <w:rPr>
                <w:sz w:val="18"/>
                <w:szCs w:val="18"/>
                <w:color w:val="auto"/>
              </w:rPr>
            </w:pPr>
          </w:p>
        </w:tc>
        <w:tc>
          <w:tcPr>
            <w:tcW w:w="140" w:type="dxa"/>
            <w:vAlign w:val="bottom"/>
            <w:tcBorders>
              <w:bottom w:val="single" w:sz="8" w:color="auto"/>
            </w:tcBorders>
            <w:shd w:val="clear" w:color="auto" w:fill="E5FFFF"/>
          </w:tcPr>
          <w:p>
            <w:pPr>
              <w:spacing w:after="0"/>
              <w:rPr>
                <w:sz w:val="18"/>
                <w:szCs w:val="18"/>
                <w:color w:val="auto"/>
              </w:rPr>
            </w:pPr>
          </w:p>
        </w:tc>
        <w:tc>
          <w:tcPr>
            <w:tcW w:w="12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(32)</w:t>
            </w:r>
          </w:p>
        </w:tc>
        <w:tc>
          <w:tcPr>
            <w:tcW w:w="340" w:type="dxa"/>
            <w:vAlign w:val="bottom"/>
            <w:shd w:val="clear" w:color="auto" w:fill="E5FFFF"/>
          </w:tcPr>
          <w:p>
            <w:pPr>
              <w:spacing w:after="0"/>
              <w:rPr>
                <w:sz w:val="18"/>
                <w:szCs w:val="18"/>
                <w:color w:val="auto"/>
              </w:rPr>
            </w:pPr>
          </w:p>
        </w:tc>
        <w:tc>
          <w:tcPr>
            <w:tcW w:w="200" w:type="dxa"/>
            <w:vAlign w:val="bottom"/>
            <w:tcBorders>
              <w:bottom w:val="single" w:sz="8" w:color="auto"/>
            </w:tcBorders>
            <w:shd w:val="clear" w:color="auto" w:fill="E5FFFF"/>
          </w:tcPr>
          <w:p>
            <w:pPr>
              <w:spacing w:after="0"/>
              <w:rPr>
                <w:sz w:val="18"/>
                <w:szCs w:val="18"/>
                <w:color w:val="auto"/>
              </w:rPr>
            </w:pPr>
          </w:p>
        </w:tc>
        <w:tc>
          <w:tcPr>
            <w:tcW w:w="1160" w:type="dxa"/>
            <w:vAlign w:val="bottom"/>
            <w:tcBorders>
              <w:bottom w:val="single" w:sz="8" w:color="auto"/>
            </w:tcBorders>
            <w:shd w:val="clear" w:color="auto" w:fill="E5FFFF"/>
          </w:tcPr>
          <w:p>
            <w:pPr>
              <w:jc w:val="right"/>
              <w:ind w:right="39"/>
              <w:spacing w:after="0"/>
              <w:rPr>
                <w:sz w:val="20"/>
                <w:szCs w:val="20"/>
                <w:color w:val="auto"/>
              </w:rPr>
            </w:pPr>
            <w:r>
              <w:rPr>
                <w:rFonts w:ascii="Arial" w:cs="Arial" w:eastAsia="Arial" w:hAnsi="Arial"/>
                <w:sz w:val="18"/>
                <w:szCs w:val="18"/>
                <w:color w:val="auto"/>
              </w:rPr>
              <w:t>31</w:t>
            </w:r>
          </w:p>
        </w:tc>
        <w:tc>
          <w:tcPr>
            <w:tcW w:w="320" w:type="dxa"/>
            <w:vAlign w:val="bottom"/>
            <w:shd w:val="clear" w:color="auto" w:fill="E5FFFF"/>
          </w:tcPr>
          <w:p>
            <w:pPr>
              <w:spacing w:after="0"/>
              <w:rPr>
                <w:sz w:val="18"/>
                <w:szCs w:val="18"/>
                <w:color w:val="auto"/>
              </w:rPr>
            </w:pPr>
          </w:p>
        </w:tc>
        <w:tc>
          <w:tcPr>
            <w:tcW w:w="320" w:type="dxa"/>
            <w:vAlign w:val="bottom"/>
            <w:tcBorders>
              <w:bottom w:val="single" w:sz="8" w:color="auto"/>
            </w:tcBorders>
            <w:shd w:val="clear" w:color="auto" w:fill="E5FFFF"/>
          </w:tcPr>
          <w:p>
            <w:pPr>
              <w:spacing w:after="0"/>
              <w:rPr>
                <w:sz w:val="18"/>
                <w:szCs w:val="18"/>
                <w:color w:val="auto"/>
              </w:rPr>
            </w:pPr>
          </w:p>
        </w:tc>
        <w:tc>
          <w:tcPr>
            <w:tcW w:w="10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(1)</w:t>
            </w:r>
          </w:p>
        </w:tc>
      </w:tr>
      <w:tr>
        <w:trPr>
          <w:trHeight w:val="196"/>
        </w:trPr>
        <w:tc>
          <w:tcPr>
            <w:tcW w:w="4700" w:type="dxa"/>
            <w:vAlign w:val="bottom"/>
            <w:tcBorders>
              <w:bottom w:val="single" w:sz="8" w:color="E5FFFF"/>
            </w:tcBorders>
          </w:tcPr>
          <w:p>
            <w:pPr>
              <w:ind w:left="180"/>
              <w:spacing w:after="0" w:line="196" w:lineRule="exact"/>
              <w:rPr>
                <w:sz w:val="20"/>
                <w:szCs w:val="20"/>
                <w:color w:val="auto"/>
              </w:rPr>
            </w:pPr>
            <w:r>
              <w:rPr>
                <w:rFonts w:ascii="Arial" w:cs="Arial" w:eastAsia="Arial" w:hAnsi="Arial"/>
                <w:sz w:val="18"/>
                <w:szCs w:val="18"/>
                <w:color w:val="auto"/>
              </w:rPr>
              <w:t>Net current period other comprehensive income (loss)</w:t>
            </w:r>
          </w:p>
        </w:tc>
        <w:tc>
          <w:tcPr>
            <w:tcW w:w="240" w:type="dxa"/>
            <w:vAlign w:val="bottom"/>
            <w:tcBorders>
              <w:bottom w:val="single" w:sz="8" w:color="E5FF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38"/>
              <w:spacing w:after="0" w:line="196" w:lineRule="exact"/>
              <w:rPr>
                <w:sz w:val="20"/>
                <w:szCs w:val="20"/>
                <w:color w:val="auto"/>
              </w:rPr>
            </w:pPr>
            <w:r>
              <w:rPr>
                <w:rFonts w:ascii="Arial" w:cs="Arial" w:eastAsia="Arial" w:hAnsi="Arial"/>
                <w:sz w:val="18"/>
                <w:szCs w:val="18"/>
                <w:color w:val="auto"/>
              </w:rPr>
              <w:t>12</w:t>
            </w:r>
          </w:p>
        </w:tc>
        <w:tc>
          <w:tcPr>
            <w:tcW w:w="360" w:type="dxa"/>
            <w:vAlign w:val="bottom"/>
            <w:tcBorders>
              <w:bottom w:val="single" w:sz="8" w:color="E5FF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(32)</w:t>
            </w:r>
          </w:p>
        </w:tc>
        <w:tc>
          <w:tcPr>
            <w:tcW w:w="340" w:type="dxa"/>
            <w:vAlign w:val="bottom"/>
            <w:tcBorders>
              <w:bottom w:val="single" w:sz="8" w:color="E5FF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39"/>
              <w:spacing w:after="0" w:line="196" w:lineRule="exact"/>
              <w:rPr>
                <w:sz w:val="20"/>
                <w:szCs w:val="20"/>
                <w:color w:val="auto"/>
              </w:rPr>
            </w:pPr>
            <w:r>
              <w:rPr>
                <w:rFonts w:ascii="Arial" w:cs="Arial" w:eastAsia="Arial" w:hAnsi="Arial"/>
                <w:sz w:val="18"/>
                <w:szCs w:val="18"/>
                <w:color w:val="auto"/>
              </w:rPr>
              <w:t>33</w:t>
            </w:r>
          </w:p>
        </w:tc>
        <w:tc>
          <w:tcPr>
            <w:tcW w:w="320" w:type="dxa"/>
            <w:vAlign w:val="bottom"/>
            <w:tcBorders>
              <w:bottom w:val="single" w:sz="8" w:color="E5FF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13"/>
              <w:spacing w:after="0" w:line="196" w:lineRule="exact"/>
              <w:rPr>
                <w:sz w:val="20"/>
                <w:szCs w:val="20"/>
                <w:color w:val="auto"/>
              </w:rPr>
            </w:pPr>
            <w:r>
              <w:rPr>
                <w:rFonts w:ascii="Arial" w:cs="Arial" w:eastAsia="Arial" w:hAnsi="Arial"/>
                <w:sz w:val="18"/>
                <w:szCs w:val="18"/>
                <w:color w:val="auto"/>
              </w:rPr>
              <w:t>13</w:t>
            </w:r>
          </w:p>
        </w:tc>
      </w:tr>
      <w:tr>
        <w:trPr>
          <w:trHeight w:val="210"/>
        </w:trPr>
        <w:tc>
          <w:tcPr>
            <w:tcW w:w="4700" w:type="dxa"/>
            <w:vAlign w:val="bottom"/>
            <w:shd w:val="clear" w:color="auto" w:fill="E5FFFF"/>
          </w:tcPr>
          <w:p>
            <w:pPr>
              <w:spacing w:after="0" w:line="197" w:lineRule="exact"/>
              <w:rPr>
                <w:sz w:val="20"/>
                <w:szCs w:val="20"/>
                <w:color w:val="auto"/>
              </w:rPr>
            </w:pPr>
            <w:r>
              <w:rPr>
                <w:rFonts w:ascii="Arial" w:cs="Arial" w:eastAsia="Arial" w:hAnsi="Arial"/>
                <w:sz w:val="18"/>
                <w:szCs w:val="18"/>
                <w:color w:val="auto"/>
              </w:rPr>
              <w:t>Balance at June 30, 2018</w:t>
            </w:r>
          </w:p>
        </w:tc>
        <w:tc>
          <w:tcPr>
            <w:tcW w:w="440" w:type="dxa"/>
            <w:vAlign w:val="bottom"/>
            <w:gridSpan w:val="2"/>
            <w:shd w:val="clear" w:color="auto" w:fill="E5FFFF"/>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shd w:val="clear" w:color="auto" w:fill="E5FFFF"/>
          </w:tcPr>
          <w:p>
            <w:pPr>
              <w:jc w:val="right"/>
              <w:spacing w:after="0"/>
              <w:rPr>
                <w:sz w:val="20"/>
                <w:szCs w:val="20"/>
                <w:color w:val="auto"/>
              </w:rPr>
            </w:pPr>
            <w:r>
              <w:rPr>
                <w:rFonts w:ascii="Arial" w:cs="Arial" w:eastAsia="Arial" w:hAnsi="Arial"/>
                <w:sz w:val="18"/>
                <w:szCs w:val="18"/>
                <w:color w:val="auto"/>
              </w:rPr>
              <w:t>(1,969)</w:t>
            </w:r>
          </w:p>
        </w:tc>
        <w:tc>
          <w:tcPr>
            <w:tcW w:w="50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E5FFFF"/>
          </w:tcPr>
          <w:p>
            <w:pPr>
              <w:jc w:val="right"/>
              <w:spacing w:after="0"/>
              <w:rPr>
                <w:sz w:val="20"/>
                <w:szCs w:val="20"/>
                <w:color w:val="auto"/>
              </w:rPr>
            </w:pPr>
            <w:r>
              <w:rPr>
                <w:rFonts w:ascii="Arial" w:cs="Arial" w:eastAsia="Arial" w:hAnsi="Arial"/>
                <w:sz w:val="18"/>
                <w:szCs w:val="18"/>
                <w:color w:val="auto"/>
              </w:rPr>
              <w:t>(234)</w:t>
            </w:r>
          </w:p>
        </w:tc>
        <w:tc>
          <w:tcPr>
            <w:tcW w:w="540" w:type="dxa"/>
            <w:vAlign w:val="bottom"/>
            <w:gridSpan w:val="2"/>
            <w:shd w:val="clear" w:color="auto" w:fill="E5FFFF"/>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shd w:val="clear" w:color="auto" w:fill="E5FFFF"/>
          </w:tcPr>
          <w:p>
            <w:pPr>
              <w:jc w:val="right"/>
              <w:spacing w:after="0"/>
              <w:rPr>
                <w:sz w:val="20"/>
                <w:szCs w:val="20"/>
                <w:color w:val="auto"/>
              </w:rPr>
            </w:pPr>
            <w:r>
              <w:rPr>
                <w:rFonts w:ascii="Arial" w:cs="Arial" w:eastAsia="Arial" w:hAnsi="Arial"/>
                <w:sz w:val="18"/>
                <w:szCs w:val="18"/>
                <w:color w:val="auto"/>
              </w:rPr>
              <w:t>(19)</w:t>
            </w:r>
          </w:p>
        </w:tc>
        <w:tc>
          <w:tcPr>
            <w:tcW w:w="640" w:type="dxa"/>
            <w:vAlign w:val="bottom"/>
            <w:gridSpan w:val="2"/>
            <w:shd w:val="clear" w:color="auto" w:fill="E5FFFF"/>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E5FFFF"/>
          </w:tcPr>
          <w:p>
            <w:pPr>
              <w:jc w:val="right"/>
              <w:spacing w:after="0"/>
              <w:rPr>
                <w:sz w:val="20"/>
                <w:szCs w:val="20"/>
                <w:color w:val="auto"/>
              </w:rPr>
            </w:pPr>
            <w:r>
              <w:rPr>
                <w:rFonts w:ascii="Arial" w:cs="Arial" w:eastAsia="Arial" w:hAnsi="Arial"/>
                <w:sz w:val="18"/>
                <w:szCs w:val="18"/>
                <w:color w:val="auto"/>
              </w:rPr>
              <w:t>(2,222)</w:t>
            </w:r>
          </w:p>
        </w:tc>
      </w:tr>
      <w:tr>
        <w:trPr>
          <w:trHeight w:val="20"/>
        </w:trPr>
        <w:tc>
          <w:tcPr>
            <w:tcW w:w="4700" w:type="dxa"/>
            <w:vAlign w:val="bottom"/>
            <w:tcBorders>
              <w:top w:val="single" w:sz="8" w:color="E5FFFF"/>
            </w:tcBorders>
          </w:tcPr>
          <w:p>
            <w:pPr>
              <w:spacing w:after="0" w:line="20" w:lineRule="exact"/>
              <w:rPr>
                <w:sz w:val="1"/>
                <w:szCs w:val="1"/>
                <w:color w:val="auto"/>
              </w:rPr>
            </w:pPr>
          </w:p>
        </w:tc>
        <w:tc>
          <w:tcPr>
            <w:tcW w:w="240" w:type="dxa"/>
            <w:vAlign w:val="bottom"/>
            <w:tcBorders>
              <w:top w:val="single" w:sz="8" w:color="E5FF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E5FF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E5FF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E5FF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r>
        <w:trPr>
          <w:trHeight w:val="359"/>
        </w:trPr>
        <w:tc>
          <w:tcPr>
            <w:tcW w:w="4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jc w:val="center"/>
              <w:ind w:right="59"/>
              <w:spacing w:after="0"/>
              <w:rPr>
                <w:sz w:val="20"/>
                <w:szCs w:val="20"/>
                <w:color w:val="auto"/>
              </w:rPr>
            </w:pPr>
            <w:r>
              <w:rPr>
                <w:rFonts w:ascii="Arial" w:cs="Arial" w:eastAsia="Arial" w:hAnsi="Arial"/>
                <w:sz w:val="14"/>
                <w:szCs w:val="14"/>
                <w:b w:val="1"/>
                <w:bCs w:val="1"/>
                <w:color w:val="auto"/>
              </w:rPr>
              <w:t>Pension</w:t>
            </w: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jc w:val="center"/>
              <w:ind w:right="139"/>
              <w:spacing w:after="0"/>
              <w:rPr>
                <w:sz w:val="20"/>
                <w:szCs w:val="20"/>
                <w:color w:val="auto"/>
              </w:rPr>
            </w:pPr>
            <w:r>
              <w:rPr>
                <w:rFonts w:ascii="Arial" w:cs="Arial" w:eastAsia="Arial" w:hAnsi="Arial"/>
                <w:sz w:val="14"/>
                <w:szCs w:val="14"/>
                <w:b w:val="1"/>
                <w:bCs w:val="1"/>
                <w:color w:val="auto"/>
              </w:rPr>
              <w:t>Changes in</w:t>
            </w: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2"/>
        </w:trPr>
        <w:tc>
          <w:tcPr>
            <w:tcW w:w="4700" w:type="dxa"/>
            <w:vAlign w:val="bottom"/>
            <w:shd w:val="clear" w:color="auto" w:fill="E5FFFF"/>
          </w:tcPr>
          <w:p>
            <w:pPr>
              <w:spacing w:after="0"/>
              <w:rPr>
                <w:sz w:val="14"/>
                <w:szCs w:val="14"/>
                <w:color w:val="auto"/>
              </w:rPr>
            </w:pPr>
          </w:p>
        </w:tc>
        <w:tc>
          <w:tcPr>
            <w:tcW w:w="240" w:type="dxa"/>
            <w:vAlign w:val="bottom"/>
            <w:shd w:val="clear" w:color="auto" w:fill="E5FFFF"/>
          </w:tcPr>
          <w:p>
            <w:pPr>
              <w:spacing w:after="0"/>
              <w:rPr>
                <w:sz w:val="14"/>
                <w:szCs w:val="14"/>
                <w:color w:val="auto"/>
              </w:rPr>
            </w:pPr>
          </w:p>
        </w:tc>
        <w:tc>
          <w:tcPr>
            <w:tcW w:w="200" w:type="dxa"/>
            <w:vAlign w:val="bottom"/>
            <w:shd w:val="clear" w:color="auto" w:fill="E5FFFF"/>
          </w:tcPr>
          <w:p>
            <w:pPr>
              <w:spacing w:after="0"/>
              <w:rPr>
                <w:sz w:val="14"/>
                <w:szCs w:val="14"/>
                <w:color w:val="auto"/>
              </w:rPr>
            </w:pPr>
          </w:p>
        </w:tc>
        <w:tc>
          <w:tcPr>
            <w:tcW w:w="1180" w:type="dxa"/>
            <w:vAlign w:val="bottom"/>
            <w:shd w:val="clear" w:color="auto" w:fill="E5FFFF"/>
          </w:tcPr>
          <w:p>
            <w:pPr>
              <w:jc w:val="center"/>
              <w:ind w:right="118"/>
              <w:spacing w:after="0"/>
              <w:rPr>
                <w:sz w:val="20"/>
                <w:szCs w:val="20"/>
                <w:color w:val="auto"/>
              </w:rPr>
            </w:pPr>
            <w:r>
              <w:rPr>
                <w:rFonts w:ascii="Arial" w:cs="Arial" w:eastAsia="Arial" w:hAnsi="Arial"/>
                <w:sz w:val="14"/>
                <w:szCs w:val="14"/>
                <w:b w:val="1"/>
                <w:bCs w:val="1"/>
                <w:color w:val="auto"/>
              </w:rPr>
              <w:t>Foreign</w:t>
            </w:r>
          </w:p>
        </w:tc>
        <w:tc>
          <w:tcPr>
            <w:tcW w:w="360" w:type="dxa"/>
            <w:vAlign w:val="bottom"/>
            <w:shd w:val="clear" w:color="auto" w:fill="E5FFFF"/>
          </w:tcPr>
          <w:p>
            <w:pPr>
              <w:spacing w:after="0"/>
              <w:rPr>
                <w:sz w:val="14"/>
                <w:szCs w:val="14"/>
                <w:color w:val="auto"/>
              </w:rPr>
            </w:pPr>
          </w:p>
        </w:tc>
        <w:tc>
          <w:tcPr>
            <w:tcW w:w="140" w:type="dxa"/>
            <w:vAlign w:val="bottom"/>
            <w:shd w:val="clear" w:color="auto" w:fill="E5FFFF"/>
          </w:tcPr>
          <w:p>
            <w:pPr>
              <w:spacing w:after="0"/>
              <w:rPr>
                <w:sz w:val="14"/>
                <w:szCs w:val="14"/>
                <w:color w:val="auto"/>
              </w:rPr>
            </w:pPr>
          </w:p>
        </w:tc>
        <w:tc>
          <w:tcPr>
            <w:tcW w:w="1220" w:type="dxa"/>
            <w:vAlign w:val="bottom"/>
            <w:shd w:val="clear" w:color="auto" w:fill="E5FFFF"/>
          </w:tcPr>
          <w:p>
            <w:pPr>
              <w:jc w:val="center"/>
              <w:ind w:right="59"/>
              <w:spacing w:after="0"/>
              <w:rPr>
                <w:sz w:val="20"/>
                <w:szCs w:val="20"/>
                <w:color w:val="auto"/>
              </w:rPr>
            </w:pPr>
            <w:r>
              <w:rPr>
                <w:rFonts w:ascii="Arial" w:cs="Arial" w:eastAsia="Arial" w:hAnsi="Arial"/>
                <w:sz w:val="14"/>
                <w:szCs w:val="14"/>
                <w:b w:val="1"/>
                <w:bCs w:val="1"/>
                <w:color w:val="auto"/>
              </w:rPr>
              <w:t>and Other</w:t>
            </w:r>
          </w:p>
        </w:tc>
        <w:tc>
          <w:tcPr>
            <w:tcW w:w="340" w:type="dxa"/>
            <w:vAlign w:val="bottom"/>
            <w:shd w:val="clear" w:color="auto" w:fill="E5FFFF"/>
          </w:tcPr>
          <w:p>
            <w:pPr>
              <w:spacing w:after="0"/>
              <w:rPr>
                <w:sz w:val="14"/>
                <w:szCs w:val="14"/>
                <w:color w:val="auto"/>
              </w:rPr>
            </w:pPr>
          </w:p>
        </w:tc>
        <w:tc>
          <w:tcPr>
            <w:tcW w:w="200" w:type="dxa"/>
            <w:vAlign w:val="bottom"/>
            <w:shd w:val="clear" w:color="auto" w:fill="E5FFFF"/>
          </w:tcPr>
          <w:p>
            <w:pPr>
              <w:spacing w:after="0"/>
              <w:rPr>
                <w:sz w:val="14"/>
                <w:szCs w:val="14"/>
                <w:color w:val="auto"/>
              </w:rPr>
            </w:pPr>
          </w:p>
        </w:tc>
        <w:tc>
          <w:tcPr>
            <w:tcW w:w="1160" w:type="dxa"/>
            <w:vAlign w:val="bottom"/>
            <w:shd w:val="clear" w:color="auto" w:fill="E5FFFF"/>
          </w:tcPr>
          <w:p>
            <w:pPr>
              <w:jc w:val="center"/>
              <w:ind w:right="119"/>
              <w:spacing w:after="0"/>
              <w:rPr>
                <w:sz w:val="20"/>
                <w:szCs w:val="20"/>
                <w:color w:val="auto"/>
              </w:rPr>
            </w:pPr>
            <w:r>
              <w:rPr>
                <w:rFonts w:ascii="Arial" w:cs="Arial" w:eastAsia="Arial" w:hAnsi="Arial"/>
                <w:sz w:val="14"/>
                <w:szCs w:val="14"/>
                <w:b w:val="1"/>
                <w:bCs w:val="1"/>
                <w:color w:val="auto"/>
              </w:rPr>
              <w:t>Fair Value</w:t>
            </w:r>
          </w:p>
        </w:tc>
        <w:tc>
          <w:tcPr>
            <w:tcW w:w="320" w:type="dxa"/>
            <w:vAlign w:val="bottom"/>
            <w:shd w:val="clear" w:color="auto" w:fill="E5FFFF"/>
          </w:tcPr>
          <w:p>
            <w:pPr>
              <w:spacing w:after="0"/>
              <w:rPr>
                <w:sz w:val="14"/>
                <w:szCs w:val="14"/>
                <w:color w:val="auto"/>
              </w:rPr>
            </w:pPr>
          </w:p>
        </w:tc>
        <w:tc>
          <w:tcPr>
            <w:tcW w:w="320" w:type="dxa"/>
            <w:vAlign w:val="bottom"/>
            <w:shd w:val="clear" w:color="auto" w:fill="E5FFFF"/>
          </w:tcPr>
          <w:p>
            <w:pPr>
              <w:spacing w:after="0"/>
              <w:rPr>
                <w:sz w:val="14"/>
                <w:szCs w:val="14"/>
                <w:color w:val="auto"/>
              </w:rPr>
            </w:pPr>
          </w:p>
        </w:tc>
        <w:tc>
          <w:tcPr>
            <w:tcW w:w="1040" w:type="dxa"/>
            <w:vAlign w:val="bottom"/>
            <w:shd w:val="clear" w:color="auto" w:fill="E5FFFF"/>
          </w:tcPr>
          <w:p>
            <w:pPr>
              <w:spacing w:after="0"/>
              <w:rPr>
                <w:sz w:val="14"/>
                <w:szCs w:val="14"/>
                <w:color w:val="auto"/>
              </w:rPr>
            </w:pPr>
          </w:p>
        </w:tc>
      </w:tr>
      <w:tr>
        <w:trPr>
          <w:trHeight w:val="162"/>
        </w:trPr>
        <w:tc>
          <w:tcPr>
            <w:tcW w:w="4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jc w:val="center"/>
              <w:ind w:right="98"/>
              <w:spacing w:after="0"/>
              <w:rPr>
                <w:sz w:val="20"/>
                <w:szCs w:val="20"/>
                <w:color w:val="auto"/>
              </w:rPr>
            </w:pPr>
            <w:r>
              <w:rPr>
                <w:rFonts w:ascii="Arial" w:cs="Arial" w:eastAsia="Arial" w:hAnsi="Arial"/>
                <w:sz w:val="14"/>
                <w:szCs w:val="14"/>
                <w:b w:val="1"/>
                <w:bCs w:val="1"/>
                <w:color w:val="auto"/>
              </w:rPr>
              <w:t>Exchange</w:t>
            </w: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jc w:val="center"/>
              <w:ind w:right="59"/>
              <w:spacing w:after="0"/>
              <w:rPr>
                <w:sz w:val="20"/>
                <w:szCs w:val="20"/>
                <w:color w:val="auto"/>
              </w:rPr>
            </w:pPr>
            <w:r>
              <w:rPr>
                <w:rFonts w:ascii="Arial" w:cs="Arial" w:eastAsia="Arial" w:hAnsi="Arial"/>
                <w:sz w:val="14"/>
                <w:szCs w:val="14"/>
                <w:b w:val="1"/>
                <w:bCs w:val="1"/>
                <w:color w:val="auto"/>
              </w:rPr>
              <w:t>Postretirement</w:t>
            </w: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jc w:val="center"/>
              <w:ind w:right="139"/>
              <w:spacing w:after="0"/>
              <w:rPr>
                <w:sz w:val="20"/>
                <w:szCs w:val="20"/>
                <w:color w:val="auto"/>
              </w:rPr>
            </w:pPr>
            <w:r>
              <w:rPr>
                <w:rFonts w:ascii="Arial" w:cs="Arial" w:eastAsia="Arial" w:hAnsi="Arial"/>
                <w:sz w:val="14"/>
                <w:szCs w:val="14"/>
                <w:b w:val="1"/>
                <w:bCs w:val="1"/>
                <w:color w:val="auto"/>
              </w:rPr>
              <w:t>of Effective</w:t>
            </w: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2"/>
        </w:trPr>
        <w:tc>
          <w:tcPr>
            <w:tcW w:w="4700" w:type="dxa"/>
            <w:vAlign w:val="bottom"/>
            <w:shd w:val="clear" w:color="auto" w:fill="E5FFFF"/>
          </w:tcPr>
          <w:p>
            <w:pPr>
              <w:spacing w:after="0"/>
              <w:rPr>
                <w:sz w:val="14"/>
                <w:szCs w:val="14"/>
                <w:color w:val="auto"/>
              </w:rPr>
            </w:pPr>
          </w:p>
        </w:tc>
        <w:tc>
          <w:tcPr>
            <w:tcW w:w="240" w:type="dxa"/>
            <w:vAlign w:val="bottom"/>
            <w:shd w:val="clear" w:color="auto" w:fill="E5FFFF"/>
          </w:tcPr>
          <w:p>
            <w:pPr>
              <w:spacing w:after="0"/>
              <w:rPr>
                <w:sz w:val="14"/>
                <w:szCs w:val="14"/>
                <w:color w:val="auto"/>
              </w:rPr>
            </w:pPr>
          </w:p>
        </w:tc>
        <w:tc>
          <w:tcPr>
            <w:tcW w:w="200" w:type="dxa"/>
            <w:vAlign w:val="bottom"/>
            <w:shd w:val="clear" w:color="auto" w:fill="E5FFFF"/>
          </w:tcPr>
          <w:p>
            <w:pPr>
              <w:spacing w:after="0"/>
              <w:rPr>
                <w:sz w:val="14"/>
                <w:szCs w:val="14"/>
                <w:color w:val="auto"/>
              </w:rPr>
            </w:pPr>
          </w:p>
        </w:tc>
        <w:tc>
          <w:tcPr>
            <w:tcW w:w="1180" w:type="dxa"/>
            <w:vAlign w:val="bottom"/>
            <w:shd w:val="clear" w:color="auto" w:fill="E5FFFF"/>
          </w:tcPr>
          <w:p>
            <w:pPr>
              <w:jc w:val="center"/>
              <w:ind w:right="118"/>
              <w:spacing w:after="0"/>
              <w:rPr>
                <w:sz w:val="20"/>
                <w:szCs w:val="20"/>
                <w:color w:val="auto"/>
              </w:rPr>
            </w:pPr>
            <w:r>
              <w:rPr>
                <w:rFonts w:ascii="Arial" w:cs="Arial" w:eastAsia="Arial" w:hAnsi="Arial"/>
                <w:sz w:val="14"/>
                <w:szCs w:val="14"/>
                <w:b w:val="1"/>
                <w:bCs w:val="1"/>
                <w:color w:val="auto"/>
              </w:rPr>
              <w:t>Translation</w:t>
            </w:r>
          </w:p>
        </w:tc>
        <w:tc>
          <w:tcPr>
            <w:tcW w:w="360" w:type="dxa"/>
            <w:vAlign w:val="bottom"/>
            <w:shd w:val="clear" w:color="auto" w:fill="E5FFFF"/>
          </w:tcPr>
          <w:p>
            <w:pPr>
              <w:spacing w:after="0"/>
              <w:rPr>
                <w:sz w:val="14"/>
                <w:szCs w:val="14"/>
                <w:color w:val="auto"/>
              </w:rPr>
            </w:pPr>
          </w:p>
        </w:tc>
        <w:tc>
          <w:tcPr>
            <w:tcW w:w="140" w:type="dxa"/>
            <w:vAlign w:val="bottom"/>
            <w:shd w:val="clear" w:color="auto" w:fill="E5FFFF"/>
          </w:tcPr>
          <w:p>
            <w:pPr>
              <w:spacing w:after="0"/>
              <w:rPr>
                <w:sz w:val="14"/>
                <w:szCs w:val="14"/>
                <w:color w:val="auto"/>
              </w:rPr>
            </w:pPr>
          </w:p>
        </w:tc>
        <w:tc>
          <w:tcPr>
            <w:tcW w:w="1220" w:type="dxa"/>
            <w:vAlign w:val="bottom"/>
            <w:shd w:val="clear" w:color="auto" w:fill="E5FFFF"/>
          </w:tcPr>
          <w:p>
            <w:pPr>
              <w:jc w:val="center"/>
              <w:ind w:right="59"/>
              <w:spacing w:after="0"/>
              <w:rPr>
                <w:sz w:val="20"/>
                <w:szCs w:val="20"/>
                <w:color w:val="auto"/>
              </w:rPr>
            </w:pPr>
            <w:r>
              <w:rPr>
                <w:rFonts w:ascii="Arial" w:cs="Arial" w:eastAsia="Arial" w:hAnsi="Arial"/>
                <w:sz w:val="14"/>
                <w:szCs w:val="14"/>
                <w:b w:val="1"/>
                <w:bCs w:val="1"/>
                <w:color w:val="auto"/>
              </w:rPr>
              <w:t>Benefits</w:t>
            </w:r>
          </w:p>
        </w:tc>
        <w:tc>
          <w:tcPr>
            <w:tcW w:w="340" w:type="dxa"/>
            <w:vAlign w:val="bottom"/>
            <w:shd w:val="clear" w:color="auto" w:fill="E5FFFF"/>
          </w:tcPr>
          <w:p>
            <w:pPr>
              <w:spacing w:after="0"/>
              <w:rPr>
                <w:sz w:val="14"/>
                <w:szCs w:val="14"/>
                <w:color w:val="auto"/>
              </w:rPr>
            </w:pPr>
          </w:p>
        </w:tc>
        <w:tc>
          <w:tcPr>
            <w:tcW w:w="200" w:type="dxa"/>
            <w:vAlign w:val="bottom"/>
            <w:shd w:val="clear" w:color="auto" w:fill="E5FFFF"/>
          </w:tcPr>
          <w:p>
            <w:pPr>
              <w:spacing w:after="0"/>
              <w:rPr>
                <w:sz w:val="14"/>
                <w:szCs w:val="14"/>
                <w:color w:val="auto"/>
              </w:rPr>
            </w:pPr>
          </w:p>
        </w:tc>
        <w:tc>
          <w:tcPr>
            <w:tcW w:w="1160" w:type="dxa"/>
            <w:vAlign w:val="bottom"/>
            <w:shd w:val="clear" w:color="auto" w:fill="E5FFFF"/>
          </w:tcPr>
          <w:p>
            <w:pPr>
              <w:jc w:val="center"/>
              <w:ind w:right="119"/>
              <w:spacing w:after="0"/>
              <w:rPr>
                <w:sz w:val="20"/>
                <w:szCs w:val="20"/>
                <w:color w:val="auto"/>
              </w:rPr>
            </w:pPr>
            <w:r>
              <w:rPr>
                <w:rFonts w:ascii="Arial" w:cs="Arial" w:eastAsia="Arial" w:hAnsi="Arial"/>
                <w:sz w:val="14"/>
                <w:szCs w:val="14"/>
                <w:b w:val="1"/>
                <w:bCs w:val="1"/>
                <w:color w:val="auto"/>
              </w:rPr>
              <w:t>Cash Flow</w:t>
            </w:r>
          </w:p>
        </w:tc>
        <w:tc>
          <w:tcPr>
            <w:tcW w:w="320" w:type="dxa"/>
            <w:vAlign w:val="bottom"/>
            <w:shd w:val="clear" w:color="auto" w:fill="E5FFFF"/>
          </w:tcPr>
          <w:p>
            <w:pPr>
              <w:spacing w:after="0"/>
              <w:rPr>
                <w:sz w:val="14"/>
                <w:szCs w:val="14"/>
                <w:color w:val="auto"/>
              </w:rPr>
            </w:pPr>
          </w:p>
        </w:tc>
        <w:tc>
          <w:tcPr>
            <w:tcW w:w="320" w:type="dxa"/>
            <w:vAlign w:val="bottom"/>
            <w:shd w:val="clear" w:color="auto" w:fill="E5FFFF"/>
          </w:tcPr>
          <w:p>
            <w:pPr>
              <w:spacing w:after="0"/>
              <w:rPr>
                <w:sz w:val="14"/>
                <w:szCs w:val="14"/>
                <w:color w:val="auto"/>
              </w:rPr>
            </w:pPr>
          </w:p>
        </w:tc>
        <w:tc>
          <w:tcPr>
            <w:tcW w:w="1040" w:type="dxa"/>
            <w:vAlign w:val="bottom"/>
            <w:shd w:val="clear" w:color="auto" w:fill="E5FFFF"/>
          </w:tcPr>
          <w:p>
            <w:pPr>
              <w:spacing w:after="0"/>
              <w:rPr>
                <w:sz w:val="14"/>
                <w:szCs w:val="14"/>
                <w:color w:val="auto"/>
              </w:rPr>
            </w:pPr>
          </w:p>
        </w:tc>
      </w:tr>
      <w:tr>
        <w:trPr>
          <w:trHeight w:val="176"/>
        </w:trPr>
        <w:tc>
          <w:tcPr>
            <w:tcW w:w="4700" w:type="dxa"/>
            <w:vAlign w:val="bottom"/>
            <w:tcBorders>
              <w:bottom w:val="single" w:sz="8" w:color="E5FFFF"/>
            </w:tcBorders>
          </w:tcPr>
          <w:p>
            <w:pPr>
              <w:spacing w:after="0"/>
              <w:rPr>
                <w:sz w:val="15"/>
                <w:szCs w:val="15"/>
                <w:color w:val="auto"/>
              </w:rPr>
            </w:pPr>
          </w:p>
        </w:tc>
        <w:tc>
          <w:tcPr>
            <w:tcW w:w="240" w:type="dxa"/>
            <w:vAlign w:val="bottom"/>
            <w:tcBorders>
              <w:bottom w:val="single" w:sz="8" w:color="E5FF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center"/>
              <w:ind w:right="118"/>
              <w:spacing w:after="0"/>
              <w:rPr>
                <w:sz w:val="20"/>
                <w:szCs w:val="20"/>
                <w:color w:val="auto"/>
              </w:rPr>
            </w:pPr>
            <w:r>
              <w:rPr>
                <w:rFonts w:ascii="Arial" w:cs="Arial" w:eastAsia="Arial" w:hAnsi="Arial"/>
                <w:sz w:val="14"/>
                <w:szCs w:val="14"/>
                <w:b w:val="1"/>
                <w:bCs w:val="1"/>
                <w:color w:val="auto"/>
              </w:rPr>
              <w:t>Adjustment</w:t>
            </w:r>
          </w:p>
        </w:tc>
        <w:tc>
          <w:tcPr>
            <w:tcW w:w="360" w:type="dxa"/>
            <w:vAlign w:val="bottom"/>
            <w:tcBorders>
              <w:bottom w:val="single" w:sz="8" w:color="E5FF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rPr>
              <w:t>Adjustments</w:t>
            </w:r>
          </w:p>
        </w:tc>
        <w:tc>
          <w:tcPr>
            <w:tcW w:w="340" w:type="dxa"/>
            <w:vAlign w:val="bottom"/>
            <w:tcBorders>
              <w:bottom w:val="single" w:sz="8" w:color="E5FF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center"/>
              <w:ind w:right="119"/>
              <w:spacing w:after="0"/>
              <w:rPr>
                <w:sz w:val="20"/>
                <w:szCs w:val="20"/>
                <w:color w:val="auto"/>
              </w:rPr>
            </w:pPr>
            <w:r>
              <w:rPr>
                <w:rFonts w:ascii="Arial" w:cs="Arial" w:eastAsia="Arial" w:hAnsi="Arial"/>
                <w:sz w:val="14"/>
                <w:szCs w:val="14"/>
                <w:b w:val="1"/>
                <w:bCs w:val="1"/>
                <w:color w:val="auto"/>
              </w:rPr>
              <w:t>Hedges</w:t>
            </w:r>
          </w:p>
        </w:tc>
        <w:tc>
          <w:tcPr>
            <w:tcW w:w="320" w:type="dxa"/>
            <w:vAlign w:val="bottom"/>
            <w:tcBorders>
              <w:bottom w:val="single" w:sz="8" w:color="E5FF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Total</w:t>
            </w:r>
          </w:p>
        </w:tc>
      </w:tr>
      <w:tr>
        <w:trPr>
          <w:trHeight w:val="196"/>
        </w:trPr>
        <w:tc>
          <w:tcPr>
            <w:tcW w:w="4700" w:type="dxa"/>
            <w:vAlign w:val="bottom"/>
            <w:shd w:val="clear" w:color="auto" w:fill="E5FFFF"/>
          </w:tcPr>
          <w:p>
            <w:pPr>
              <w:spacing w:after="0" w:line="196" w:lineRule="exact"/>
              <w:rPr>
                <w:sz w:val="20"/>
                <w:szCs w:val="20"/>
                <w:color w:val="auto"/>
              </w:rPr>
            </w:pPr>
            <w:r>
              <w:rPr>
                <w:rFonts w:ascii="Arial" w:cs="Arial" w:eastAsia="Arial" w:hAnsi="Arial"/>
                <w:sz w:val="18"/>
                <w:szCs w:val="18"/>
                <w:color w:val="auto"/>
              </w:rPr>
              <w:t>Balance at December 31, 2016</w:t>
            </w:r>
          </w:p>
        </w:tc>
        <w:tc>
          <w:tcPr>
            <w:tcW w:w="240" w:type="dxa"/>
            <w:vAlign w:val="bottom"/>
            <w:shd w:val="clear" w:color="auto" w:fill="E5FFFF"/>
          </w:tcPr>
          <w:p>
            <w:pPr>
              <w:spacing w:after="0"/>
              <w:rPr>
                <w:sz w:val="17"/>
                <w:szCs w:val="17"/>
                <w:color w:val="auto"/>
              </w:rPr>
            </w:pPr>
          </w:p>
        </w:tc>
        <w:tc>
          <w:tcPr>
            <w:tcW w:w="200" w:type="dxa"/>
            <w:vAlign w:val="bottom"/>
            <w:shd w:val="clear" w:color="auto" w:fill="E5FF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shd w:val="clear" w:color="auto" w:fill="E5FFFF"/>
          </w:tcPr>
          <w:p>
            <w:pPr>
              <w:jc w:val="right"/>
              <w:spacing w:after="0" w:line="196" w:lineRule="exact"/>
              <w:rPr>
                <w:sz w:val="20"/>
                <w:szCs w:val="20"/>
                <w:color w:val="auto"/>
              </w:rPr>
            </w:pPr>
            <w:r>
              <w:rPr>
                <w:rFonts w:ascii="Arial" w:cs="Arial" w:eastAsia="Arial" w:hAnsi="Arial"/>
                <w:sz w:val="18"/>
                <w:szCs w:val="18"/>
                <w:color w:val="auto"/>
              </w:rPr>
              <w:t>(1,944)</w:t>
            </w:r>
          </w:p>
        </w:tc>
        <w:tc>
          <w:tcPr>
            <w:tcW w:w="360" w:type="dxa"/>
            <w:vAlign w:val="bottom"/>
            <w:shd w:val="clear" w:color="auto" w:fill="E5FFFF"/>
          </w:tcPr>
          <w:p>
            <w:pPr>
              <w:spacing w:after="0"/>
              <w:rPr>
                <w:sz w:val="17"/>
                <w:szCs w:val="17"/>
                <w:color w:val="auto"/>
              </w:rPr>
            </w:pPr>
          </w:p>
        </w:tc>
        <w:tc>
          <w:tcPr>
            <w:tcW w:w="140" w:type="dxa"/>
            <w:vAlign w:val="bottom"/>
            <w:shd w:val="clear" w:color="auto" w:fill="E5FFFF"/>
          </w:tcPr>
          <w:p>
            <w:pPr>
              <w:jc w:val="right"/>
              <w:spacing w:after="0" w:line="196" w:lineRule="exact"/>
              <w:rPr>
                <w:sz w:val="20"/>
                <w:szCs w:val="20"/>
                <w:color w:val="auto"/>
              </w:rPr>
            </w:pPr>
            <w:r>
              <w:rPr>
                <w:rFonts w:ascii="Arial" w:cs="Arial" w:eastAsia="Arial" w:hAnsi="Arial"/>
                <w:sz w:val="18"/>
                <w:szCs w:val="18"/>
                <w:color w:val="auto"/>
                <w:w w:val="79"/>
              </w:rPr>
              <w:t>$</w:t>
            </w:r>
          </w:p>
        </w:tc>
        <w:tc>
          <w:tcPr>
            <w:tcW w:w="1220" w:type="dxa"/>
            <w:vAlign w:val="bottom"/>
            <w:shd w:val="clear" w:color="auto" w:fill="E5FFFF"/>
          </w:tcPr>
          <w:p>
            <w:pPr>
              <w:jc w:val="right"/>
              <w:spacing w:after="0" w:line="196" w:lineRule="exact"/>
              <w:rPr>
                <w:sz w:val="20"/>
                <w:szCs w:val="20"/>
                <w:color w:val="auto"/>
              </w:rPr>
            </w:pPr>
            <w:r>
              <w:rPr>
                <w:rFonts w:ascii="Arial" w:cs="Arial" w:eastAsia="Arial" w:hAnsi="Arial"/>
                <w:sz w:val="18"/>
                <w:szCs w:val="18"/>
                <w:color w:val="auto"/>
              </w:rPr>
              <w:t>(879)</w:t>
            </w:r>
          </w:p>
        </w:tc>
        <w:tc>
          <w:tcPr>
            <w:tcW w:w="340" w:type="dxa"/>
            <w:vAlign w:val="bottom"/>
            <w:shd w:val="clear" w:color="auto" w:fill="E5FFFF"/>
          </w:tcPr>
          <w:p>
            <w:pPr>
              <w:spacing w:after="0"/>
              <w:rPr>
                <w:sz w:val="17"/>
                <w:szCs w:val="17"/>
                <w:color w:val="auto"/>
              </w:rPr>
            </w:pPr>
          </w:p>
        </w:tc>
        <w:tc>
          <w:tcPr>
            <w:tcW w:w="200" w:type="dxa"/>
            <w:vAlign w:val="bottom"/>
            <w:shd w:val="clear" w:color="auto" w:fill="E5FF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shd w:val="clear" w:color="auto" w:fill="E5FFFF"/>
          </w:tcPr>
          <w:p>
            <w:pPr>
              <w:jc w:val="right"/>
              <w:ind w:right="39"/>
              <w:spacing w:after="0" w:line="196" w:lineRule="exact"/>
              <w:rPr>
                <w:sz w:val="20"/>
                <w:szCs w:val="20"/>
                <w:color w:val="auto"/>
              </w:rPr>
            </w:pPr>
            <w:r>
              <w:rPr>
                <w:rFonts w:ascii="Arial" w:cs="Arial" w:eastAsia="Arial" w:hAnsi="Arial"/>
                <w:sz w:val="18"/>
                <w:szCs w:val="18"/>
                <w:color w:val="auto"/>
              </w:rPr>
              <w:t>109</w:t>
            </w:r>
          </w:p>
        </w:tc>
        <w:tc>
          <w:tcPr>
            <w:tcW w:w="320" w:type="dxa"/>
            <w:vAlign w:val="bottom"/>
            <w:shd w:val="clear" w:color="auto" w:fill="E5FFFF"/>
          </w:tcPr>
          <w:p>
            <w:pPr>
              <w:spacing w:after="0"/>
              <w:rPr>
                <w:sz w:val="17"/>
                <w:szCs w:val="17"/>
                <w:color w:val="auto"/>
              </w:rPr>
            </w:pPr>
          </w:p>
        </w:tc>
        <w:tc>
          <w:tcPr>
            <w:tcW w:w="320" w:type="dxa"/>
            <w:vAlign w:val="bottom"/>
            <w:shd w:val="clear" w:color="auto" w:fill="E5FFFF"/>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shd w:val="clear" w:color="auto" w:fill="E5FFFF"/>
          </w:tcPr>
          <w:p>
            <w:pPr>
              <w:jc w:val="right"/>
              <w:spacing w:after="0" w:line="196" w:lineRule="exact"/>
              <w:rPr>
                <w:sz w:val="20"/>
                <w:szCs w:val="20"/>
                <w:color w:val="auto"/>
              </w:rPr>
            </w:pPr>
            <w:r>
              <w:rPr>
                <w:rFonts w:ascii="Arial" w:cs="Arial" w:eastAsia="Arial" w:hAnsi="Arial"/>
                <w:sz w:val="18"/>
                <w:szCs w:val="18"/>
                <w:color w:val="auto"/>
              </w:rPr>
              <w:t>(2,714)</w:t>
            </w:r>
          </w:p>
        </w:tc>
      </w:tr>
      <w:tr>
        <w:trPr>
          <w:trHeight w:val="202"/>
        </w:trPr>
        <w:tc>
          <w:tcPr>
            <w:tcW w:w="4700" w:type="dxa"/>
            <w:vAlign w:val="bottom"/>
          </w:tcPr>
          <w:p>
            <w:pPr>
              <w:ind w:left="180"/>
              <w:spacing w:after="0" w:line="201" w:lineRule="exact"/>
              <w:rPr>
                <w:sz w:val="20"/>
                <w:szCs w:val="20"/>
                <w:color w:val="auto"/>
              </w:rPr>
            </w:pPr>
            <w:r>
              <w:rPr>
                <w:rFonts w:ascii="Arial" w:cs="Arial" w:eastAsia="Arial" w:hAnsi="Arial"/>
                <w:sz w:val="18"/>
                <w:szCs w:val="18"/>
                <w:color w:val="auto"/>
              </w:rPr>
              <w:t>Other comprehensive income (loss) before</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17"/>
        </w:trPr>
        <w:tc>
          <w:tcPr>
            <w:tcW w:w="4700" w:type="dxa"/>
            <w:vAlign w:val="bottom"/>
          </w:tcPr>
          <w:p>
            <w:pPr>
              <w:ind w:left="360"/>
              <w:spacing w:after="0"/>
              <w:rPr>
                <w:sz w:val="20"/>
                <w:szCs w:val="20"/>
                <w:color w:val="auto"/>
              </w:rPr>
            </w:pPr>
            <w:r>
              <w:rPr>
                <w:rFonts w:ascii="Arial" w:cs="Arial" w:eastAsia="Arial" w:hAnsi="Arial"/>
                <w:sz w:val="18"/>
                <w:szCs w:val="18"/>
                <w:color w:val="auto"/>
              </w:rPr>
              <w:t>reclassifications</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ind w:right="38"/>
              <w:spacing w:after="0"/>
              <w:rPr>
                <w:sz w:val="20"/>
                <w:szCs w:val="20"/>
                <w:color w:val="auto"/>
              </w:rPr>
            </w:pPr>
            <w:r>
              <w:rPr>
                <w:rFonts w:ascii="Arial" w:cs="Arial" w:eastAsia="Arial" w:hAnsi="Arial"/>
                <w:sz w:val="18"/>
                <w:szCs w:val="18"/>
                <w:color w:val="auto"/>
              </w:rPr>
              <w:t>56</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(46)</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(62)</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02"/>
        </w:trPr>
        <w:tc>
          <w:tcPr>
            <w:tcW w:w="4700" w:type="dxa"/>
            <w:vAlign w:val="bottom"/>
            <w:shd w:val="clear" w:color="auto" w:fill="E5FFFF"/>
          </w:tcPr>
          <w:p>
            <w:pPr>
              <w:ind w:left="180"/>
              <w:spacing w:after="0" w:line="201" w:lineRule="exact"/>
              <w:rPr>
                <w:sz w:val="20"/>
                <w:szCs w:val="20"/>
                <w:color w:val="auto"/>
              </w:rPr>
            </w:pPr>
            <w:r>
              <w:rPr>
                <w:rFonts w:ascii="Arial" w:cs="Arial" w:eastAsia="Arial" w:hAnsi="Arial"/>
                <w:sz w:val="18"/>
                <w:szCs w:val="18"/>
                <w:color w:val="auto"/>
              </w:rPr>
              <w:t>Amounts reclassified from accumulated other</w:t>
            </w:r>
          </w:p>
        </w:tc>
        <w:tc>
          <w:tcPr>
            <w:tcW w:w="24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1180" w:type="dxa"/>
            <w:vAlign w:val="bottom"/>
            <w:shd w:val="clear" w:color="auto" w:fill="E5FFFF"/>
          </w:tcPr>
          <w:p>
            <w:pPr>
              <w:spacing w:after="0"/>
              <w:rPr>
                <w:sz w:val="17"/>
                <w:szCs w:val="17"/>
                <w:color w:val="auto"/>
              </w:rPr>
            </w:pPr>
          </w:p>
        </w:tc>
        <w:tc>
          <w:tcPr>
            <w:tcW w:w="360" w:type="dxa"/>
            <w:vAlign w:val="bottom"/>
            <w:shd w:val="clear" w:color="auto" w:fill="E5FFFF"/>
          </w:tcPr>
          <w:p>
            <w:pPr>
              <w:spacing w:after="0"/>
              <w:rPr>
                <w:sz w:val="17"/>
                <w:szCs w:val="17"/>
                <w:color w:val="auto"/>
              </w:rPr>
            </w:pPr>
          </w:p>
        </w:tc>
        <w:tc>
          <w:tcPr>
            <w:tcW w:w="140" w:type="dxa"/>
            <w:vAlign w:val="bottom"/>
            <w:shd w:val="clear" w:color="auto" w:fill="E5FFFF"/>
          </w:tcPr>
          <w:p>
            <w:pPr>
              <w:spacing w:after="0"/>
              <w:rPr>
                <w:sz w:val="17"/>
                <w:szCs w:val="17"/>
                <w:color w:val="auto"/>
              </w:rPr>
            </w:pPr>
          </w:p>
        </w:tc>
        <w:tc>
          <w:tcPr>
            <w:tcW w:w="1220" w:type="dxa"/>
            <w:vAlign w:val="bottom"/>
            <w:shd w:val="clear" w:color="auto" w:fill="E5FFFF"/>
          </w:tcPr>
          <w:p>
            <w:pPr>
              <w:spacing w:after="0"/>
              <w:rPr>
                <w:sz w:val="17"/>
                <w:szCs w:val="17"/>
                <w:color w:val="auto"/>
              </w:rPr>
            </w:pPr>
          </w:p>
        </w:tc>
        <w:tc>
          <w:tcPr>
            <w:tcW w:w="34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1160" w:type="dxa"/>
            <w:vAlign w:val="bottom"/>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1040" w:type="dxa"/>
            <w:vAlign w:val="bottom"/>
            <w:shd w:val="clear" w:color="auto" w:fill="E5FFFF"/>
          </w:tcPr>
          <w:p>
            <w:pPr>
              <w:spacing w:after="0"/>
              <w:rPr>
                <w:sz w:val="17"/>
                <w:szCs w:val="17"/>
                <w:color w:val="auto"/>
              </w:rPr>
            </w:pPr>
          </w:p>
        </w:tc>
      </w:tr>
      <w:tr>
        <w:trPr>
          <w:trHeight w:val="217"/>
        </w:trPr>
        <w:tc>
          <w:tcPr>
            <w:tcW w:w="4700" w:type="dxa"/>
            <w:vAlign w:val="bottom"/>
            <w:shd w:val="clear" w:color="auto" w:fill="E5FFFF"/>
          </w:tcPr>
          <w:p>
            <w:pPr>
              <w:ind w:left="360"/>
              <w:spacing w:after="0"/>
              <w:rPr>
                <w:sz w:val="20"/>
                <w:szCs w:val="20"/>
                <w:color w:val="auto"/>
              </w:rPr>
            </w:pPr>
            <w:r>
              <w:rPr>
                <w:rFonts w:ascii="Arial" w:cs="Arial" w:eastAsia="Arial" w:hAnsi="Arial"/>
                <w:sz w:val="18"/>
                <w:szCs w:val="18"/>
                <w:color w:val="auto"/>
              </w:rPr>
              <w:t>comprehensive income</w:t>
            </w:r>
          </w:p>
        </w:tc>
        <w:tc>
          <w:tcPr>
            <w:tcW w:w="240" w:type="dxa"/>
            <w:vAlign w:val="bottom"/>
            <w:shd w:val="clear" w:color="auto" w:fill="E5FFFF"/>
          </w:tcPr>
          <w:p>
            <w:pPr>
              <w:spacing w:after="0"/>
              <w:rPr>
                <w:sz w:val="18"/>
                <w:szCs w:val="18"/>
                <w:color w:val="auto"/>
              </w:rPr>
            </w:pPr>
          </w:p>
        </w:tc>
        <w:tc>
          <w:tcPr>
            <w:tcW w:w="200" w:type="dxa"/>
            <w:vAlign w:val="bottom"/>
            <w:tcBorders>
              <w:bottom w:val="single" w:sz="8" w:color="auto"/>
            </w:tcBorders>
            <w:shd w:val="clear" w:color="auto" w:fill="E5FFFF"/>
          </w:tcPr>
          <w:p>
            <w:pPr>
              <w:spacing w:after="0"/>
              <w:rPr>
                <w:sz w:val="18"/>
                <w:szCs w:val="18"/>
                <w:color w:val="auto"/>
              </w:rPr>
            </w:pPr>
          </w:p>
        </w:tc>
        <w:tc>
          <w:tcPr>
            <w:tcW w:w="1180" w:type="dxa"/>
            <w:vAlign w:val="bottom"/>
            <w:tcBorders>
              <w:bottom w:val="single" w:sz="8" w:color="auto"/>
            </w:tcBorders>
            <w:shd w:val="clear" w:color="auto" w:fill="E5FFFF"/>
          </w:tcPr>
          <w:p>
            <w:pPr>
              <w:jc w:val="right"/>
              <w:ind w:right="38"/>
              <w:spacing w:after="0"/>
              <w:rPr>
                <w:sz w:val="20"/>
                <w:szCs w:val="20"/>
                <w:color w:val="auto"/>
              </w:rPr>
            </w:pPr>
            <w:r>
              <w:rPr>
                <w:rFonts w:ascii="Arial" w:cs="Arial" w:eastAsia="Arial" w:hAnsi="Arial"/>
                <w:sz w:val="18"/>
                <w:szCs w:val="18"/>
                <w:color w:val="auto"/>
              </w:rPr>
              <w:t>-</w:t>
            </w:r>
          </w:p>
        </w:tc>
        <w:tc>
          <w:tcPr>
            <w:tcW w:w="360" w:type="dxa"/>
            <w:vAlign w:val="bottom"/>
            <w:shd w:val="clear" w:color="auto" w:fill="E5FFFF"/>
          </w:tcPr>
          <w:p>
            <w:pPr>
              <w:spacing w:after="0"/>
              <w:rPr>
                <w:sz w:val="18"/>
                <w:szCs w:val="18"/>
                <w:color w:val="auto"/>
              </w:rPr>
            </w:pPr>
          </w:p>
        </w:tc>
        <w:tc>
          <w:tcPr>
            <w:tcW w:w="140" w:type="dxa"/>
            <w:vAlign w:val="bottom"/>
            <w:tcBorders>
              <w:bottom w:val="single" w:sz="8" w:color="auto"/>
            </w:tcBorders>
            <w:shd w:val="clear" w:color="auto" w:fill="E5FFFF"/>
          </w:tcPr>
          <w:p>
            <w:pPr>
              <w:spacing w:after="0"/>
              <w:rPr>
                <w:sz w:val="18"/>
                <w:szCs w:val="18"/>
                <w:color w:val="auto"/>
              </w:rPr>
            </w:pPr>
          </w:p>
        </w:tc>
        <w:tc>
          <w:tcPr>
            <w:tcW w:w="12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(27)</w:t>
            </w:r>
          </w:p>
        </w:tc>
        <w:tc>
          <w:tcPr>
            <w:tcW w:w="340" w:type="dxa"/>
            <w:vAlign w:val="bottom"/>
            <w:shd w:val="clear" w:color="auto" w:fill="E5FFFF"/>
          </w:tcPr>
          <w:p>
            <w:pPr>
              <w:spacing w:after="0"/>
              <w:rPr>
                <w:sz w:val="18"/>
                <w:szCs w:val="18"/>
                <w:color w:val="auto"/>
              </w:rPr>
            </w:pPr>
          </w:p>
        </w:tc>
        <w:tc>
          <w:tcPr>
            <w:tcW w:w="200" w:type="dxa"/>
            <w:vAlign w:val="bottom"/>
            <w:tcBorders>
              <w:bottom w:val="single" w:sz="8" w:color="auto"/>
            </w:tcBorders>
            <w:shd w:val="clear" w:color="auto" w:fill="E5FFFF"/>
          </w:tcPr>
          <w:p>
            <w:pPr>
              <w:spacing w:after="0"/>
              <w:rPr>
                <w:sz w:val="18"/>
                <w:szCs w:val="18"/>
                <w:color w:val="auto"/>
              </w:rPr>
            </w:pPr>
          </w:p>
        </w:tc>
        <w:tc>
          <w:tcPr>
            <w:tcW w:w="11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(44)</w:t>
            </w:r>
          </w:p>
        </w:tc>
        <w:tc>
          <w:tcPr>
            <w:tcW w:w="320" w:type="dxa"/>
            <w:vAlign w:val="bottom"/>
            <w:shd w:val="clear" w:color="auto" w:fill="E5FFFF"/>
          </w:tcPr>
          <w:p>
            <w:pPr>
              <w:spacing w:after="0"/>
              <w:rPr>
                <w:sz w:val="18"/>
                <w:szCs w:val="18"/>
                <w:color w:val="auto"/>
              </w:rPr>
            </w:pPr>
          </w:p>
        </w:tc>
        <w:tc>
          <w:tcPr>
            <w:tcW w:w="320" w:type="dxa"/>
            <w:vAlign w:val="bottom"/>
            <w:tcBorders>
              <w:bottom w:val="single" w:sz="8" w:color="auto"/>
            </w:tcBorders>
            <w:shd w:val="clear" w:color="auto" w:fill="E5FFFF"/>
          </w:tcPr>
          <w:p>
            <w:pPr>
              <w:spacing w:after="0"/>
              <w:rPr>
                <w:sz w:val="18"/>
                <w:szCs w:val="18"/>
                <w:color w:val="auto"/>
              </w:rPr>
            </w:pPr>
          </w:p>
        </w:tc>
        <w:tc>
          <w:tcPr>
            <w:tcW w:w="10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(71)</w:t>
            </w:r>
          </w:p>
        </w:tc>
      </w:tr>
      <w:tr>
        <w:trPr>
          <w:trHeight w:val="196"/>
        </w:trPr>
        <w:tc>
          <w:tcPr>
            <w:tcW w:w="4700" w:type="dxa"/>
            <w:vAlign w:val="bottom"/>
            <w:tcBorders>
              <w:bottom w:val="single" w:sz="8" w:color="E5FFFF"/>
            </w:tcBorders>
          </w:tcPr>
          <w:p>
            <w:pPr>
              <w:ind w:left="180"/>
              <w:spacing w:after="0" w:line="196" w:lineRule="exact"/>
              <w:rPr>
                <w:sz w:val="20"/>
                <w:szCs w:val="20"/>
                <w:color w:val="auto"/>
              </w:rPr>
            </w:pPr>
            <w:r>
              <w:rPr>
                <w:rFonts w:ascii="Arial" w:cs="Arial" w:eastAsia="Arial" w:hAnsi="Arial"/>
                <w:sz w:val="18"/>
                <w:szCs w:val="18"/>
                <w:color w:val="auto"/>
              </w:rPr>
              <w:t>Net current period other comprehensive income (loss)</w:t>
            </w:r>
          </w:p>
        </w:tc>
        <w:tc>
          <w:tcPr>
            <w:tcW w:w="240" w:type="dxa"/>
            <w:vAlign w:val="bottom"/>
            <w:tcBorders>
              <w:bottom w:val="single" w:sz="8" w:color="E5FF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38"/>
              <w:spacing w:after="0" w:line="196" w:lineRule="exact"/>
              <w:rPr>
                <w:sz w:val="20"/>
                <w:szCs w:val="20"/>
                <w:color w:val="auto"/>
              </w:rPr>
            </w:pPr>
            <w:r>
              <w:rPr>
                <w:rFonts w:ascii="Arial" w:cs="Arial" w:eastAsia="Arial" w:hAnsi="Arial"/>
                <w:sz w:val="18"/>
                <w:szCs w:val="18"/>
                <w:color w:val="auto"/>
              </w:rPr>
              <w:t>56</w:t>
            </w:r>
          </w:p>
        </w:tc>
        <w:tc>
          <w:tcPr>
            <w:tcW w:w="360" w:type="dxa"/>
            <w:vAlign w:val="bottom"/>
            <w:tcBorders>
              <w:bottom w:val="single" w:sz="8" w:color="E5FF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(73)</w:t>
            </w:r>
          </w:p>
        </w:tc>
        <w:tc>
          <w:tcPr>
            <w:tcW w:w="340" w:type="dxa"/>
            <w:vAlign w:val="bottom"/>
            <w:tcBorders>
              <w:bottom w:val="single" w:sz="8" w:color="E5FF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(106)</w:t>
            </w:r>
          </w:p>
        </w:tc>
        <w:tc>
          <w:tcPr>
            <w:tcW w:w="320" w:type="dxa"/>
            <w:vAlign w:val="bottom"/>
            <w:tcBorders>
              <w:bottom w:val="single" w:sz="8" w:color="E5FF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(123)</w:t>
            </w:r>
          </w:p>
        </w:tc>
      </w:tr>
      <w:tr>
        <w:trPr>
          <w:trHeight w:val="210"/>
        </w:trPr>
        <w:tc>
          <w:tcPr>
            <w:tcW w:w="4700" w:type="dxa"/>
            <w:vAlign w:val="bottom"/>
            <w:shd w:val="clear" w:color="auto" w:fill="E5FFFF"/>
          </w:tcPr>
          <w:p>
            <w:pPr>
              <w:spacing w:after="0" w:line="197" w:lineRule="exact"/>
              <w:rPr>
                <w:sz w:val="20"/>
                <w:szCs w:val="20"/>
                <w:color w:val="auto"/>
              </w:rPr>
            </w:pPr>
            <w:r>
              <w:rPr>
                <w:rFonts w:ascii="Arial" w:cs="Arial" w:eastAsia="Arial" w:hAnsi="Arial"/>
                <w:sz w:val="18"/>
                <w:szCs w:val="18"/>
                <w:color w:val="auto"/>
              </w:rPr>
              <w:t>Balance at June 30, 2017</w:t>
            </w:r>
          </w:p>
        </w:tc>
        <w:tc>
          <w:tcPr>
            <w:tcW w:w="440" w:type="dxa"/>
            <w:vAlign w:val="bottom"/>
            <w:gridSpan w:val="2"/>
            <w:shd w:val="clear" w:color="auto" w:fill="E5FFFF"/>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shd w:val="clear" w:color="auto" w:fill="E5FFFF"/>
          </w:tcPr>
          <w:p>
            <w:pPr>
              <w:jc w:val="right"/>
              <w:spacing w:after="0"/>
              <w:rPr>
                <w:sz w:val="20"/>
                <w:szCs w:val="20"/>
                <w:color w:val="auto"/>
              </w:rPr>
            </w:pPr>
            <w:r>
              <w:rPr>
                <w:rFonts w:ascii="Arial" w:cs="Arial" w:eastAsia="Arial" w:hAnsi="Arial"/>
                <w:sz w:val="18"/>
                <w:szCs w:val="18"/>
                <w:color w:val="auto"/>
              </w:rPr>
              <w:t>(1,888)</w:t>
            </w:r>
          </w:p>
        </w:tc>
        <w:tc>
          <w:tcPr>
            <w:tcW w:w="50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E5FFFF"/>
          </w:tcPr>
          <w:p>
            <w:pPr>
              <w:jc w:val="right"/>
              <w:spacing w:after="0"/>
              <w:rPr>
                <w:sz w:val="20"/>
                <w:szCs w:val="20"/>
                <w:color w:val="auto"/>
              </w:rPr>
            </w:pPr>
            <w:r>
              <w:rPr>
                <w:rFonts w:ascii="Arial" w:cs="Arial" w:eastAsia="Arial" w:hAnsi="Arial"/>
                <w:sz w:val="18"/>
                <w:szCs w:val="18"/>
                <w:color w:val="auto"/>
              </w:rPr>
              <w:t>(952)</w:t>
            </w:r>
          </w:p>
        </w:tc>
        <w:tc>
          <w:tcPr>
            <w:tcW w:w="540" w:type="dxa"/>
            <w:vAlign w:val="bottom"/>
            <w:gridSpan w:val="2"/>
            <w:shd w:val="clear" w:color="auto" w:fill="E5FFFF"/>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shd w:val="clear" w:color="auto" w:fill="E5FFFF"/>
          </w:tcPr>
          <w:p>
            <w:pPr>
              <w:jc w:val="right"/>
              <w:ind w:right="39"/>
              <w:spacing w:after="0"/>
              <w:rPr>
                <w:sz w:val="20"/>
                <w:szCs w:val="20"/>
                <w:color w:val="auto"/>
              </w:rPr>
            </w:pPr>
            <w:r>
              <w:rPr>
                <w:rFonts w:ascii="Arial" w:cs="Arial" w:eastAsia="Arial" w:hAnsi="Arial"/>
                <w:sz w:val="18"/>
                <w:szCs w:val="18"/>
                <w:color w:val="auto"/>
              </w:rPr>
              <w:t>3</w:t>
            </w:r>
          </w:p>
        </w:tc>
        <w:tc>
          <w:tcPr>
            <w:tcW w:w="640" w:type="dxa"/>
            <w:vAlign w:val="bottom"/>
            <w:gridSpan w:val="2"/>
            <w:shd w:val="clear" w:color="auto" w:fill="E5FFFF"/>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E5FFFF"/>
          </w:tcPr>
          <w:p>
            <w:pPr>
              <w:jc w:val="right"/>
              <w:spacing w:after="0"/>
              <w:rPr>
                <w:sz w:val="20"/>
                <w:szCs w:val="20"/>
                <w:color w:val="auto"/>
              </w:rPr>
            </w:pPr>
            <w:r>
              <w:rPr>
                <w:rFonts w:ascii="Arial" w:cs="Arial" w:eastAsia="Arial" w:hAnsi="Arial"/>
                <w:sz w:val="18"/>
                <w:szCs w:val="18"/>
                <w:color w:val="auto"/>
              </w:rPr>
              <w:t>(2,837)</w:t>
            </w:r>
          </w:p>
        </w:tc>
      </w:tr>
      <w:tr>
        <w:trPr>
          <w:trHeight w:val="20"/>
        </w:trPr>
        <w:tc>
          <w:tcPr>
            <w:tcW w:w="4700" w:type="dxa"/>
            <w:vAlign w:val="bottom"/>
            <w:tcBorders>
              <w:top w:val="single" w:sz="8" w:color="E5FFFF"/>
            </w:tcBorders>
          </w:tcPr>
          <w:p>
            <w:pPr>
              <w:spacing w:after="0" w:line="20" w:lineRule="exact"/>
              <w:rPr>
                <w:sz w:val="1"/>
                <w:szCs w:val="1"/>
                <w:color w:val="auto"/>
              </w:rPr>
            </w:pPr>
          </w:p>
        </w:tc>
        <w:tc>
          <w:tcPr>
            <w:tcW w:w="240" w:type="dxa"/>
            <w:vAlign w:val="bottom"/>
            <w:tcBorders>
              <w:top w:val="single" w:sz="8" w:color="E5FF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E5FF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E5FF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E5FF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-1499870</wp:posOffset>
            </wp:positionV>
            <wp:extent cx="7246620" cy="5232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523240"/>
                    </a:xfrm>
                    <a:prstGeom prst="rect">
                      <a:avLst/>
                    </a:prstGeom>
                    <a:noFill/>
                  </pic:spPr>
                </pic:pic>
              </a:graphicData>
            </a:graphic>
          </wp:anchor>
        </w:drawing>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Segment Financial Data</w:t>
      </w:r>
    </w:p>
    <w:p>
      <w:pPr>
        <w:spacing w:after="0" w:line="220"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8"/>
          <w:szCs w:val="18"/>
          <w:color w:val="auto"/>
        </w:rPr>
        <w:t>We globally manage our business operations through four reportable operating segments. Segment information is consistent with how management reviews the businesses, makes investing and resource allocation decisions and assesses operating performance.</w:t>
      </w:r>
    </w:p>
    <w:p>
      <w:pPr>
        <w:spacing w:after="0" w:line="183"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Honeywell’s senior management evaluates segment performance based on segment profit. Each segment’s profit is measured as segment income (loss) before taxes excluding general corporate unallocated expense, interest and other financial charges, stock compensation expense, pension and other postretirement income (expense), repositioning and other charges, and other items within Other (income) expense.</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0" w:right="2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Honeywell International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jc w:val="center"/>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94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8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860" w:type="dxa"/>
            <w:vAlign w:val="bottom"/>
          </w:tcPr>
          <w:p>
            <w:pPr>
              <w:spacing w:after="0"/>
              <w:rPr>
                <w:sz w:val="14"/>
                <w:szCs w:val="14"/>
                <w:color w:val="auto"/>
              </w:rPr>
            </w:pPr>
          </w:p>
        </w:tc>
      </w:tr>
      <w:tr>
        <w:trPr>
          <w:trHeight w:val="175"/>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9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gridSpan w:val="3"/>
          </w:tcPr>
          <w:p>
            <w:pPr>
              <w:jc w:val="right"/>
              <w:ind w:right="420"/>
              <w:spacing w:after="0"/>
              <w:rPr>
                <w:sz w:val="20"/>
                <w:szCs w:val="20"/>
                <w:color w:val="auto"/>
              </w:rPr>
            </w:pPr>
            <w:r>
              <w:rPr>
                <w:rFonts w:ascii="Arial" w:cs="Arial" w:eastAsia="Arial" w:hAnsi="Arial"/>
                <w:sz w:val="14"/>
                <w:szCs w:val="14"/>
                <w:b w:val="1"/>
                <w:bCs w:val="1"/>
                <w:color w:val="auto"/>
              </w:rPr>
              <w:t>June 30,</w:t>
            </w:r>
          </w:p>
        </w:tc>
        <w:tc>
          <w:tcPr>
            <w:tcW w:w="840" w:type="dxa"/>
            <w:vAlign w:val="bottom"/>
            <w:tcBorders>
              <w:bottom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gridSpan w:val="3"/>
          </w:tcPr>
          <w:p>
            <w:pPr>
              <w:jc w:val="right"/>
              <w:ind w:right="290"/>
              <w:spacing w:after="0"/>
              <w:rPr>
                <w:sz w:val="20"/>
                <w:szCs w:val="20"/>
                <w:color w:val="auto"/>
              </w:rPr>
            </w:pPr>
            <w:r>
              <w:rPr>
                <w:rFonts w:ascii="Arial" w:cs="Arial" w:eastAsia="Arial" w:hAnsi="Arial"/>
                <w:sz w:val="14"/>
                <w:szCs w:val="14"/>
                <w:b w:val="1"/>
                <w:bCs w:val="1"/>
                <w:color w:val="auto"/>
              </w:rPr>
              <w:t>June 30,</w:t>
            </w:r>
          </w:p>
        </w:tc>
        <w:tc>
          <w:tcPr>
            <w:tcW w:w="860" w:type="dxa"/>
            <w:vAlign w:val="bottom"/>
            <w:tcBorders>
              <w:bottom w:val="single" w:sz="8" w:color="auto"/>
            </w:tcBorders>
          </w:tcPr>
          <w:p>
            <w:pPr>
              <w:spacing w:after="0"/>
              <w:rPr>
                <w:sz w:val="15"/>
                <w:szCs w:val="15"/>
                <w:color w:val="auto"/>
              </w:rPr>
            </w:pPr>
          </w:p>
        </w:tc>
      </w:tr>
      <w:tr>
        <w:trPr>
          <w:trHeight w:val="156"/>
        </w:trPr>
        <w:tc>
          <w:tcPr>
            <w:tcW w:w="20" w:type="dxa"/>
            <w:vAlign w:val="bottom"/>
          </w:tcPr>
          <w:p>
            <w:pPr>
              <w:spacing w:after="0"/>
              <w:rPr>
                <w:sz w:val="13"/>
                <w:szCs w:val="13"/>
                <w:color w:val="auto"/>
              </w:rPr>
            </w:pPr>
          </w:p>
        </w:tc>
        <w:tc>
          <w:tcPr>
            <w:tcW w:w="740" w:type="dxa"/>
            <w:vAlign w:val="bottom"/>
            <w:tcBorders>
              <w:bottom w:val="single" w:sz="8" w:color="E5FFFF"/>
            </w:tcBorders>
          </w:tcPr>
          <w:p>
            <w:pPr>
              <w:spacing w:after="0"/>
              <w:rPr>
                <w:sz w:val="13"/>
                <w:szCs w:val="13"/>
                <w:color w:val="auto"/>
              </w:rPr>
            </w:pPr>
          </w:p>
        </w:tc>
        <w:tc>
          <w:tcPr>
            <w:tcW w:w="420" w:type="dxa"/>
            <w:vAlign w:val="bottom"/>
            <w:tcBorders>
              <w:bottom w:val="single" w:sz="8" w:color="E5FFFF"/>
            </w:tcBorders>
          </w:tcPr>
          <w:p>
            <w:pPr>
              <w:spacing w:after="0"/>
              <w:rPr>
                <w:sz w:val="13"/>
                <w:szCs w:val="13"/>
                <w:color w:val="auto"/>
              </w:rPr>
            </w:pPr>
          </w:p>
        </w:tc>
        <w:tc>
          <w:tcPr>
            <w:tcW w:w="2920" w:type="dxa"/>
            <w:vAlign w:val="bottom"/>
            <w:tcBorders>
              <w:bottom w:val="single" w:sz="8" w:color="E5FFFF"/>
            </w:tcBorders>
          </w:tcPr>
          <w:p>
            <w:pPr>
              <w:spacing w:after="0"/>
              <w:rPr>
                <w:sz w:val="13"/>
                <w:szCs w:val="13"/>
                <w:color w:val="auto"/>
              </w:rPr>
            </w:pPr>
          </w:p>
        </w:tc>
        <w:tc>
          <w:tcPr>
            <w:tcW w:w="840" w:type="dxa"/>
            <w:vAlign w:val="bottom"/>
            <w:tcBorders>
              <w:bottom w:val="single" w:sz="8" w:color="E5FF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432"/>
              <w:spacing w:after="0" w:line="155" w:lineRule="exact"/>
              <w:rPr>
                <w:sz w:val="20"/>
                <w:szCs w:val="20"/>
                <w:color w:val="auto"/>
              </w:rPr>
            </w:pPr>
            <w:r>
              <w:rPr>
                <w:rFonts w:ascii="Arial" w:cs="Arial" w:eastAsia="Arial" w:hAnsi="Arial"/>
                <w:sz w:val="14"/>
                <w:szCs w:val="14"/>
                <w:b w:val="1"/>
                <w:bCs w:val="1"/>
                <w:color w:val="auto"/>
              </w:rPr>
              <w:t>2018</w:t>
            </w:r>
          </w:p>
        </w:tc>
        <w:tc>
          <w:tcPr>
            <w:tcW w:w="360" w:type="dxa"/>
            <w:vAlign w:val="bottom"/>
            <w:tcBorders>
              <w:bottom w:val="single" w:sz="8" w:color="E5FFFF"/>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431"/>
              <w:spacing w:after="0" w:line="155" w:lineRule="exact"/>
              <w:rPr>
                <w:sz w:val="20"/>
                <w:szCs w:val="20"/>
                <w:color w:val="auto"/>
              </w:rPr>
            </w:pPr>
            <w:r>
              <w:rPr>
                <w:rFonts w:ascii="Arial" w:cs="Arial" w:eastAsia="Arial" w:hAnsi="Arial"/>
                <w:sz w:val="14"/>
                <w:szCs w:val="14"/>
                <w:b w:val="1"/>
                <w:bCs w:val="1"/>
                <w:color w:val="auto"/>
                <w:w w:val="96"/>
              </w:rPr>
              <w:t>2017</w:t>
            </w:r>
          </w:p>
        </w:tc>
        <w:tc>
          <w:tcPr>
            <w:tcW w:w="340" w:type="dxa"/>
            <w:vAlign w:val="bottom"/>
            <w:tcBorders>
              <w:bottom w:val="single" w:sz="8" w:color="E5FF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432"/>
              <w:spacing w:after="0" w:line="155" w:lineRule="exact"/>
              <w:rPr>
                <w:sz w:val="20"/>
                <w:szCs w:val="20"/>
                <w:color w:val="auto"/>
              </w:rPr>
            </w:pPr>
            <w:r>
              <w:rPr>
                <w:rFonts w:ascii="Arial" w:cs="Arial" w:eastAsia="Arial" w:hAnsi="Arial"/>
                <w:sz w:val="14"/>
                <w:szCs w:val="14"/>
                <w:b w:val="1"/>
                <w:bCs w:val="1"/>
                <w:color w:val="auto"/>
              </w:rPr>
              <w:t>2018</w:t>
            </w:r>
          </w:p>
        </w:tc>
        <w:tc>
          <w:tcPr>
            <w:tcW w:w="320" w:type="dxa"/>
            <w:vAlign w:val="bottom"/>
            <w:tcBorders>
              <w:bottom w:val="single" w:sz="8" w:color="E5FFFF"/>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431"/>
              <w:spacing w:after="0" w:line="155" w:lineRule="exact"/>
              <w:rPr>
                <w:sz w:val="20"/>
                <w:szCs w:val="20"/>
                <w:color w:val="auto"/>
              </w:rPr>
            </w:pPr>
            <w:r>
              <w:rPr>
                <w:rFonts w:ascii="Arial" w:cs="Arial" w:eastAsia="Arial" w:hAnsi="Arial"/>
                <w:sz w:val="14"/>
                <w:szCs w:val="14"/>
                <w:b w:val="1"/>
                <w:bCs w:val="1"/>
                <w:color w:val="auto"/>
              </w:rPr>
              <w:t>2017</w:t>
            </w:r>
          </w:p>
        </w:tc>
      </w:tr>
      <w:tr>
        <w:trPr>
          <w:trHeight w:val="176"/>
        </w:trPr>
        <w:tc>
          <w:tcPr>
            <w:tcW w:w="20" w:type="dxa"/>
            <w:vAlign w:val="bottom"/>
          </w:tcPr>
          <w:p>
            <w:pPr>
              <w:spacing w:after="0"/>
              <w:rPr>
                <w:sz w:val="15"/>
                <w:szCs w:val="15"/>
                <w:color w:val="auto"/>
              </w:rPr>
            </w:pPr>
          </w:p>
        </w:tc>
        <w:tc>
          <w:tcPr>
            <w:tcW w:w="740" w:type="dxa"/>
            <w:vAlign w:val="bottom"/>
            <w:tcBorders>
              <w:bottom w:val="single" w:sz="8" w:color="auto"/>
            </w:tcBorders>
            <w:shd w:val="clear" w:color="auto" w:fill="E5FFFF"/>
          </w:tcPr>
          <w:p>
            <w:pPr>
              <w:spacing w:after="0" w:line="170" w:lineRule="exact"/>
              <w:rPr>
                <w:sz w:val="20"/>
                <w:szCs w:val="20"/>
                <w:color w:val="auto"/>
              </w:rPr>
            </w:pPr>
            <w:r>
              <w:rPr>
                <w:rFonts w:ascii="Arial" w:cs="Arial" w:eastAsia="Arial" w:hAnsi="Arial"/>
                <w:sz w:val="18"/>
                <w:szCs w:val="18"/>
                <w:color w:val="auto"/>
                <w:w w:val="95"/>
              </w:rPr>
              <w:t>Net sales</w:t>
            </w:r>
          </w:p>
        </w:tc>
        <w:tc>
          <w:tcPr>
            <w:tcW w:w="3340" w:type="dxa"/>
            <w:vAlign w:val="bottom"/>
            <w:tcBorders>
              <w:bottom w:val="single" w:sz="8" w:color="E5FFFF"/>
            </w:tcBorders>
            <w:gridSpan w:val="2"/>
            <w:shd w:val="clear" w:color="auto" w:fill="E5FFFF"/>
          </w:tcPr>
          <w:p>
            <w:pPr>
              <w:spacing w:after="0"/>
              <w:rPr>
                <w:sz w:val="15"/>
                <w:szCs w:val="15"/>
                <w:color w:val="auto"/>
              </w:rPr>
            </w:pPr>
          </w:p>
        </w:tc>
        <w:tc>
          <w:tcPr>
            <w:tcW w:w="840" w:type="dxa"/>
            <w:vAlign w:val="bottom"/>
            <w:tcBorders>
              <w:bottom w:val="single" w:sz="8" w:color="E5FFFF"/>
            </w:tcBorders>
            <w:shd w:val="clear" w:color="auto" w:fill="E5FFFF"/>
          </w:tcPr>
          <w:p>
            <w:pPr>
              <w:spacing w:after="0"/>
              <w:rPr>
                <w:sz w:val="15"/>
                <w:szCs w:val="15"/>
                <w:color w:val="auto"/>
              </w:rPr>
            </w:pPr>
          </w:p>
        </w:tc>
        <w:tc>
          <w:tcPr>
            <w:tcW w:w="320" w:type="dxa"/>
            <w:vAlign w:val="bottom"/>
            <w:tcBorders>
              <w:bottom w:val="single" w:sz="8" w:color="E5FFFF"/>
            </w:tcBorders>
            <w:shd w:val="clear" w:color="auto" w:fill="E5FFFF"/>
          </w:tcPr>
          <w:p>
            <w:pPr>
              <w:spacing w:after="0"/>
              <w:rPr>
                <w:sz w:val="15"/>
                <w:szCs w:val="15"/>
                <w:color w:val="auto"/>
              </w:rPr>
            </w:pPr>
          </w:p>
        </w:tc>
        <w:tc>
          <w:tcPr>
            <w:tcW w:w="1060" w:type="dxa"/>
            <w:vAlign w:val="bottom"/>
            <w:tcBorders>
              <w:bottom w:val="single" w:sz="8" w:color="E5FFFF"/>
            </w:tcBorders>
            <w:shd w:val="clear" w:color="auto" w:fill="E5FFFF"/>
          </w:tcPr>
          <w:p>
            <w:pPr>
              <w:spacing w:after="0"/>
              <w:rPr>
                <w:sz w:val="15"/>
                <w:szCs w:val="15"/>
                <w:color w:val="auto"/>
              </w:rPr>
            </w:pPr>
          </w:p>
        </w:tc>
        <w:tc>
          <w:tcPr>
            <w:tcW w:w="360" w:type="dxa"/>
            <w:vAlign w:val="bottom"/>
            <w:tcBorders>
              <w:bottom w:val="single" w:sz="8" w:color="E5FFFF"/>
            </w:tcBorders>
            <w:shd w:val="clear" w:color="auto" w:fill="E5FFFF"/>
          </w:tcPr>
          <w:p>
            <w:pPr>
              <w:spacing w:after="0"/>
              <w:rPr>
                <w:sz w:val="15"/>
                <w:szCs w:val="15"/>
                <w:color w:val="auto"/>
              </w:rPr>
            </w:pPr>
          </w:p>
        </w:tc>
        <w:tc>
          <w:tcPr>
            <w:tcW w:w="520" w:type="dxa"/>
            <w:vAlign w:val="bottom"/>
            <w:tcBorders>
              <w:bottom w:val="single" w:sz="8" w:color="E5FFFF"/>
            </w:tcBorders>
            <w:shd w:val="clear" w:color="auto" w:fill="E5FFFF"/>
          </w:tcPr>
          <w:p>
            <w:pPr>
              <w:spacing w:after="0"/>
              <w:rPr>
                <w:sz w:val="15"/>
                <w:szCs w:val="15"/>
                <w:color w:val="auto"/>
              </w:rPr>
            </w:pPr>
          </w:p>
        </w:tc>
        <w:tc>
          <w:tcPr>
            <w:tcW w:w="840" w:type="dxa"/>
            <w:vAlign w:val="bottom"/>
            <w:tcBorders>
              <w:bottom w:val="single" w:sz="8" w:color="E5FFFF"/>
            </w:tcBorders>
            <w:shd w:val="clear" w:color="auto" w:fill="E5FFFF"/>
          </w:tcPr>
          <w:p>
            <w:pPr>
              <w:spacing w:after="0"/>
              <w:rPr>
                <w:sz w:val="15"/>
                <w:szCs w:val="15"/>
                <w:color w:val="auto"/>
              </w:rPr>
            </w:pPr>
          </w:p>
        </w:tc>
        <w:tc>
          <w:tcPr>
            <w:tcW w:w="340" w:type="dxa"/>
            <w:vAlign w:val="bottom"/>
            <w:tcBorders>
              <w:bottom w:val="single" w:sz="8" w:color="E5FFFF"/>
            </w:tcBorders>
            <w:shd w:val="clear" w:color="auto" w:fill="E5FFFF"/>
          </w:tcPr>
          <w:p>
            <w:pPr>
              <w:spacing w:after="0"/>
              <w:rPr>
                <w:sz w:val="15"/>
                <w:szCs w:val="15"/>
                <w:color w:val="auto"/>
              </w:rPr>
            </w:pPr>
          </w:p>
        </w:tc>
        <w:tc>
          <w:tcPr>
            <w:tcW w:w="300" w:type="dxa"/>
            <w:vAlign w:val="bottom"/>
            <w:tcBorders>
              <w:bottom w:val="single" w:sz="8" w:color="E5FFFF"/>
            </w:tcBorders>
            <w:shd w:val="clear" w:color="auto" w:fill="E5FFFF"/>
          </w:tcPr>
          <w:p>
            <w:pPr>
              <w:spacing w:after="0"/>
              <w:rPr>
                <w:sz w:val="15"/>
                <w:szCs w:val="15"/>
                <w:color w:val="auto"/>
              </w:rPr>
            </w:pPr>
          </w:p>
        </w:tc>
        <w:tc>
          <w:tcPr>
            <w:tcW w:w="1060" w:type="dxa"/>
            <w:vAlign w:val="bottom"/>
            <w:tcBorders>
              <w:bottom w:val="single" w:sz="8" w:color="E5FFFF"/>
            </w:tcBorders>
            <w:shd w:val="clear" w:color="auto" w:fill="E5FFFF"/>
          </w:tcPr>
          <w:p>
            <w:pPr>
              <w:spacing w:after="0"/>
              <w:rPr>
                <w:sz w:val="15"/>
                <w:szCs w:val="15"/>
                <w:color w:val="auto"/>
              </w:rPr>
            </w:pPr>
          </w:p>
        </w:tc>
        <w:tc>
          <w:tcPr>
            <w:tcW w:w="320" w:type="dxa"/>
            <w:vAlign w:val="bottom"/>
            <w:tcBorders>
              <w:bottom w:val="single" w:sz="8" w:color="E5FFFF"/>
            </w:tcBorders>
            <w:shd w:val="clear" w:color="auto" w:fill="E5FFFF"/>
          </w:tcPr>
          <w:p>
            <w:pPr>
              <w:spacing w:after="0"/>
              <w:rPr>
                <w:sz w:val="15"/>
                <w:szCs w:val="15"/>
                <w:color w:val="auto"/>
              </w:rPr>
            </w:pPr>
          </w:p>
        </w:tc>
        <w:tc>
          <w:tcPr>
            <w:tcW w:w="500" w:type="dxa"/>
            <w:vAlign w:val="bottom"/>
            <w:tcBorders>
              <w:bottom w:val="single" w:sz="8" w:color="E5FFFF"/>
            </w:tcBorders>
            <w:shd w:val="clear" w:color="auto" w:fill="E5FFFF"/>
          </w:tcPr>
          <w:p>
            <w:pPr>
              <w:spacing w:after="0"/>
              <w:rPr>
                <w:sz w:val="15"/>
                <w:szCs w:val="15"/>
                <w:color w:val="auto"/>
              </w:rPr>
            </w:pPr>
          </w:p>
        </w:tc>
        <w:tc>
          <w:tcPr>
            <w:tcW w:w="860" w:type="dxa"/>
            <w:vAlign w:val="bottom"/>
            <w:tcBorders>
              <w:bottom w:val="single" w:sz="8" w:color="E5FFFF"/>
            </w:tcBorders>
            <w:shd w:val="clear" w:color="auto" w:fill="E5FFFF"/>
          </w:tcPr>
          <w:p>
            <w:pPr>
              <w:spacing w:after="0"/>
              <w:rPr>
                <w:sz w:val="15"/>
                <w:szCs w:val="15"/>
                <w:color w:val="auto"/>
              </w:rPr>
            </w:pPr>
          </w:p>
        </w:tc>
      </w:tr>
      <w:tr>
        <w:trPr>
          <w:trHeight w:val="203"/>
        </w:trPr>
        <w:tc>
          <w:tcPr>
            <w:tcW w:w="20" w:type="dxa"/>
            <w:vAlign w:val="bottom"/>
          </w:tcPr>
          <w:p>
            <w:pPr>
              <w:spacing w:after="0"/>
              <w:rPr>
                <w:sz w:val="17"/>
                <w:szCs w:val="17"/>
                <w:color w:val="auto"/>
              </w:rPr>
            </w:pPr>
          </w:p>
        </w:tc>
        <w:tc>
          <w:tcPr>
            <w:tcW w:w="4080" w:type="dxa"/>
            <w:vAlign w:val="bottom"/>
            <w:gridSpan w:val="3"/>
          </w:tcPr>
          <w:p>
            <w:pPr>
              <w:spacing w:after="0" w:line="202" w:lineRule="exact"/>
              <w:rPr>
                <w:sz w:val="20"/>
                <w:szCs w:val="20"/>
                <w:color w:val="auto"/>
              </w:rPr>
            </w:pPr>
            <w:r>
              <w:rPr>
                <w:rFonts w:ascii="Arial" w:cs="Arial" w:eastAsia="Arial" w:hAnsi="Arial"/>
                <w:sz w:val="18"/>
                <w:szCs w:val="18"/>
                <w:color w:val="auto"/>
              </w:rPr>
              <w:t>Aerospace</w:t>
            </w:r>
          </w:p>
        </w:tc>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080" w:type="dxa"/>
            <w:vAlign w:val="bottom"/>
            <w:gridSpan w:val="3"/>
            <w:shd w:val="clear" w:color="auto" w:fill="E5FFFF"/>
          </w:tcPr>
          <w:p>
            <w:pPr>
              <w:jc w:val="center"/>
              <w:ind w:right="3040"/>
              <w:spacing w:after="0" w:line="202" w:lineRule="exact"/>
              <w:rPr>
                <w:sz w:val="20"/>
                <w:szCs w:val="20"/>
                <w:color w:val="auto"/>
              </w:rPr>
            </w:pPr>
            <w:r>
              <w:rPr>
                <w:rFonts w:ascii="Arial" w:cs="Arial" w:eastAsia="Arial" w:hAnsi="Arial"/>
                <w:sz w:val="18"/>
                <w:szCs w:val="18"/>
                <w:color w:val="auto"/>
              </w:rPr>
              <w:t>Products</w:t>
            </w:r>
          </w:p>
        </w:tc>
        <w:tc>
          <w:tcPr>
            <w:tcW w:w="1160" w:type="dxa"/>
            <w:vAlign w:val="bottom"/>
            <w:gridSpan w:val="2"/>
            <w:shd w:val="clear" w:color="auto" w:fill="E5FF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060" w:type="dxa"/>
            <w:vAlign w:val="bottom"/>
            <w:shd w:val="clear" w:color="auto" w:fill="E5FFFF"/>
          </w:tcPr>
          <w:p>
            <w:pPr>
              <w:jc w:val="right"/>
              <w:ind w:right="32"/>
              <w:spacing w:after="0" w:line="202" w:lineRule="exact"/>
              <w:rPr>
                <w:sz w:val="20"/>
                <w:szCs w:val="20"/>
                <w:color w:val="auto"/>
              </w:rPr>
            </w:pPr>
            <w:r>
              <w:rPr>
                <w:rFonts w:ascii="Arial" w:cs="Arial" w:eastAsia="Arial" w:hAnsi="Arial"/>
                <w:sz w:val="18"/>
                <w:szCs w:val="18"/>
                <w:color w:val="auto"/>
              </w:rPr>
              <w:t>2,800</w:t>
            </w:r>
          </w:p>
        </w:tc>
        <w:tc>
          <w:tcPr>
            <w:tcW w:w="880" w:type="dxa"/>
            <w:vAlign w:val="bottom"/>
            <w:gridSpan w:val="2"/>
            <w:shd w:val="clear" w:color="auto" w:fill="E5FFFF"/>
          </w:tcPr>
          <w:p>
            <w:pPr>
              <w:jc w:val="right"/>
              <w:ind w:right="420"/>
              <w:spacing w:after="0" w:line="202" w:lineRule="exact"/>
              <w:rPr>
                <w:sz w:val="20"/>
                <w:szCs w:val="20"/>
                <w:color w:val="auto"/>
              </w:rPr>
            </w:pPr>
            <w:r>
              <w:rPr>
                <w:rFonts w:ascii="Arial" w:cs="Arial" w:eastAsia="Arial" w:hAnsi="Arial"/>
                <w:sz w:val="18"/>
                <w:szCs w:val="18"/>
                <w:color w:val="auto"/>
              </w:rPr>
              <w:t>$</w:t>
            </w:r>
          </w:p>
        </w:tc>
        <w:tc>
          <w:tcPr>
            <w:tcW w:w="84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2,545</w:t>
            </w:r>
          </w:p>
        </w:tc>
        <w:tc>
          <w:tcPr>
            <w:tcW w:w="640" w:type="dxa"/>
            <w:vAlign w:val="bottom"/>
            <w:gridSpan w:val="2"/>
            <w:shd w:val="clear" w:color="auto" w:fill="E5FF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060" w:type="dxa"/>
            <w:vAlign w:val="bottom"/>
            <w:shd w:val="clear" w:color="auto" w:fill="E5FFFF"/>
          </w:tcPr>
          <w:p>
            <w:pPr>
              <w:jc w:val="right"/>
              <w:ind w:right="32"/>
              <w:spacing w:after="0" w:line="202" w:lineRule="exact"/>
              <w:rPr>
                <w:sz w:val="20"/>
                <w:szCs w:val="20"/>
                <w:color w:val="auto"/>
              </w:rPr>
            </w:pPr>
            <w:r>
              <w:rPr>
                <w:rFonts w:ascii="Arial" w:cs="Arial" w:eastAsia="Arial" w:hAnsi="Arial"/>
                <w:sz w:val="18"/>
                <w:szCs w:val="18"/>
                <w:color w:val="auto"/>
              </w:rPr>
              <w:t>5,528</w:t>
            </w:r>
          </w:p>
        </w:tc>
        <w:tc>
          <w:tcPr>
            <w:tcW w:w="320" w:type="dxa"/>
            <w:vAlign w:val="bottom"/>
            <w:shd w:val="clear" w:color="auto" w:fill="E5FFFF"/>
          </w:tcPr>
          <w:p>
            <w:pPr>
              <w:spacing w:after="0"/>
              <w:rPr>
                <w:sz w:val="17"/>
                <w:szCs w:val="17"/>
                <w:color w:val="auto"/>
              </w:rPr>
            </w:pPr>
          </w:p>
        </w:tc>
        <w:tc>
          <w:tcPr>
            <w:tcW w:w="500" w:type="dxa"/>
            <w:vAlign w:val="bottom"/>
            <w:shd w:val="clear" w:color="auto" w:fill="E5FFFF"/>
          </w:tcPr>
          <w:p>
            <w:pPr>
              <w:jc w:val="right"/>
              <w:ind w:right="310"/>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4,941</w:t>
            </w:r>
          </w:p>
        </w:tc>
      </w:tr>
      <w:tr>
        <w:trPr>
          <w:trHeight w:val="216"/>
        </w:trPr>
        <w:tc>
          <w:tcPr>
            <w:tcW w:w="20" w:type="dxa"/>
            <w:vAlign w:val="bottom"/>
          </w:tcPr>
          <w:p>
            <w:pPr>
              <w:spacing w:after="0"/>
              <w:rPr>
                <w:sz w:val="18"/>
                <w:szCs w:val="18"/>
                <w:color w:val="auto"/>
              </w:rPr>
            </w:pPr>
          </w:p>
        </w:tc>
        <w:tc>
          <w:tcPr>
            <w:tcW w:w="4080" w:type="dxa"/>
            <w:vAlign w:val="bottom"/>
            <w:tcBorders>
              <w:bottom w:val="single" w:sz="8" w:color="E5FFFF"/>
            </w:tcBorders>
            <w:gridSpan w:val="3"/>
          </w:tcPr>
          <w:p>
            <w:pPr>
              <w:jc w:val="center"/>
              <w:ind w:right="3060"/>
              <w:spacing w:after="0"/>
              <w:rPr>
                <w:sz w:val="20"/>
                <w:szCs w:val="20"/>
                <w:color w:val="auto"/>
              </w:rPr>
            </w:pPr>
            <w:r>
              <w:rPr>
                <w:rFonts w:ascii="Arial" w:cs="Arial" w:eastAsia="Arial" w:hAnsi="Arial"/>
                <w:sz w:val="18"/>
                <w:szCs w:val="18"/>
                <w:color w:val="auto"/>
              </w:rPr>
              <w:t>Services</w:t>
            </w:r>
          </w:p>
        </w:tc>
        <w:tc>
          <w:tcPr>
            <w:tcW w:w="840" w:type="dxa"/>
            <w:vAlign w:val="bottom"/>
            <w:tcBorders>
              <w:bottom w:val="single" w:sz="8" w:color="E5FF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1,258</w:t>
            </w:r>
          </w:p>
        </w:tc>
        <w:tc>
          <w:tcPr>
            <w:tcW w:w="360" w:type="dxa"/>
            <w:vAlign w:val="bottom"/>
            <w:tcBorders>
              <w:bottom w:val="single" w:sz="8" w:color="E5FF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1,129</w:t>
            </w:r>
          </w:p>
        </w:tc>
        <w:tc>
          <w:tcPr>
            <w:tcW w:w="340" w:type="dxa"/>
            <w:vAlign w:val="bottom"/>
            <w:tcBorders>
              <w:bottom w:val="single" w:sz="8" w:color="E5FF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2,507</w:t>
            </w:r>
          </w:p>
        </w:tc>
        <w:tc>
          <w:tcPr>
            <w:tcW w:w="320" w:type="dxa"/>
            <w:vAlign w:val="bottom"/>
            <w:tcBorders>
              <w:bottom w:val="single" w:sz="8" w:color="E5FF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2,279</w:t>
            </w:r>
          </w:p>
        </w:tc>
      </w:tr>
      <w:tr>
        <w:trPr>
          <w:trHeight w:val="196"/>
        </w:trPr>
        <w:tc>
          <w:tcPr>
            <w:tcW w:w="20" w:type="dxa"/>
            <w:vAlign w:val="bottom"/>
          </w:tcPr>
          <w:p>
            <w:pPr>
              <w:spacing w:after="0"/>
              <w:rPr>
                <w:sz w:val="17"/>
                <w:szCs w:val="17"/>
                <w:color w:val="auto"/>
              </w:rPr>
            </w:pPr>
          </w:p>
        </w:tc>
        <w:tc>
          <w:tcPr>
            <w:tcW w:w="4080" w:type="dxa"/>
            <w:vAlign w:val="bottom"/>
            <w:gridSpan w:val="3"/>
            <w:shd w:val="clear" w:color="auto" w:fill="E5FFFF"/>
          </w:tcPr>
          <w:p>
            <w:pPr>
              <w:jc w:val="center"/>
              <w:ind w:right="3020"/>
              <w:spacing w:after="0" w:line="196" w:lineRule="exact"/>
              <w:rPr>
                <w:sz w:val="20"/>
                <w:szCs w:val="20"/>
                <w:color w:val="auto"/>
              </w:rPr>
            </w:pPr>
            <w:r>
              <w:rPr>
                <w:rFonts w:ascii="Arial" w:cs="Arial" w:eastAsia="Arial" w:hAnsi="Arial"/>
                <w:sz w:val="18"/>
                <w:szCs w:val="18"/>
                <w:color w:val="auto"/>
                <w:w w:val="94"/>
              </w:rPr>
              <w:t>Total</w:t>
            </w:r>
          </w:p>
        </w:tc>
        <w:tc>
          <w:tcPr>
            <w:tcW w:w="840" w:type="dxa"/>
            <w:vAlign w:val="bottom"/>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1060" w:type="dxa"/>
            <w:vAlign w:val="bottom"/>
            <w:shd w:val="clear" w:color="auto" w:fill="E5FFFF"/>
          </w:tcPr>
          <w:p>
            <w:pPr>
              <w:jc w:val="right"/>
              <w:ind w:right="32"/>
              <w:spacing w:after="0" w:line="196" w:lineRule="exact"/>
              <w:rPr>
                <w:sz w:val="20"/>
                <w:szCs w:val="20"/>
                <w:color w:val="auto"/>
              </w:rPr>
            </w:pPr>
            <w:r>
              <w:rPr>
                <w:rFonts w:ascii="Arial" w:cs="Arial" w:eastAsia="Arial" w:hAnsi="Arial"/>
                <w:sz w:val="18"/>
                <w:szCs w:val="18"/>
                <w:color w:val="auto"/>
              </w:rPr>
              <w:t>4,058</w:t>
            </w:r>
          </w:p>
        </w:tc>
        <w:tc>
          <w:tcPr>
            <w:tcW w:w="360" w:type="dxa"/>
            <w:vAlign w:val="bottom"/>
            <w:shd w:val="clear" w:color="auto" w:fill="E5FFFF"/>
          </w:tcPr>
          <w:p>
            <w:pPr>
              <w:spacing w:after="0"/>
              <w:rPr>
                <w:sz w:val="17"/>
                <w:szCs w:val="17"/>
                <w:color w:val="auto"/>
              </w:rPr>
            </w:pPr>
          </w:p>
        </w:tc>
        <w:tc>
          <w:tcPr>
            <w:tcW w:w="520" w:type="dxa"/>
            <w:vAlign w:val="bottom"/>
            <w:shd w:val="clear" w:color="auto" w:fill="E5FFFF"/>
          </w:tcPr>
          <w:p>
            <w:pPr>
              <w:spacing w:after="0"/>
              <w:rPr>
                <w:sz w:val="17"/>
                <w:szCs w:val="17"/>
                <w:color w:val="auto"/>
              </w:rPr>
            </w:pPr>
          </w:p>
        </w:tc>
        <w:tc>
          <w:tcPr>
            <w:tcW w:w="840" w:type="dxa"/>
            <w:vAlign w:val="bottom"/>
            <w:shd w:val="clear" w:color="auto" w:fill="E5FFFF"/>
          </w:tcPr>
          <w:p>
            <w:pPr>
              <w:jc w:val="right"/>
              <w:ind w:right="11"/>
              <w:spacing w:after="0" w:line="196" w:lineRule="exact"/>
              <w:rPr>
                <w:sz w:val="20"/>
                <w:szCs w:val="20"/>
                <w:color w:val="auto"/>
              </w:rPr>
            </w:pPr>
            <w:r>
              <w:rPr>
                <w:rFonts w:ascii="Arial" w:cs="Arial" w:eastAsia="Arial" w:hAnsi="Arial"/>
                <w:sz w:val="18"/>
                <w:szCs w:val="18"/>
                <w:color w:val="auto"/>
              </w:rPr>
              <w:t>3,674</w:t>
            </w:r>
          </w:p>
        </w:tc>
        <w:tc>
          <w:tcPr>
            <w:tcW w:w="34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1060" w:type="dxa"/>
            <w:vAlign w:val="bottom"/>
            <w:shd w:val="clear" w:color="auto" w:fill="E5FFFF"/>
          </w:tcPr>
          <w:p>
            <w:pPr>
              <w:jc w:val="right"/>
              <w:ind w:right="32"/>
              <w:spacing w:after="0" w:line="196" w:lineRule="exact"/>
              <w:rPr>
                <w:sz w:val="20"/>
                <w:szCs w:val="20"/>
                <w:color w:val="auto"/>
              </w:rPr>
            </w:pPr>
            <w:r>
              <w:rPr>
                <w:rFonts w:ascii="Arial" w:cs="Arial" w:eastAsia="Arial" w:hAnsi="Arial"/>
                <w:sz w:val="18"/>
                <w:szCs w:val="18"/>
                <w:color w:val="auto"/>
              </w:rPr>
              <w:t>8,035</w:t>
            </w:r>
          </w:p>
        </w:tc>
        <w:tc>
          <w:tcPr>
            <w:tcW w:w="320" w:type="dxa"/>
            <w:vAlign w:val="bottom"/>
            <w:shd w:val="clear" w:color="auto" w:fill="E5FFFF"/>
          </w:tcPr>
          <w:p>
            <w:pPr>
              <w:spacing w:after="0"/>
              <w:rPr>
                <w:sz w:val="17"/>
                <w:szCs w:val="17"/>
                <w:color w:val="auto"/>
              </w:rPr>
            </w:pPr>
          </w:p>
        </w:tc>
        <w:tc>
          <w:tcPr>
            <w:tcW w:w="500" w:type="dxa"/>
            <w:vAlign w:val="bottom"/>
            <w:shd w:val="clear" w:color="auto" w:fill="E5FFFF"/>
          </w:tcPr>
          <w:p>
            <w:pPr>
              <w:spacing w:after="0"/>
              <w:rPr>
                <w:sz w:val="17"/>
                <w:szCs w:val="17"/>
                <w:color w:val="auto"/>
              </w:rPr>
            </w:pPr>
          </w:p>
        </w:tc>
        <w:tc>
          <w:tcPr>
            <w:tcW w:w="860" w:type="dxa"/>
            <w:vAlign w:val="bottom"/>
            <w:shd w:val="clear" w:color="auto" w:fill="E5FFFF"/>
          </w:tcPr>
          <w:p>
            <w:pPr>
              <w:jc w:val="right"/>
              <w:ind w:right="11"/>
              <w:spacing w:after="0" w:line="196" w:lineRule="exact"/>
              <w:rPr>
                <w:sz w:val="20"/>
                <w:szCs w:val="20"/>
                <w:color w:val="auto"/>
              </w:rPr>
            </w:pPr>
            <w:r>
              <w:rPr>
                <w:rFonts w:ascii="Arial" w:cs="Arial" w:eastAsia="Arial" w:hAnsi="Arial"/>
                <w:sz w:val="18"/>
                <w:szCs w:val="18"/>
                <w:color w:val="auto"/>
              </w:rPr>
              <w:t>7,220</w:t>
            </w:r>
          </w:p>
        </w:tc>
      </w:tr>
      <w:tr>
        <w:trPr>
          <w:trHeight w:val="203"/>
        </w:trPr>
        <w:tc>
          <w:tcPr>
            <w:tcW w:w="20" w:type="dxa"/>
            <w:vAlign w:val="bottom"/>
          </w:tcPr>
          <w:p>
            <w:pPr>
              <w:spacing w:after="0"/>
              <w:rPr>
                <w:sz w:val="17"/>
                <w:szCs w:val="17"/>
                <w:color w:val="auto"/>
              </w:rPr>
            </w:pPr>
          </w:p>
        </w:tc>
        <w:tc>
          <w:tcPr>
            <w:tcW w:w="4080" w:type="dxa"/>
            <w:vAlign w:val="bottom"/>
            <w:gridSpan w:val="3"/>
          </w:tcPr>
          <w:p>
            <w:pPr>
              <w:spacing w:after="0" w:line="202" w:lineRule="exact"/>
              <w:rPr>
                <w:sz w:val="20"/>
                <w:szCs w:val="20"/>
                <w:color w:val="auto"/>
              </w:rPr>
            </w:pPr>
            <w:r>
              <w:rPr>
                <w:rFonts w:ascii="Arial" w:cs="Arial" w:eastAsia="Arial" w:hAnsi="Arial"/>
                <w:sz w:val="18"/>
                <w:szCs w:val="18"/>
                <w:color w:val="auto"/>
              </w:rPr>
              <w:t>Home and Building Technologies</w:t>
            </w:r>
          </w:p>
        </w:tc>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080" w:type="dxa"/>
            <w:vAlign w:val="bottom"/>
            <w:gridSpan w:val="3"/>
            <w:shd w:val="clear" w:color="auto" w:fill="E5FFFF"/>
          </w:tcPr>
          <w:p>
            <w:pPr>
              <w:jc w:val="center"/>
              <w:ind w:right="3040"/>
              <w:spacing w:after="0" w:line="202" w:lineRule="exact"/>
              <w:rPr>
                <w:sz w:val="20"/>
                <w:szCs w:val="20"/>
                <w:color w:val="auto"/>
              </w:rPr>
            </w:pPr>
            <w:r>
              <w:rPr>
                <w:rFonts w:ascii="Arial" w:cs="Arial" w:eastAsia="Arial" w:hAnsi="Arial"/>
                <w:sz w:val="18"/>
                <w:szCs w:val="18"/>
                <w:color w:val="auto"/>
              </w:rPr>
              <w:t>Products</w:t>
            </w:r>
          </w:p>
        </w:tc>
        <w:tc>
          <w:tcPr>
            <w:tcW w:w="840" w:type="dxa"/>
            <w:vAlign w:val="bottom"/>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1060" w:type="dxa"/>
            <w:vAlign w:val="bottom"/>
            <w:shd w:val="clear" w:color="auto" w:fill="E5FFFF"/>
          </w:tcPr>
          <w:p>
            <w:pPr>
              <w:jc w:val="right"/>
              <w:ind w:right="32"/>
              <w:spacing w:after="0" w:line="202" w:lineRule="exact"/>
              <w:rPr>
                <w:sz w:val="20"/>
                <w:szCs w:val="20"/>
                <w:color w:val="auto"/>
              </w:rPr>
            </w:pPr>
            <w:r>
              <w:rPr>
                <w:rFonts w:ascii="Arial" w:cs="Arial" w:eastAsia="Arial" w:hAnsi="Arial"/>
                <w:sz w:val="18"/>
                <w:szCs w:val="18"/>
                <w:color w:val="auto"/>
              </w:rPr>
              <w:t>2,183</w:t>
            </w:r>
          </w:p>
        </w:tc>
        <w:tc>
          <w:tcPr>
            <w:tcW w:w="360" w:type="dxa"/>
            <w:vAlign w:val="bottom"/>
            <w:shd w:val="clear" w:color="auto" w:fill="E5FFFF"/>
          </w:tcPr>
          <w:p>
            <w:pPr>
              <w:spacing w:after="0"/>
              <w:rPr>
                <w:sz w:val="17"/>
                <w:szCs w:val="17"/>
                <w:color w:val="auto"/>
              </w:rPr>
            </w:pPr>
          </w:p>
        </w:tc>
        <w:tc>
          <w:tcPr>
            <w:tcW w:w="520" w:type="dxa"/>
            <w:vAlign w:val="bottom"/>
            <w:shd w:val="clear" w:color="auto" w:fill="E5FFFF"/>
          </w:tcPr>
          <w:p>
            <w:pPr>
              <w:spacing w:after="0"/>
              <w:rPr>
                <w:sz w:val="17"/>
                <w:szCs w:val="17"/>
                <w:color w:val="auto"/>
              </w:rPr>
            </w:pPr>
          </w:p>
        </w:tc>
        <w:tc>
          <w:tcPr>
            <w:tcW w:w="84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2,078</w:t>
            </w:r>
          </w:p>
        </w:tc>
        <w:tc>
          <w:tcPr>
            <w:tcW w:w="34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1060" w:type="dxa"/>
            <w:vAlign w:val="bottom"/>
            <w:shd w:val="clear" w:color="auto" w:fill="E5FFFF"/>
          </w:tcPr>
          <w:p>
            <w:pPr>
              <w:jc w:val="right"/>
              <w:ind w:right="32"/>
              <w:spacing w:after="0" w:line="202" w:lineRule="exact"/>
              <w:rPr>
                <w:sz w:val="20"/>
                <w:szCs w:val="20"/>
                <w:color w:val="auto"/>
              </w:rPr>
            </w:pPr>
            <w:r>
              <w:rPr>
                <w:rFonts w:ascii="Arial" w:cs="Arial" w:eastAsia="Arial" w:hAnsi="Arial"/>
                <w:sz w:val="18"/>
                <w:szCs w:val="18"/>
                <w:color w:val="auto"/>
              </w:rPr>
              <w:t>4,266</w:t>
            </w:r>
          </w:p>
        </w:tc>
        <w:tc>
          <w:tcPr>
            <w:tcW w:w="320" w:type="dxa"/>
            <w:vAlign w:val="bottom"/>
            <w:shd w:val="clear" w:color="auto" w:fill="E5FFFF"/>
          </w:tcPr>
          <w:p>
            <w:pPr>
              <w:spacing w:after="0"/>
              <w:rPr>
                <w:sz w:val="17"/>
                <w:szCs w:val="17"/>
                <w:color w:val="auto"/>
              </w:rPr>
            </w:pPr>
          </w:p>
        </w:tc>
        <w:tc>
          <w:tcPr>
            <w:tcW w:w="500" w:type="dxa"/>
            <w:vAlign w:val="bottom"/>
            <w:shd w:val="clear" w:color="auto" w:fill="E5FFFF"/>
          </w:tcPr>
          <w:p>
            <w:pPr>
              <w:spacing w:after="0"/>
              <w:rPr>
                <w:sz w:val="17"/>
                <w:szCs w:val="17"/>
                <w:color w:val="auto"/>
              </w:rPr>
            </w:pPr>
          </w:p>
        </w:tc>
        <w:tc>
          <w:tcPr>
            <w:tcW w:w="86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4,029</w:t>
            </w:r>
          </w:p>
        </w:tc>
      </w:tr>
      <w:tr>
        <w:trPr>
          <w:trHeight w:val="216"/>
        </w:trPr>
        <w:tc>
          <w:tcPr>
            <w:tcW w:w="20" w:type="dxa"/>
            <w:vAlign w:val="bottom"/>
          </w:tcPr>
          <w:p>
            <w:pPr>
              <w:spacing w:after="0"/>
              <w:rPr>
                <w:sz w:val="18"/>
                <w:szCs w:val="18"/>
                <w:color w:val="auto"/>
              </w:rPr>
            </w:pPr>
          </w:p>
        </w:tc>
        <w:tc>
          <w:tcPr>
            <w:tcW w:w="4080" w:type="dxa"/>
            <w:vAlign w:val="bottom"/>
            <w:tcBorders>
              <w:bottom w:val="single" w:sz="8" w:color="E5FFFF"/>
            </w:tcBorders>
            <w:gridSpan w:val="3"/>
          </w:tcPr>
          <w:p>
            <w:pPr>
              <w:jc w:val="center"/>
              <w:ind w:right="3060"/>
              <w:spacing w:after="0"/>
              <w:rPr>
                <w:sz w:val="20"/>
                <w:szCs w:val="20"/>
                <w:color w:val="auto"/>
              </w:rPr>
            </w:pPr>
            <w:r>
              <w:rPr>
                <w:rFonts w:ascii="Arial" w:cs="Arial" w:eastAsia="Arial" w:hAnsi="Arial"/>
                <w:sz w:val="18"/>
                <w:szCs w:val="18"/>
                <w:color w:val="auto"/>
              </w:rPr>
              <w:t>Services</w:t>
            </w:r>
          </w:p>
        </w:tc>
        <w:tc>
          <w:tcPr>
            <w:tcW w:w="840" w:type="dxa"/>
            <w:vAlign w:val="bottom"/>
            <w:tcBorders>
              <w:bottom w:val="single" w:sz="8" w:color="E5FF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363</w:t>
            </w:r>
          </w:p>
        </w:tc>
        <w:tc>
          <w:tcPr>
            <w:tcW w:w="360" w:type="dxa"/>
            <w:vAlign w:val="bottom"/>
            <w:tcBorders>
              <w:bottom w:val="single" w:sz="8" w:color="E5FF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336</w:t>
            </w:r>
          </w:p>
        </w:tc>
        <w:tc>
          <w:tcPr>
            <w:tcW w:w="340" w:type="dxa"/>
            <w:vAlign w:val="bottom"/>
            <w:tcBorders>
              <w:bottom w:val="single" w:sz="8" w:color="E5FF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713</w:t>
            </w:r>
          </w:p>
        </w:tc>
        <w:tc>
          <w:tcPr>
            <w:tcW w:w="320" w:type="dxa"/>
            <w:vAlign w:val="bottom"/>
            <w:tcBorders>
              <w:bottom w:val="single" w:sz="8" w:color="E5FF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654</w:t>
            </w:r>
          </w:p>
        </w:tc>
      </w:tr>
      <w:tr>
        <w:trPr>
          <w:trHeight w:val="196"/>
        </w:trPr>
        <w:tc>
          <w:tcPr>
            <w:tcW w:w="20" w:type="dxa"/>
            <w:vAlign w:val="bottom"/>
          </w:tcPr>
          <w:p>
            <w:pPr>
              <w:spacing w:after="0"/>
              <w:rPr>
                <w:sz w:val="17"/>
                <w:szCs w:val="17"/>
                <w:color w:val="auto"/>
              </w:rPr>
            </w:pPr>
          </w:p>
        </w:tc>
        <w:tc>
          <w:tcPr>
            <w:tcW w:w="4080" w:type="dxa"/>
            <w:vAlign w:val="bottom"/>
            <w:gridSpan w:val="3"/>
            <w:shd w:val="clear" w:color="auto" w:fill="E5FFFF"/>
          </w:tcPr>
          <w:p>
            <w:pPr>
              <w:jc w:val="center"/>
              <w:ind w:right="3020"/>
              <w:spacing w:after="0" w:line="196" w:lineRule="exact"/>
              <w:rPr>
                <w:sz w:val="20"/>
                <w:szCs w:val="20"/>
                <w:color w:val="auto"/>
              </w:rPr>
            </w:pPr>
            <w:r>
              <w:rPr>
                <w:rFonts w:ascii="Arial" w:cs="Arial" w:eastAsia="Arial" w:hAnsi="Arial"/>
                <w:sz w:val="18"/>
                <w:szCs w:val="18"/>
                <w:color w:val="auto"/>
                <w:w w:val="94"/>
              </w:rPr>
              <w:t>Total</w:t>
            </w:r>
          </w:p>
        </w:tc>
        <w:tc>
          <w:tcPr>
            <w:tcW w:w="840" w:type="dxa"/>
            <w:vAlign w:val="bottom"/>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1060" w:type="dxa"/>
            <w:vAlign w:val="bottom"/>
            <w:shd w:val="clear" w:color="auto" w:fill="E5FFFF"/>
          </w:tcPr>
          <w:p>
            <w:pPr>
              <w:jc w:val="right"/>
              <w:ind w:right="32"/>
              <w:spacing w:after="0" w:line="196" w:lineRule="exact"/>
              <w:rPr>
                <w:sz w:val="20"/>
                <w:szCs w:val="20"/>
                <w:color w:val="auto"/>
              </w:rPr>
            </w:pPr>
            <w:r>
              <w:rPr>
                <w:rFonts w:ascii="Arial" w:cs="Arial" w:eastAsia="Arial" w:hAnsi="Arial"/>
                <w:sz w:val="18"/>
                <w:szCs w:val="18"/>
                <w:color w:val="auto"/>
              </w:rPr>
              <w:t>2,546</w:t>
            </w:r>
          </w:p>
        </w:tc>
        <w:tc>
          <w:tcPr>
            <w:tcW w:w="360" w:type="dxa"/>
            <w:vAlign w:val="bottom"/>
            <w:shd w:val="clear" w:color="auto" w:fill="E5FFFF"/>
          </w:tcPr>
          <w:p>
            <w:pPr>
              <w:spacing w:after="0"/>
              <w:rPr>
                <w:sz w:val="17"/>
                <w:szCs w:val="17"/>
                <w:color w:val="auto"/>
              </w:rPr>
            </w:pPr>
          </w:p>
        </w:tc>
        <w:tc>
          <w:tcPr>
            <w:tcW w:w="520" w:type="dxa"/>
            <w:vAlign w:val="bottom"/>
            <w:shd w:val="clear" w:color="auto" w:fill="E5FFFF"/>
          </w:tcPr>
          <w:p>
            <w:pPr>
              <w:spacing w:after="0"/>
              <w:rPr>
                <w:sz w:val="17"/>
                <w:szCs w:val="17"/>
                <w:color w:val="auto"/>
              </w:rPr>
            </w:pPr>
          </w:p>
        </w:tc>
        <w:tc>
          <w:tcPr>
            <w:tcW w:w="840" w:type="dxa"/>
            <w:vAlign w:val="bottom"/>
            <w:shd w:val="clear" w:color="auto" w:fill="E5FFFF"/>
          </w:tcPr>
          <w:p>
            <w:pPr>
              <w:jc w:val="right"/>
              <w:ind w:right="11"/>
              <w:spacing w:after="0" w:line="196" w:lineRule="exact"/>
              <w:rPr>
                <w:sz w:val="20"/>
                <w:szCs w:val="20"/>
                <w:color w:val="auto"/>
              </w:rPr>
            </w:pPr>
            <w:r>
              <w:rPr>
                <w:rFonts w:ascii="Arial" w:cs="Arial" w:eastAsia="Arial" w:hAnsi="Arial"/>
                <w:sz w:val="18"/>
                <w:szCs w:val="18"/>
                <w:color w:val="auto"/>
              </w:rPr>
              <w:t>2,414</w:t>
            </w:r>
          </w:p>
        </w:tc>
        <w:tc>
          <w:tcPr>
            <w:tcW w:w="34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1060" w:type="dxa"/>
            <w:vAlign w:val="bottom"/>
            <w:shd w:val="clear" w:color="auto" w:fill="E5FFFF"/>
          </w:tcPr>
          <w:p>
            <w:pPr>
              <w:jc w:val="right"/>
              <w:ind w:right="32"/>
              <w:spacing w:after="0" w:line="196" w:lineRule="exact"/>
              <w:rPr>
                <w:sz w:val="20"/>
                <w:szCs w:val="20"/>
                <w:color w:val="auto"/>
              </w:rPr>
            </w:pPr>
            <w:r>
              <w:rPr>
                <w:rFonts w:ascii="Arial" w:cs="Arial" w:eastAsia="Arial" w:hAnsi="Arial"/>
                <w:sz w:val="18"/>
                <w:szCs w:val="18"/>
                <w:color w:val="auto"/>
              </w:rPr>
              <w:t>4,979</w:t>
            </w:r>
          </w:p>
        </w:tc>
        <w:tc>
          <w:tcPr>
            <w:tcW w:w="320" w:type="dxa"/>
            <w:vAlign w:val="bottom"/>
            <w:shd w:val="clear" w:color="auto" w:fill="E5FFFF"/>
          </w:tcPr>
          <w:p>
            <w:pPr>
              <w:spacing w:after="0"/>
              <w:rPr>
                <w:sz w:val="17"/>
                <w:szCs w:val="17"/>
                <w:color w:val="auto"/>
              </w:rPr>
            </w:pPr>
          </w:p>
        </w:tc>
        <w:tc>
          <w:tcPr>
            <w:tcW w:w="500" w:type="dxa"/>
            <w:vAlign w:val="bottom"/>
            <w:shd w:val="clear" w:color="auto" w:fill="E5FFFF"/>
          </w:tcPr>
          <w:p>
            <w:pPr>
              <w:spacing w:after="0"/>
              <w:rPr>
                <w:sz w:val="17"/>
                <w:szCs w:val="17"/>
                <w:color w:val="auto"/>
              </w:rPr>
            </w:pPr>
          </w:p>
        </w:tc>
        <w:tc>
          <w:tcPr>
            <w:tcW w:w="860" w:type="dxa"/>
            <w:vAlign w:val="bottom"/>
            <w:shd w:val="clear" w:color="auto" w:fill="E5FFFF"/>
          </w:tcPr>
          <w:p>
            <w:pPr>
              <w:jc w:val="right"/>
              <w:ind w:right="11"/>
              <w:spacing w:after="0" w:line="196" w:lineRule="exact"/>
              <w:rPr>
                <w:sz w:val="20"/>
                <w:szCs w:val="20"/>
                <w:color w:val="auto"/>
              </w:rPr>
            </w:pPr>
            <w:r>
              <w:rPr>
                <w:rFonts w:ascii="Arial" w:cs="Arial" w:eastAsia="Arial" w:hAnsi="Arial"/>
                <w:sz w:val="18"/>
                <w:szCs w:val="18"/>
                <w:color w:val="auto"/>
              </w:rPr>
              <w:t>4,683</w:t>
            </w:r>
          </w:p>
        </w:tc>
      </w:tr>
      <w:tr>
        <w:trPr>
          <w:trHeight w:val="203"/>
        </w:trPr>
        <w:tc>
          <w:tcPr>
            <w:tcW w:w="20" w:type="dxa"/>
            <w:vAlign w:val="bottom"/>
          </w:tcPr>
          <w:p>
            <w:pPr>
              <w:spacing w:after="0"/>
              <w:rPr>
                <w:sz w:val="17"/>
                <w:szCs w:val="17"/>
                <w:color w:val="auto"/>
              </w:rPr>
            </w:pPr>
          </w:p>
        </w:tc>
        <w:tc>
          <w:tcPr>
            <w:tcW w:w="4080" w:type="dxa"/>
            <w:vAlign w:val="bottom"/>
            <w:gridSpan w:val="3"/>
          </w:tcPr>
          <w:p>
            <w:pPr>
              <w:spacing w:after="0" w:line="202" w:lineRule="exact"/>
              <w:rPr>
                <w:sz w:val="20"/>
                <w:szCs w:val="20"/>
                <w:color w:val="auto"/>
              </w:rPr>
            </w:pPr>
            <w:r>
              <w:rPr>
                <w:rFonts w:ascii="Arial" w:cs="Arial" w:eastAsia="Arial" w:hAnsi="Arial"/>
                <w:sz w:val="18"/>
                <w:szCs w:val="18"/>
                <w:color w:val="auto"/>
              </w:rPr>
              <w:t>Performance Materials and Technologies</w:t>
            </w:r>
          </w:p>
        </w:tc>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080" w:type="dxa"/>
            <w:vAlign w:val="bottom"/>
            <w:gridSpan w:val="3"/>
            <w:shd w:val="clear" w:color="auto" w:fill="E5FFFF"/>
          </w:tcPr>
          <w:p>
            <w:pPr>
              <w:jc w:val="center"/>
              <w:ind w:right="3040"/>
              <w:spacing w:after="0" w:line="202" w:lineRule="exact"/>
              <w:rPr>
                <w:sz w:val="20"/>
                <w:szCs w:val="20"/>
                <w:color w:val="auto"/>
              </w:rPr>
            </w:pPr>
            <w:r>
              <w:rPr>
                <w:rFonts w:ascii="Arial" w:cs="Arial" w:eastAsia="Arial" w:hAnsi="Arial"/>
                <w:sz w:val="18"/>
                <w:szCs w:val="18"/>
                <w:color w:val="auto"/>
              </w:rPr>
              <w:t>Products</w:t>
            </w:r>
          </w:p>
        </w:tc>
        <w:tc>
          <w:tcPr>
            <w:tcW w:w="840" w:type="dxa"/>
            <w:vAlign w:val="bottom"/>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1060" w:type="dxa"/>
            <w:vAlign w:val="bottom"/>
            <w:shd w:val="clear" w:color="auto" w:fill="E5FFFF"/>
          </w:tcPr>
          <w:p>
            <w:pPr>
              <w:jc w:val="right"/>
              <w:ind w:right="32"/>
              <w:spacing w:after="0" w:line="202" w:lineRule="exact"/>
              <w:rPr>
                <w:sz w:val="20"/>
                <w:szCs w:val="20"/>
                <w:color w:val="auto"/>
              </w:rPr>
            </w:pPr>
            <w:r>
              <w:rPr>
                <w:rFonts w:ascii="Arial" w:cs="Arial" w:eastAsia="Arial" w:hAnsi="Arial"/>
                <w:sz w:val="18"/>
                <w:szCs w:val="18"/>
                <w:color w:val="auto"/>
              </w:rPr>
              <w:t>2,194</w:t>
            </w:r>
          </w:p>
        </w:tc>
        <w:tc>
          <w:tcPr>
            <w:tcW w:w="360" w:type="dxa"/>
            <w:vAlign w:val="bottom"/>
            <w:shd w:val="clear" w:color="auto" w:fill="E5FFFF"/>
          </w:tcPr>
          <w:p>
            <w:pPr>
              <w:spacing w:after="0"/>
              <w:rPr>
                <w:sz w:val="17"/>
                <w:szCs w:val="17"/>
                <w:color w:val="auto"/>
              </w:rPr>
            </w:pPr>
          </w:p>
        </w:tc>
        <w:tc>
          <w:tcPr>
            <w:tcW w:w="520" w:type="dxa"/>
            <w:vAlign w:val="bottom"/>
            <w:shd w:val="clear" w:color="auto" w:fill="E5FFFF"/>
          </w:tcPr>
          <w:p>
            <w:pPr>
              <w:spacing w:after="0"/>
              <w:rPr>
                <w:sz w:val="17"/>
                <w:szCs w:val="17"/>
                <w:color w:val="auto"/>
              </w:rPr>
            </w:pPr>
          </w:p>
        </w:tc>
        <w:tc>
          <w:tcPr>
            <w:tcW w:w="84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2,101</w:t>
            </w:r>
          </w:p>
        </w:tc>
        <w:tc>
          <w:tcPr>
            <w:tcW w:w="34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1060" w:type="dxa"/>
            <w:vAlign w:val="bottom"/>
            <w:shd w:val="clear" w:color="auto" w:fill="E5FFFF"/>
          </w:tcPr>
          <w:p>
            <w:pPr>
              <w:jc w:val="right"/>
              <w:ind w:right="32"/>
              <w:spacing w:after="0" w:line="202" w:lineRule="exact"/>
              <w:rPr>
                <w:sz w:val="20"/>
                <w:szCs w:val="20"/>
                <w:color w:val="auto"/>
              </w:rPr>
            </w:pPr>
            <w:r>
              <w:rPr>
                <w:rFonts w:ascii="Arial" w:cs="Arial" w:eastAsia="Arial" w:hAnsi="Arial"/>
                <w:sz w:val="18"/>
                <w:szCs w:val="18"/>
                <w:color w:val="auto"/>
              </w:rPr>
              <w:t>4,257</w:t>
            </w:r>
          </w:p>
        </w:tc>
        <w:tc>
          <w:tcPr>
            <w:tcW w:w="320" w:type="dxa"/>
            <w:vAlign w:val="bottom"/>
            <w:shd w:val="clear" w:color="auto" w:fill="E5FFFF"/>
          </w:tcPr>
          <w:p>
            <w:pPr>
              <w:spacing w:after="0"/>
              <w:rPr>
                <w:sz w:val="17"/>
                <w:szCs w:val="17"/>
                <w:color w:val="auto"/>
              </w:rPr>
            </w:pPr>
          </w:p>
        </w:tc>
        <w:tc>
          <w:tcPr>
            <w:tcW w:w="500" w:type="dxa"/>
            <w:vAlign w:val="bottom"/>
            <w:shd w:val="clear" w:color="auto" w:fill="E5FFFF"/>
          </w:tcPr>
          <w:p>
            <w:pPr>
              <w:spacing w:after="0"/>
              <w:rPr>
                <w:sz w:val="17"/>
                <w:szCs w:val="17"/>
                <w:color w:val="auto"/>
              </w:rPr>
            </w:pPr>
          </w:p>
        </w:tc>
        <w:tc>
          <w:tcPr>
            <w:tcW w:w="86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4,041</w:t>
            </w:r>
          </w:p>
        </w:tc>
      </w:tr>
      <w:tr>
        <w:trPr>
          <w:trHeight w:val="216"/>
        </w:trPr>
        <w:tc>
          <w:tcPr>
            <w:tcW w:w="20" w:type="dxa"/>
            <w:vAlign w:val="bottom"/>
          </w:tcPr>
          <w:p>
            <w:pPr>
              <w:spacing w:after="0"/>
              <w:rPr>
                <w:sz w:val="18"/>
                <w:szCs w:val="18"/>
                <w:color w:val="auto"/>
              </w:rPr>
            </w:pPr>
          </w:p>
        </w:tc>
        <w:tc>
          <w:tcPr>
            <w:tcW w:w="4080" w:type="dxa"/>
            <w:vAlign w:val="bottom"/>
            <w:tcBorders>
              <w:bottom w:val="single" w:sz="8" w:color="E5FFFF"/>
            </w:tcBorders>
            <w:gridSpan w:val="3"/>
          </w:tcPr>
          <w:p>
            <w:pPr>
              <w:jc w:val="center"/>
              <w:ind w:right="3060"/>
              <w:spacing w:after="0"/>
              <w:rPr>
                <w:sz w:val="20"/>
                <w:szCs w:val="20"/>
                <w:color w:val="auto"/>
              </w:rPr>
            </w:pPr>
            <w:r>
              <w:rPr>
                <w:rFonts w:ascii="Arial" w:cs="Arial" w:eastAsia="Arial" w:hAnsi="Arial"/>
                <w:sz w:val="18"/>
                <w:szCs w:val="18"/>
                <w:color w:val="auto"/>
              </w:rPr>
              <w:t>Services</w:t>
            </w:r>
          </w:p>
        </w:tc>
        <w:tc>
          <w:tcPr>
            <w:tcW w:w="840" w:type="dxa"/>
            <w:vAlign w:val="bottom"/>
            <w:tcBorders>
              <w:bottom w:val="single" w:sz="8" w:color="E5FF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504</w:t>
            </w:r>
          </w:p>
        </w:tc>
        <w:tc>
          <w:tcPr>
            <w:tcW w:w="360" w:type="dxa"/>
            <w:vAlign w:val="bottom"/>
            <w:tcBorders>
              <w:bottom w:val="single" w:sz="8" w:color="E5FF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460</w:t>
            </w:r>
          </w:p>
        </w:tc>
        <w:tc>
          <w:tcPr>
            <w:tcW w:w="340" w:type="dxa"/>
            <w:vAlign w:val="bottom"/>
            <w:tcBorders>
              <w:bottom w:val="single" w:sz="8" w:color="E5FF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975</w:t>
            </w:r>
          </w:p>
        </w:tc>
        <w:tc>
          <w:tcPr>
            <w:tcW w:w="320" w:type="dxa"/>
            <w:vAlign w:val="bottom"/>
            <w:tcBorders>
              <w:bottom w:val="single" w:sz="8" w:color="E5FF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873</w:t>
            </w:r>
          </w:p>
        </w:tc>
      </w:tr>
      <w:tr>
        <w:trPr>
          <w:trHeight w:val="196"/>
        </w:trPr>
        <w:tc>
          <w:tcPr>
            <w:tcW w:w="20" w:type="dxa"/>
            <w:vAlign w:val="bottom"/>
          </w:tcPr>
          <w:p>
            <w:pPr>
              <w:spacing w:after="0"/>
              <w:rPr>
                <w:sz w:val="17"/>
                <w:szCs w:val="17"/>
                <w:color w:val="auto"/>
              </w:rPr>
            </w:pPr>
          </w:p>
        </w:tc>
        <w:tc>
          <w:tcPr>
            <w:tcW w:w="4080" w:type="dxa"/>
            <w:vAlign w:val="bottom"/>
            <w:gridSpan w:val="3"/>
            <w:shd w:val="clear" w:color="auto" w:fill="E5FFFF"/>
          </w:tcPr>
          <w:p>
            <w:pPr>
              <w:jc w:val="center"/>
              <w:ind w:right="3020"/>
              <w:spacing w:after="0" w:line="196" w:lineRule="exact"/>
              <w:rPr>
                <w:sz w:val="20"/>
                <w:szCs w:val="20"/>
                <w:color w:val="auto"/>
              </w:rPr>
            </w:pPr>
            <w:r>
              <w:rPr>
                <w:rFonts w:ascii="Arial" w:cs="Arial" w:eastAsia="Arial" w:hAnsi="Arial"/>
                <w:sz w:val="18"/>
                <w:szCs w:val="18"/>
                <w:color w:val="auto"/>
                <w:w w:val="94"/>
              </w:rPr>
              <w:t>Total</w:t>
            </w:r>
          </w:p>
        </w:tc>
        <w:tc>
          <w:tcPr>
            <w:tcW w:w="840" w:type="dxa"/>
            <w:vAlign w:val="bottom"/>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1060" w:type="dxa"/>
            <w:vAlign w:val="bottom"/>
            <w:shd w:val="clear" w:color="auto" w:fill="E5FFFF"/>
          </w:tcPr>
          <w:p>
            <w:pPr>
              <w:jc w:val="right"/>
              <w:ind w:right="32"/>
              <w:spacing w:after="0" w:line="196" w:lineRule="exact"/>
              <w:rPr>
                <w:sz w:val="20"/>
                <w:szCs w:val="20"/>
                <w:color w:val="auto"/>
              </w:rPr>
            </w:pPr>
            <w:r>
              <w:rPr>
                <w:rFonts w:ascii="Arial" w:cs="Arial" w:eastAsia="Arial" w:hAnsi="Arial"/>
                <w:sz w:val="18"/>
                <w:szCs w:val="18"/>
                <w:color w:val="auto"/>
              </w:rPr>
              <w:t>2,698</w:t>
            </w:r>
          </w:p>
        </w:tc>
        <w:tc>
          <w:tcPr>
            <w:tcW w:w="360" w:type="dxa"/>
            <w:vAlign w:val="bottom"/>
            <w:shd w:val="clear" w:color="auto" w:fill="E5FFFF"/>
          </w:tcPr>
          <w:p>
            <w:pPr>
              <w:spacing w:after="0"/>
              <w:rPr>
                <w:sz w:val="17"/>
                <w:szCs w:val="17"/>
                <w:color w:val="auto"/>
              </w:rPr>
            </w:pPr>
          </w:p>
        </w:tc>
        <w:tc>
          <w:tcPr>
            <w:tcW w:w="520" w:type="dxa"/>
            <w:vAlign w:val="bottom"/>
            <w:shd w:val="clear" w:color="auto" w:fill="E5FFFF"/>
          </w:tcPr>
          <w:p>
            <w:pPr>
              <w:spacing w:after="0"/>
              <w:rPr>
                <w:sz w:val="17"/>
                <w:szCs w:val="17"/>
                <w:color w:val="auto"/>
              </w:rPr>
            </w:pPr>
          </w:p>
        </w:tc>
        <w:tc>
          <w:tcPr>
            <w:tcW w:w="840" w:type="dxa"/>
            <w:vAlign w:val="bottom"/>
            <w:shd w:val="clear" w:color="auto" w:fill="E5FFFF"/>
          </w:tcPr>
          <w:p>
            <w:pPr>
              <w:jc w:val="right"/>
              <w:ind w:right="11"/>
              <w:spacing w:after="0" w:line="196" w:lineRule="exact"/>
              <w:rPr>
                <w:sz w:val="20"/>
                <w:szCs w:val="20"/>
                <w:color w:val="auto"/>
              </w:rPr>
            </w:pPr>
            <w:r>
              <w:rPr>
                <w:rFonts w:ascii="Arial" w:cs="Arial" w:eastAsia="Arial" w:hAnsi="Arial"/>
                <w:sz w:val="18"/>
                <w:szCs w:val="18"/>
                <w:color w:val="auto"/>
              </w:rPr>
              <w:t>2,561</w:t>
            </w:r>
          </w:p>
        </w:tc>
        <w:tc>
          <w:tcPr>
            <w:tcW w:w="34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1060" w:type="dxa"/>
            <w:vAlign w:val="bottom"/>
            <w:shd w:val="clear" w:color="auto" w:fill="E5FFFF"/>
          </w:tcPr>
          <w:p>
            <w:pPr>
              <w:jc w:val="right"/>
              <w:ind w:right="32"/>
              <w:spacing w:after="0" w:line="196" w:lineRule="exact"/>
              <w:rPr>
                <w:sz w:val="20"/>
                <w:szCs w:val="20"/>
                <w:color w:val="auto"/>
              </w:rPr>
            </w:pPr>
            <w:r>
              <w:rPr>
                <w:rFonts w:ascii="Arial" w:cs="Arial" w:eastAsia="Arial" w:hAnsi="Arial"/>
                <w:sz w:val="18"/>
                <w:szCs w:val="18"/>
                <w:color w:val="auto"/>
              </w:rPr>
              <w:t>5,232</w:t>
            </w:r>
          </w:p>
        </w:tc>
        <w:tc>
          <w:tcPr>
            <w:tcW w:w="320" w:type="dxa"/>
            <w:vAlign w:val="bottom"/>
            <w:shd w:val="clear" w:color="auto" w:fill="E5FFFF"/>
          </w:tcPr>
          <w:p>
            <w:pPr>
              <w:spacing w:after="0"/>
              <w:rPr>
                <w:sz w:val="17"/>
                <w:szCs w:val="17"/>
                <w:color w:val="auto"/>
              </w:rPr>
            </w:pPr>
          </w:p>
        </w:tc>
        <w:tc>
          <w:tcPr>
            <w:tcW w:w="500" w:type="dxa"/>
            <w:vAlign w:val="bottom"/>
            <w:shd w:val="clear" w:color="auto" w:fill="E5FFFF"/>
          </w:tcPr>
          <w:p>
            <w:pPr>
              <w:spacing w:after="0"/>
              <w:rPr>
                <w:sz w:val="17"/>
                <w:szCs w:val="17"/>
                <w:color w:val="auto"/>
              </w:rPr>
            </w:pPr>
          </w:p>
        </w:tc>
        <w:tc>
          <w:tcPr>
            <w:tcW w:w="860" w:type="dxa"/>
            <w:vAlign w:val="bottom"/>
            <w:shd w:val="clear" w:color="auto" w:fill="E5FFFF"/>
          </w:tcPr>
          <w:p>
            <w:pPr>
              <w:jc w:val="right"/>
              <w:ind w:right="11"/>
              <w:spacing w:after="0" w:line="196" w:lineRule="exact"/>
              <w:rPr>
                <w:sz w:val="20"/>
                <w:szCs w:val="20"/>
                <w:color w:val="auto"/>
              </w:rPr>
            </w:pPr>
            <w:r>
              <w:rPr>
                <w:rFonts w:ascii="Arial" w:cs="Arial" w:eastAsia="Arial" w:hAnsi="Arial"/>
                <w:sz w:val="18"/>
                <w:szCs w:val="18"/>
                <w:color w:val="auto"/>
              </w:rPr>
              <w:t>4,914</w:t>
            </w:r>
          </w:p>
        </w:tc>
      </w:tr>
      <w:tr>
        <w:trPr>
          <w:trHeight w:val="203"/>
        </w:trPr>
        <w:tc>
          <w:tcPr>
            <w:tcW w:w="20" w:type="dxa"/>
            <w:vAlign w:val="bottom"/>
          </w:tcPr>
          <w:p>
            <w:pPr>
              <w:spacing w:after="0"/>
              <w:rPr>
                <w:sz w:val="17"/>
                <w:szCs w:val="17"/>
                <w:color w:val="auto"/>
              </w:rPr>
            </w:pPr>
          </w:p>
        </w:tc>
        <w:tc>
          <w:tcPr>
            <w:tcW w:w="4080" w:type="dxa"/>
            <w:vAlign w:val="bottom"/>
            <w:gridSpan w:val="3"/>
          </w:tcPr>
          <w:p>
            <w:pPr>
              <w:spacing w:after="0" w:line="202" w:lineRule="exact"/>
              <w:rPr>
                <w:sz w:val="20"/>
                <w:szCs w:val="20"/>
                <w:color w:val="auto"/>
              </w:rPr>
            </w:pPr>
            <w:r>
              <w:rPr>
                <w:rFonts w:ascii="Arial" w:cs="Arial" w:eastAsia="Arial" w:hAnsi="Arial"/>
                <w:sz w:val="18"/>
                <w:szCs w:val="18"/>
                <w:color w:val="auto"/>
              </w:rPr>
              <w:t>Safety and Productivity Solutions</w:t>
            </w:r>
          </w:p>
        </w:tc>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080" w:type="dxa"/>
            <w:vAlign w:val="bottom"/>
            <w:gridSpan w:val="3"/>
            <w:shd w:val="clear" w:color="auto" w:fill="E5FFFF"/>
          </w:tcPr>
          <w:p>
            <w:pPr>
              <w:jc w:val="center"/>
              <w:ind w:right="3040"/>
              <w:spacing w:after="0" w:line="202" w:lineRule="exact"/>
              <w:rPr>
                <w:sz w:val="20"/>
                <w:szCs w:val="20"/>
                <w:color w:val="auto"/>
              </w:rPr>
            </w:pPr>
            <w:r>
              <w:rPr>
                <w:rFonts w:ascii="Arial" w:cs="Arial" w:eastAsia="Arial" w:hAnsi="Arial"/>
                <w:sz w:val="18"/>
                <w:szCs w:val="18"/>
                <w:color w:val="auto"/>
              </w:rPr>
              <w:t>Products</w:t>
            </w:r>
          </w:p>
        </w:tc>
        <w:tc>
          <w:tcPr>
            <w:tcW w:w="840" w:type="dxa"/>
            <w:vAlign w:val="bottom"/>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1060" w:type="dxa"/>
            <w:vAlign w:val="bottom"/>
            <w:shd w:val="clear" w:color="auto" w:fill="E5FFFF"/>
          </w:tcPr>
          <w:p>
            <w:pPr>
              <w:jc w:val="right"/>
              <w:ind w:right="32"/>
              <w:spacing w:after="0" w:line="202" w:lineRule="exact"/>
              <w:rPr>
                <w:sz w:val="20"/>
                <w:szCs w:val="20"/>
                <w:color w:val="auto"/>
              </w:rPr>
            </w:pPr>
            <w:r>
              <w:rPr>
                <w:rFonts w:ascii="Arial" w:cs="Arial" w:eastAsia="Arial" w:hAnsi="Arial"/>
                <w:sz w:val="18"/>
                <w:szCs w:val="18"/>
                <w:color w:val="auto"/>
              </w:rPr>
              <w:t>1,526</w:t>
            </w:r>
          </w:p>
        </w:tc>
        <w:tc>
          <w:tcPr>
            <w:tcW w:w="360" w:type="dxa"/>
            <w:vAlign w:val="bottom"/>
            <w:shd w:val="clear" w:color="auto" w:fill="E5FFFF"/>
          </w:tcPr>
          <w:p>
            <w:pPr>
              <w:spacing w:after="0"/>
              <w:rPr>
                <w:sz w:val="17"/>
                <w:szCs w:val="17"/>
                <w:color w:val="auto"/>
              </w:rPr>
            </w:pPr>
          </w:p>
        </w:tc>
        <w:tc>
          <w:tcPr>
            <w:tcW w:w="520" w:type="dxa"/>
            <w:vAlign w:val="bottom"/>
            <w:shd w:val="clear" w:color="auto" w:fill="E5FFFF"/>
          </w:tcPr>
          <w:p>
            <w:pPr>
              <w:spacing w:after="0"/>
              <w:rPr>
                <w:sz w:val="17"/>
                <w:szCs w:val="17"/>
                <w:color w:val="auto"/>
              </w:rPr>
            </w:pPr>
          </w:p>
        </w:tc>
        <w:tc>
          <w:tcPr>
            <w:tcW w:w="84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1,355</w:t>
            </w:r>
          </w:p>
        </w:tc>
        <w:tc>
          <w:tcPr>
            <w:tcW w:w="34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1060" w:type="dxa"/>
            <w:vAlign w:val="bottom"/>
            <w:shd w:val="clear" w:color="auto" w:fill="E5FFFF"/>
          </w:tcPr>
          <w:p>
            <w:pPr>
              <w:jc w:val="right"/>
              <w:ind w:right="32"/>
              <w:spacing w:after="0" w:line="202" w:lineRule="exact"/>
              <w:rPr>
                <w:sz w:val="20"/>
                <w:szCs w:val="20"/>
                <w:color w:val="auto"/>
              </w:rPr>
            </w:pPr>
            <w:r>
              <w:rPr>
                <w:rFonts w:ascii="Arial" w:cs="Arial" w:eastAsia="Arial" w:hAnsi="Arial"/>
                <w:sz w:val="18"/>
                <w:szCs w:val="18"/>
                <w:color w:val="auto"/>
              </w:rPr>
              <w:t>2,886</w:t>
            </w:r>
          </w:p>
        </w:tc>
        <w:tc>
          <w:tcPr>
            <w:tcW w:w="320" w:type="dxa"/>
            <w:vAlign w:val="bottom"/>
            <w:shd w:val="clear" w:color="auto" w:fill="E5FFFF"/>
          </w:tcPr>
          <w:p>
            <w:pPr>
              <w:spacing w:after="0"/>
              <w:rPr>
                <w:sz w:val="17"/>
                <w:szCs w:val="17"/>
                <w:color w:val="auto"/>
              </w:rPr>
            </w:pPr>
          </w:p>
        </w:tc>
        <w:tc>
          <w:tcPr>
            <w:tcW w:w="500" w:type="dxa"/>
            <w:vAlign w:val="bottom"/>
            <w:shd w:val="clear" w:color="auto" w:fill="E5FFFF"/>
          </w:tcPr>
          <w:p>
            <w:pPr>
              <w:spacing w:after="0"/>
              <w:rPr>
                <w:sz w:val="17"/>
                <w:szCs w:val="17"/>
                <w:color w:val="auto"/>
              </w:rPr>
            </w:pPr>
          </w:p>
        </w:tc>
        <w:tc>
          <w:tcPr>
            <w:tcW w:w="86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2,608</w:t>
            </w:r>
          </w:p>
        </w:tc>
      </w:tr>
      <w:tr>
        <w:trPr>
          <w:trHeight w:val="216"/>
        </w:trPr>
        <w:tc>
          <w:tcPr>
            <w:tcW w:w="20" w:type="dxa"/>
            <w:vAlign w:val="bottom"/>
          </w:tcPr>
          <w:p>
            <w:pPr>
              <w:spacing w:after="0"/>
              <w:rPr>
                <w:sz w:val="18"/>
                <w:szCs w:val="18"/>
                <w:color w:val="auto"/>
              </w:rPr>
            </w:pPr>
          </w:p>
        </w:tc>
        <w:tc>
          <w:tcPr>
            <w:tcW w:w="4080" w:type="dxa"/>
            <w:vAlign w:val="bottom"/>
            <w:tcBorders>
              <w:bottom w:val="single" w:sz="8" w:color="E5FFFF"/>
            </w:tcBorders>
            <w:gridSpan w:val="3"/>
          </w:tcPr>
          <w:p>
            <w:pPr>
              <w:jc w:val="center"/>
              <w:ind w:right="3060"/>
              <w:spacing w:after="0"/>
              <w:rPr>
                <w:sz w:val="20"/>
                <w:szCs w:val="20"/>
                <w:color w:val="auto"/>
              </w:rPr>
            </w:pPr>
            <w:r>
              <w:rPr>
                <w:rFonts w:ascii="Arial" w:cs="Arial" w:eastAsia="Arial" w:hAnsi="Arial"/>
                <w:sz w:val="18"/>
                <w:szCs w:val="18"/>
                <w:color w:val="auto"/>
              </w:rPr>
              <w:t>Services</w:t>
            </w:r>
          </w:p>
        </w:tc>
        <w:tc>
          <w:tcPr>
            <w:tcW w:w="840" w:type="dxa"/>
            <w:vAlign w:val="bottom"/>
            <w:tcBorders>
              <w:bottom w:val="single" w:sz="8" w:color="E5FF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91</w:t>
            </w:r>
          </w:p>
        </w:tc>
        <w:tc>
          <w:tcPr>
            <w:tcW w:w="360" w:type="dxa"/>
            <w:vAlign w:val="bottom"/>
            <w:tcBorders>
              <w:bottom w:val="single" w:sz="8" w:color="E5FF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74</w:t>
            </w:r>
          </w:p>
        </w:tc>
        <w:tc>
          <w:tcPr>
            <w:tcW w:w="340" w:type="dxa"/>
            <w:vAlign w:val="bottom"/>
            <w:tcBorders>
              <w:bottom w:val="single" w:sz="8" w:color="E5FF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179</w:t>
            </w:r>
          </w:p>
        </w:tc>
        <w:tc>
          <w:tcPr>
            <w:tcW w:w="320" w:type="dxa"/>
            <w:vAlign w:val="bottom"/>
            <w:tcBorders>
              <w:bottom w:val="single" w:sz="8" w:color="E5FF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145</w:t>
            </w:r>
          </w:p>
        </w:tc>
      </w:tr>
      <w:tr>
        <w:trPr>
          <w:trHeight w:val="196"/>
        </w:trPr>
        <w:tc>
          <w:tcPr>
            <w:tcW w:w="20" w:type="dxa"/>
            <w:vAlign w:val="bottom"/>
          </w:tcPr>
          <w:p>
            <w:pPr>
              <w:spacing w:after="0"/>
              <w:rPr>
                <w:sz w:val="17"/>
                <w:szCs w:val="17"/>
                <w:color w:val="auto"/>
              </w:rPr>
            </w:pPr>
          </w:p>
        </w:tc>
        <w:tc>
          <w:tcPr>
            <w:tcW w:w="4080" w:type="dxa"/>
            <w:vAlign w:val="bottom"/>
            <w:gridSpan w:val="3"/>
            <w:shd w:val="clear" w:color="auto" w:fill="E5FFFF"/>
          </w:tcPr>
          <w:p>
            <w:pPr>
              <w:jc w:val="center"/>
              <w:ind w:right="3020"/>
              <w:spacing w:after="0" w:line="196" w:lineRule="exact"/>
              <w:rPr>
                <w:sz w:val="20"/>
                <w:szCs w:val="20"/>
                <w:color w:val="auto"/>
              </w:rPr>
            </w:pPr>
            <w:r>
              <w:rPr>
                <w:rFonts w:ascii="Arial" w:cs="Arial" w:eastAsia="Arial" w:hAnsi="Arial"/>
                <w:sz w:val="18"/>
                <w:szCs w:val="18"/>
                <w:color w:val="auto"/>
                <w:w w:val="94"/>
              </w:rPr>
              <w:t>Total</w:t>
            </w:r>
          </w:p>
        </w:tc>
        <w:tc>
          <w:tcPr>
            <w:tcW w:w="840" w:type="dxa"/>
            <w:vAlign w:val="bottom"/>
            <w:shd w:val="clear" w:color="auto" w:fill="E5FFFF"/>
          </w:tcPr>
          <w:p>
            <w:pPr>
              <w:spacing w:after="0"/>
              <w:rPr>
                <w:sz w:val="17"/>
                <w:szCs w:val="17"/>
                <w:color w:val="auto"/>
              </w:rPr>
            </w:pPr>
          </w:p>
        </w:tc>
        <w:tc>
          <w:tcPr>
            <w:tcW w:w="320" w:type="dxa"/>
            <w:vAlign w:val="bottom"/>
            <w:tcBorders>
              <w:bottom w:val="single" w:sz="8" w:color="auto"/>
            </w:tcBorders>
            <w:shd w:val="clear" w:color="auto" w:fill="E5FFFF"/>
          </w:tcPr>
          <w:p>
            <w:pPr>
              <w:spacing w:after="0"/>
              <w:rPr>
                <w:sz w:val="17"/>
                <w:szCs w:val="17"/>
                <w:color w:val="auto"/>
              </w:rPr>
            </w:pPr>
          </w:p>
        </w:tc>
        <w:tc>
          <w:tcPr>
            <w:tcW w:w="1060" w:type="dxa"/>
            <w:vAlign w:val="bottom"/>
            <w:tcBorders>
              <w:bottom w:val="single" w:sz="8" w:color="auto"/>
            </w:tcBorders>
            <w:shd w:val="clear" w:color="auto" w:fill="E5FFFF"/>
          </w:tcPr>
          <w:p>
            <w:pPr>
              <w:jc w:val="right"/>
              <w:ind w:right="32"/>
              <w:spacing w:after="0" w:line="196" w:lineRule="exact"/>
              <w:rPr>
                <w:sz w:val="20"/>
                <w:szCs w:val="20"/>
                <w:color w:val="auto"/>
              </w:rPr>
            </w:pPr>
            <w:r>
              <w:rPr>
                <w:rFonts w:ascii="Arial" w:cs="Arial" w:eastAsia="Arial" w:hAnsi="Arial"/>
                <w:sz w:val="18"/>
                <w:szCs w:val="18"/>
                <w:color w:val="auto"/>
              </w:rPr>
              <w:t>1,617</w:t>
            </w:r>
          </w:p>
        </w:tc>
        <w:tc>
          <w:tcPr>
            <w:tcW w:w="360" w:type="dxa"/>
            <w:vAlign w:val="bottom"/>
            <w:shd w:val="clear" w:color="auto" w:fill="E5FFFF"/>
          </w:tcPr>
          <w:p>
            <w:pPr>
              <w:spacing w:after="0"/>
              <w:rPr>
                <w:sz w:val="17"/>
                <w:szCs w:val="17"/>
                <w:color w:val="auto"/>
              </w:rPr>
            </w:pPr>
          </w:p>
        </w:tc>
        <w:tc>
          <w:tcPr>
            <w:tcW w:w="520" w:type="dxa"/>
            <w:vAlign w:val="bottom"/>
            <w:tcBorders>
              <w:bottom w:val="single" w:sz="8" w:color="auto"/>
            </w:tcBorders>
            <w:shd w:val="clear" w:color="auto" w:fill="E5FFFF"/>
          </w:tcPr>
          <w:p>
            <w:pPr>
              <w:spacing w:after="0"/>
              <w:rPr>
                <w:sz w:val="17"/>
                <w:szCs w:val="17"/>
                <w:color w:val="auto"/>
              </w:rPr>
            </w:pPr>
          </w:p>
        </w:tc>
        <w:tc>
          <w:tcPr>
            <w:tcW w:w="840" w:type="dxa"/>
            <w:vAlign w:val="bottom"/>
            <w:tcBorders>
              <w:bottom w:val="single" w:sz="8" w:color="auto"/>
            </w:tcBorders>
            <w:shd w:val="clear" w:color="auto" w:fill="E5FFFF"/>
          </w:tcPr>
          <w:p>
            <w:pPr>
              <w:jc w:val="right"/>
              <w:ind w:right="11"/>
              <w:spacing w:after="0" w:line="196" w:lineRule="exact"/>
              <w:rPr>
                <w:sz w:val="20"/>
                <w:szCs w:val="20"/>
                <w:color w:val="auto"/>
              </w:rPr>
            </w:pPr>
            <w:r>
              <w:rPr>
                <w:rFonts w:ascii="Arial" w:cs="Arial" w:eastAsia="Arial" w:hAnsi="Arial"/>
                <w:sz w:val="18"/>
                <w:szCs w:val="18"/>
                <w:color w:val="auto"/>
              </w:rPr>
              <w:t>1,429</w:t>
            </w:r>
          </w:p>
        </w:tc>
        <w:tc>
          <w:tcPr>
            <w:tcW w:w="340" w:type="dxa"/>
            <w:vAlign w:val="bottom"/>
            <w:shd w:val="clear" w:color="auto" w:fill="E5FFFF"/>
          </w:tcPr>
          <w:p>
            <w:pPr>
              <w:spacing w:after="0"/>
              <w:rPr>
                <w:sz w:val="17"/>
                <w:szCs w:val="17"/>
                <w:color w:val="auto"/>
              </w:rPr>
            </w:pPr>
          </w:p>
        </w:tc>
        <w:tc>
          <w:tcPr>
            <w:tcW w:w="300" w:type="dxa"/>
            <w:vAlign w:val="bottom"/>
            <w:tcBorders>
              <w:bottom w:val="single" w:sz="8" w:color="auto"/>
            </w:tcBorders>
            <w:shd w:val="clear" w:color="auto" w:fill="E5FFFF"/>
          </w:tcPr>
          <w:p>
            <w:pPr>
              <w:spacing w:after="0"/>
              <w:rPr>
                <w:sz w:val="17"/>
                <w:szCs w:val="17"/>
                <w:color w:val="auto"/>
              </w:rPr>
            </w:pPr>
          </w:p>
        </w:tc>
        <w:tc>
          <w:tcPr>
            <w:tcW w:w="1060" w:type="dxa"/>
            <w:vAlign w:val="bottom"/>
            <w:tcBorders>
              <w:bottom w:val="single" w:sz="8" w:color="auto"/>
            </w:tcBorders>
            <w:shd w:val="clear" w:color="auto" w:fill="E5FFFF"/>
          </w:tcPr>
          <w:p>
            <w:pPr>
              <w:jc w:val="right"/>
              <w:ind w:right="32"/>
              <w:spacing w:after="0" w:line="196" w:lineRule="exact"/>
              <w:rPr>
                <w:sz w:val="20"/>
                <w:szCs w:val="20"/>
                <w:color w:val="auto"/>
              </w:rPr>
            </w:pPr>
            <w:r>
              <w:rPr>
                <w:rFonts w:ascii="Arial" w:cs="Arial" w:eastAsia="Arial" w:hAnsi="Arial"/>
                <w:sz w:val="18"/>
                <w:szCs w:val="18"/>
                <w:color w:val="auto"/>
              </w:rPr>
              <w:t>3,065</w:t>
            </w:r>
          </w:p>
        </w:tc>
        <w:tc>
          <w:tcPr>
            <w:tcW w:w="320" w:type="dxa"/>
            <w:vAlign w:val="bottom"/>
            <w:shd w:val="clear" w:color="auto" w:fill="E5FFFF"/>
          </w:tcPr>
          <w:p>
            <w:pPr>
              <w:spacing w:after="0"/>
              <w:rPr>
                <w:sz w:val="17"/>
                <w:szCs w:val="17"/>
                <w:color w:val="auto"/>
              </w:rPr>
            </w:pPr>
          </w:p>
        </w:tc>
        <w:tc>
          <w:tcPr>
            <w:tcW w:w="500" w:type="dxa"/>
            <w:vAlign w:val="bottom"/>
            <w:tcBorders>
              <w:bottom w:val="single" w:sz="8" w:color="auto"/>
            </w:tcBorders>
            <w:shd w:val="clear" w:color="auto" w:fill="E5FFFF"/>
          </w:tcPr>
          <w:p>
            <w:pPr>
              <w:spacing w:after="0"/>
              <w:rPr>
                <w:sz w:val="17"/>
                <w:szCs w:val="17"/>
                <w:color w:val="auto"/>
              </w:rPr>
            </w:pPr>
          </w:p>
        </w:tc>
        <w:tc>
          <w:tcPr>
            <w:tcW w:w="860" w:type="dxa"/>
            <w:vAlign w:val="bottom"/>
            <w:tcBorders>
              <w:bottom w:val="single" w:sz="8" w:color="auto"/>
            </w:tcBorders>
            <w:shd w:val="clear" w:color="auto" w:fill="E5FFFF"/>
          </w:tcPr>
          <w:p>
            <w:pPr>
              <w:jc w:val="right"/>
              <w:ind w:right="11"/>
              <w:spacing w:after="0" w:line="196" w:lineRule="exact"/>
              <w:rPr>
                <w:sz w:val="20"/>
                <w:szCs w:val="20"/>
                <w:color w:val="auto"/>
              </w:rPr>
            </w:pPr>
            <w:r>
              <w:rPr>
                <w:rFonts w:ascii="Arial" w:cs="Arial" w:eastAsia="Arial" w:hAnsi="Arial"/>
                <w:sz w:val="18"/>
                <w:szCs w:val="18"/>
                <w:color w:val="auto"/>
              </w:rPr>
              <w:t>2,753</w:t>
            </w:r>
          </w:p>
        </w:tc>
      </w:tr>
      <w:tr>
        <w:trPr>
          <w:trHeight w:val="250"/>
        </w:trPr>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9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10,919</w:t>
            </w:r>
          </w:p>
        </w:tc>
        <w:tc>
          <w:tcPr>
            <w:tcW w:w="8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10,078</w:t>
            </w: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21,311</w:t>
            </w:r>
          </w:p>
        </w:tc>
        <w:tc>
          <w:tcPr>
            <w:tcW w:w="320" w:type="dxa"/>
            <w:vAlign w:val="bottom"/>
          </w:tcPr>
          <w:p>
            <w:pPr>
              <w:spacing w:after="0"/>
              <w:rPr>
                <w:sz w:val="21"/>
                <w:szCs w:val="21"/>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19,570</w:t>
            </w:r>
          </w:p>
        </w:tc>
      </w:tr>
      <w:tr>
        <w:trPr>
          <w:trHeight w:val="163"/>
        </w:trPr>
        <w:tc>
          <w:tcPr>
            <w:tcW w:w="20" w:type="dxa"/>
            <w:vAlign w:val="bottom"/>
          </w:tcPr>
          <w:p>
            <w:pPr>
              <w:spacing w:after="0"/>
              <w:rPr>
                <w:sz w:val="14"/>
                <w:szCs w:val="14"/>
                <w:color w:val="auto"/>
              </w:rPr>
            </w:pPr>
          </w:p>
        </w:tc>
        <w:tc>
          <w:tcPr>
            <w:tcW w:w="1160" w:type="dxa"/>
            <w:vAlign w:val="bottom"/>
            <w:tcBorders>
              <w:top w:val="single" w:sz="8" w:color="E5FFFF"/>
              <w:bottom w:val="single" w:sz="8" w:color="auto"/>
            </w:tcBorders>
            <w:gridSpan w:val="2"/>
            <w:shd w:val="clear" w:color="auto" w:fill="E5FFFF"/>
          </w:tcPr>
          <w:p>
            <w:pPr>
              <w:spacing w:after="0" w:line="156" w:lineRule="exact"/>
              <w:rPr>
                <w:sz w:val="20"/>
                <w:szCs w:val="20"/>
                <w:color w:val="auto"/>
              </w:rPr>
            </w:pPr>
            <w:r>
              <w:rPr>
                <w:rFonts w:ascii="Arial" w:cs="Arial" w:eastAsia="Arial" w:hAnsi="Arial"/>
                <w:sz w:val="18"/>
                <w:szCs w:val="18"/>
                <w:color w:val="auto"/>
                <w:w w:val="97"/>
              </w:rPr>
              <w:t>Segment profit</w:t>
            </w:r>
          </w:p>
        </w:tc>
        <w:tc>
          <w:tcPr>
            <w:tcW w:w="2920" w:type="dxa"/>
            <w:vAlign w:val="bottom"/>
            <w:tcBorders>
              <w:top w:val="single" w:sz="8" w:color="E5FFFF"/>
              <w:bottom w:val="single" w:sz="8" w:color="E5FFFF"/>
            </w:tcBorders>
            <w:shd w:val="clear" w:color="auto" w:fill="E5FFFF"/>
          </w:tcPr>
          <w:p>
            <w:pPr>
              <w:spacing w:after="0"/>
              <w:rPr>
                <w:sz w:val="14"/>
                <w:szCs w:val="14"/>
                <w:color w:val="auto"/>
              </w:rPr>
            </w:pPr>
          </w:p>
        </w:tc>
        <w:tc>
          <w:tcPr>
            <w:tcW w:w="840" w:type="dxa"/>
            <w:vAlign w:val="bottom"/>
            <w:tcBorders>
              <w:top w:val="single" w:sz="8" w:color="E5FFFF"/>
              <w:bottom w:val="single" w:sz="8" w:color="E5FFFF"/>
            </w:tcBorders>
            <w:shd w:val="clear" w:color="auto" w:fill="E5FFFF"/>
          </w:tcPr>
          <w:p>
            <w:pPr>
              <w:spacing w:after="0"/>
              <w:rPr>
                <w:sz w:val="14"/>
                <w:szCs w:val="14"/>
                <w:color w:val="auto"/>
              </w:rPr>
            </w:pPr>
          </w:p>
        </w:tc>
        <w:tc>
          <w:tcPr>
            <w:tcW w:w="320" w:type="dxa"/>
            <w:vAlign w:val="bottom"/>
            <w:tcBorders>
              <w:top w:val="single" w:sz="8" w:color="auto"/>
              <w:bottom w:val="single" w:sz="8" w:color="E5FFFF"/>
            </w:tcBorders>
            <w:shd w:val="clear" w:color="auto" w:fill="E5FFFF"/>
          </w:tcPr>
          <w:p>
            <w:pPr>
              <w:spacing w:after="0"/>
              <w:rPr>
                <w:sz w:val="14"/>
                <w:szCs w:val="14"/>
                <w:color w:val="auto"/>
              </w:rPr>
            </w:pPr>
          </w:p>
        </w:tc>
        <w:tc>
          <w:tcPr>
            <w:tcW w:w="1060" w:type="dxa"/>
            <w:vAlign w:val="bottom"/>
            <w:tcBorders>
              <w:top w:val="single" w:sz="8" w:color="auto"/>
              <w:bottom w:val="single" w:sz="8" w:color="E5FFFF"/>
            </w:tcBorders>
            <w:shd w:val="clear" w:color="auto" w:fill="E5FFFF"/>
          </w:tcPr>
          <w:p>
            <w:pPr>
              <w:spacing w:after="0"/>
              <w:rPr>
                <w:sz w:val="14"/>
                <w:szCs w:val="14"/>
                <w:color w:val="auto"/>
              </w:rPr>
            </w:pPr>
          </w:p>
        </w:tc>
        <w:tc>
          <w:tcPr>
            <w:tcW w:w="360" w:type="dxa"/>
            <w:vAlign w:val="bottom"/>
            <w:tcBorders>
              <w:top w:val="single" w:sz="8" w:color="E5FFFF"/>
              <w:bottom w:val="single" w:sz="8" w:color="E5FFFF"/>
            </w:tcBorders>
            <w:shd w:val="clear" w:color="auto" w:fill="E5FFFF"/>
          </w:tcPr>
          <w:p>
            <w:pPr>
              <w:spacing w:after="0"/>
              <w:rPr>
                <w:sz w:val="14"/>
                <w:szCs w:val="14"/>
                <w:color w:val="auto"/>
              </w:rPr>
            </w:pPr>
          </w:p>
        </w:tc>
        <w:tc>
          <w:tcPr>
            <w:tcW w:w="520" w:type="dxa"/>
            <w:vAlign w:val="bottom"/>
            <w:tcBorders>
              <w:top w:val="single" w:sz="8" w:color="auto"/>
              <w:bottom w:val="single" w:sz="8" w:color="E5FFFF"/>
            </w:tcBorders>
            <w:shd w:val="clear" w:color="auto" w:fill="E5FFFF"/>
          </w:tcPr>
          <w:p>
            <w:pPr>
              <w:spacing w:after="0"/>
              <w:rPr>
                <w:sz w:val="14"/>
                <w:szCs w:val="14"/>
                <w:color w:val="auto"/>
              </w:rPr>
            </w:pPr>
          </w:p>
        </w:tc>
        <w:tc>
          <w:tcPr>
            <w:tcW w:w="840" w:type="dxa"/>
            <w:vAlign w:val="bottom"/>
            <w:tcBorders>
              <w:top w:val="single" w:sz="8" w:color="auto"/>
              <w:bottom w:val="single" w:sz="8" w:color="E5FFFF"/>
            </w:tcBorders>
            <w:shd w:val="clear" w:color="auto" w:fill="E5FFFF"/>
          </w:tcPr>
          <w:p>
            <w:pPr>
              <w:spacing w:after="0"/>
              <w:rPr>
                <w:sz w:val="14"/>
                <w:szCs w:val="14"/>
                <w:color w:val="auto"/>
              </w:rPr>
            </w:pPr>
          </w:p>
        </w:tc>
        <w:tc>
          <w:tcPr>
            <w:tcW w:w="340" w:type="dxa"/>
            <w:vAlign w:val="bottom"/>
            <w:tcBorders>
              <w:top w:val="single" w:sz="8" w:color="E5FFFF"/>
              <w:bottom w:val="single" w:sz="8" w:color="E5FFFF"/>
            </w:tcBorders>
            <w:shd w:val="clear" w:color="auto" w:fill="E5FFFF"/>
          </w:tcPr>
          <w:p>
            <w:pPr>
              <w:spacing w:after="0"/>
              <w:rPr>
                <w:sz w:val="14"/>
                <w:szCs w:val="14"/>
                <w:color w:val="auto"/>
              </w:rPr>
            </w:pPr>
          </w:p>
        </w:tc>
        <w:tc>
          <w:tcPr>
            <w:tcW w:w="300" w:type="dxa"/>
            <w:vAlign w:val="bottom"/>
            <w:tcBorders>
              <w:top w:val="single" w:sz="8" w:color="auto"/>
              <w:bottom w:val="single" w:sz="8" w:color="E5FFFF"/>
            </w:tcBorders>
            <w:shd w:val="clear" w:color="auto" w:fill="E5FFFF"/>
          </w:tcPr>
          <w:p>
            <w:pPr>
              <w:spacing w:after="0"/>
              <w:rPr>
                <w:sz w:val="14"/>
                <w:szCs w:val="14"/>
                <w:color w:val="auto"/>
              </w:rPr>
            </w:pPr>
          </w:p>
        </w:tc>
        <w:tc>
          <w:tcPr>
            <w:tcW w:w="1060" w:type="dxa"/>
            <w:vAlign w:val="bottom"/>
            <w:tcBorders>
              <w:top w:val="single" w:sz="8" w:color="auto"/>
              <w:bottom w:val="single" w:sz="8" w:color="E5FFFF"/>
            </w:tcBorders>
            <w:shd w:val="clear" w:color="auto" w:fill="E5FFFF"/>
          </w:tcPr>
          <w:p>
            <w:pPr>
              <w:spacing w:after="0"/>
              <w:rPr>
                <w:sz w:val="14"/>
                <w:szCs w:val="14"/>
                <w:color w:val="auto"/>
              </w:rPr>
            </w:pPr>
          </w:p>
        </w:tc>
        <w:tc>
          <w:tcPr>
            <w:tcW w:w="320" w:type="dxa"/>
            <w:vAlign w:val="bottom"/>
            <w:tcBorders>
              <w:top w:val="single" w:sz="8" w:color="E5FFFF"/>
              <w:bottom w:val="single" w:sz="8" w:color="E5FFFF"/>
            </w:tcBorders>
            <w:shd w:val="clear" w:color="auto" w:fill="E5FFFF"/>
          </w:tcPr>
          <w:p>
            <w:pPr>
              <w:spacing w:after="0"/>
              <w:rPr>
                <w:sz w:val="14"/>
                <w:szCs w:val="14"/>
                <w:color w:val="auto"/>
              </w:rPr>
            </w:pPr>
          </w:p>
        </w:tc>
        <w:tc>
          <w:tcPr>
            <w:tcW w:w="500" w:type="dxa"/>
            <w:vAlign w:val="bottom"/>
            <w:tcBorders>
              <w:top w:val="single" w:sz="8" w:color="auto"/>
              <w:bottom w:val="single" w:sz="8" w:color="E5FFFF"/>
            </w:tcBorders>
            <w:shd w:val="clear" w:color="auto" w:fill="E5FFFF"/>
          </w:tcPr>
          <w:p>
            <w:pPr>
              <w:spacing w:after="0"/>
              <w:rPr>
                <w:sz w:val="14"/>
                <w:szCs w:val="14"/>
                <w:color w:val="auto"/>
              </w:rPr>
            </w:pPr>
          </w:p>
        </w:tc>
        <w:tc>
          <w:tcPr>
            <w:tcW w:w="860" w:type="dxa"/>
            <w:vAlign w:val="bottom"/>
            <w:tcBorders>
              <w:top w:val="single" w:sz="8" w:color="auto"/>
              <w:bottom w:val="single" w:sz="8" w:color="E5FFFF"/>
            </w:tcBorders>
            <w:shd w:val="clear" w:color="auto" w:fill="E5FFFF"/>
          </w:tcPr>
          <w:p>
            <w:pPr>
              <w:spacing w:after="0"/>
              <w:rPr>
                <w:sz w:val="14"/>
                <w:szCs w:val="14"/>
                <w:color w:val="auto"/>
              </w:rPr>
            </w:pPr>
          </w:p>
        </w:tc>
      </w:tr>
      <w:tr>
        <w:trPr>
          <w:trHeight w:val="203"/>
        </w:trPr>
        <w:tc>
          <w:tcPr>
            <w:tcW w:w="20" w:type="dxa"/>
            <w:vAlign w:val="bottom"/>
          </w:tcPr>
          <w:p>
            <w:pPr>
              <w:spacing w:after="0"/>
              <w:rPr>
                <w:sz w:val="17"/>
                <w:szCs w:val="17"/>
                <w:color w:val="auto"/>
              </w:rPr>
            </w:pPr>
          </w:p>
        </w:tc>
        <w:tc>
          <w:tcPr>
            <w:tcW w:w="4080" w:type="dxa"/>
            <w:vAlign w:val="bottom"/>
            <w:gridSpan w:val="3"/>
          </w:tcPr>
          <w:p>
            <w:pPr>
              <w:spacing w:after="0" w:line="202" w:lineRule="exact"/>
              <w:rPr>
                <w:sz w:val="20"/>
                <w:szCs w:val="20"/>
                <w:color w:val="auto"/>
              </w:rPr>
            </w:pPr>
            <w:r>
              <w:rPr>
                <w:rFonts w:ascii="Arial" w:cs="Arial" w:eastAsia="Arial" w:hAnsi="Arial"/>
                <w:sz w:val="18"/>
                <w:szCs w:val="18"/>
                <w:color w:val="auto"/>
              </w:rPr>
              <w:t>Aerospace</w:t>
            </w:r>
          </w:p>
        </w:tc>
        <w:tc>
          <w:tcPr>
            <w:tcW w:w="11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060" w:type="dxa"/>
            <w:vAlign w:val="bottom"/>
          </w:tcPr>
          <w:p>
            <w:pPr>
              <w:jc w:val="right"/>
              <w:ind w:right="32"/>
              <w:spacing w:after="0" w:line="202" w:lineRule="exact"/>
              <w:rPr>
                <w:sz w:val="20"/>
                <w:szCs w:val="20"/>
                <w:color w:val="auto"/>
              </w:rPr>
            </w:pPr>
            <w:r>
              <w:rPr>
                <w:rFonts w:ascii="Arial" w:cs="Arial" w:eastAsia="Arial" w:hAnsi="Arial"/>
                <w:sz w:val="18"/>
                <w:szCs w:val="18"/>
                <w:color w:val="auto"/>
              </w:rPr>
              <w:t>918</w:t>
            </w:r>
          </w:p>
        </w:tc>
        <w:tc>
          <w:tcPr>
            <w:tcW w:w="88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w:t>
            </w:r>
          </w:p>
        </w:tc>
        <w:tc>
          <w:tcPr>
            <w:tcW w:w="840" w:type="dxa"/>
            <w:vAlign w:val="bottom"/>
          </w:tcPr>
          <w:p>
            <w:pPr>
              <w:jc w:val="right"/>
              <w:ind w:right="11"/>
              <w:spacing w:after="0" w:line="202" w:lineRule="exact"/>
              <w:rPr>
                <w:sz w:val="20"/>
                <w:szCs w:val="20"/>
                <w:color w:val="auto"/>
              </w:rPr>
            </w:pPr>
            <w:r>
              <w:rPr>
                <w:rFonts w:ascii="Arial" w:cs="Arial" w:eastAsia="Arial" w:hAnsi="Arial"/>
                <w:sz w:val="18"/>
                <w:szCs w:val="18"/>
                <w:color w:val="auto"/>
              </w:rPr>
              <w:t>819</w:t>
            </w:r>
          </w:p>
        </w:tc>
        <w:tc>
          <w:tcPr>
            <w:tcW w:w="6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060" w:type="dxa"/>
            <w:vAlign w:val="bottom"/>
          </w:tcPr>
          <w:p>
            <w:pPr>
              <w:jc w:val="right"/>
              <w:ind w:right="32"/>
              <w:spacing w:after="0" w:line="202" w:lineRule="exact"/>
              <w:rPr>
                <w:sz w:val="20"/>
                <w:szCs w:val="20"/>
                <w:color w:val="auto"/>
              </w:rPr>
            </w:pPr>
            <w:r>
              <w:rPr>
                <w:rFonts w:ascii="Arial" w:cs="Arial" w:eastAsia="Arial" w:hAnsi="Arial"/>
                <w:sz w:val="18"/>
                <w:szCs w:val="18"/>
                <w:color w:val="auto"/>
              </w:rPr>
              <w:t>1,811</w:t>
            </w:r>
          </w:p>
        </w:tc>
        <w:tc>
          <w:tcPr>
            <w:tcW w:w="320" w:type="dxa"/>
            <w:vAlign w:val="bottom"/>
          </w:tcPr>
          <w:p>
            <w:pPr>
              <w:spacing w:after="0"/>
              <w:rPr>
                <w:sz w:val="17"/>
                <w:szCs w:val="17"/>
                <w:color w:val="auto"/>
              </w:rPr>
            </w:pPr>
          </w:p>
        </w:tc>
        <w:tc>
          <w:tcPr>
            <w:tcW w:w="500" w:type="dxa"/>
            <w:vAlign w:val="bottom"/>
          </w:tcPr>
          <w:p>
            <w:pPr>
              <w:jc w:val="right"/>
              <w:ind w:right="310"/>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tcPr>
          <w:p>
            <w:pPr>
              <w:jc w:val="right"/>
              <w:ind w:right="11"/>
              <w:spacing w:after="0" w:line="202" w:lineRule="exact"/>
              <w:rPr>
                <w:sz w:val="20"/>
                <w:szCs w:val="20"/>
                <w:color w:val="auto"/>
              </w:rPr>
            </w:pPr>
            <w:r>
              <w:rPr>
                <w:rFonts w:ascii="Arial" w:cs="Arial" w:eastAsia="Arial" w:hAnsi="Arial"/>
                <w:sz w:val="18"/>
                <w:szCs w:val="18"/>
                <w:color w:val="auto"/>
              </w:rPr>
              <w:t>1,615</w:t>
            </w:r>
          </w:p>
        </w:tc>
      </w:tr>
      <w:tr>
        <w:trPr>
          <w:trHeight w:val="203"/>
        </w:trPr>
        <w:tc>
          <w:tcPr>
            <w:tcW w:w="20" w:type="dxa"/>
            <w:vAlign w:val="bottom"/>
          </w:tcPr>
          <w:p>
            <w:pPr>
              <w:spacing w:after="0"/>
              <w:rPr>
                <w:sz w:val="17"/>
                <w:szCs w:val="17"/>
                <w:color w:val="auto"/>
              </w:rPr>
            </w:pPr>
          </w:p>
        </w:tc>
        <w:tc>
          <w:tcPr>
            <w:tcW w:w="4080" w:type="dxa"/>
            <w:vAlign w:val="bottom"/>
            <w:gridSpan w:val="3"/>
            <w:shd w:val="clear" w:color="auto" w:fill="E5FFFF"/>
          </w:tcPr>
          <w:p>
            <w:pPr>
              <w:spacing w:after="0" w:line="202" w:lineRule="exact"/>
              <w:rPr>
                <w:sz w:val="20"/>
                <w:szCs w:val="20"/>
                <w:color w:val="auto"/>
              </w:rPr>
            </w:pPr>
            <w:r>
              <w:rPr>
                <w:rFonts w:ascii="Arial" w:cs="Arial" w:eastAsia="Arial" w:hAnsi="Arial"/>
                <w:sz w:val="18"/>
                <w:szCs w:val="18"/>
                <w:color w:val="auto"/>
              </w:rPr>
              <w:t>Home and Building Technologies</w:t>
            </w:r>
          </w:p>
        </w:tc>
        <w:tc>
          <w:tcPr>
            <w:tcW w:w="840" w:type="dxa"/>
            <w:vAlign w:val="bottom"/>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1060" w:type="dxa"/>
            <w:vAlign w:val="bottom"/>
            <w:shd w:val="clear" w:color="auto" w:fill="E5FFFF"/>
          </w:tcPr>
          <w:p>
            <w:pPr>
              <w:jc w:val="right"/>
              <w:ind w:right="32"/>
              <w:spacing w:after="0" w:line="202" w:lineRule="exact"/>
              <w:rPr>
                <w:sz w:val="20"/>
                <w:szCs w:val="20"/>
                <w:color w:val="auto"/>
              </w:rPr>
            </w:pPr>
            <w:r>
              <w:rPr>
                <w:rFonts w:ascii="Arial" w:cs="Arial" w:eastAsia="Arial" w:hAnsi="Arial"/>
                <w:sz w:val="18"/>
                <w:szCs w:val="18"/>
                <w:color w:val="auto"/>
              </w:rPr>
              <w:t>427</w:t>
            </w:r>
          </w:p>
        </w:tc>
        <w:tc>
          <w:tcPr>
            <w:tcW w:w="360" w:type="dxa"/>
            <w:vAlign w:val="bottom"/>
            <w:shd w:val="clear" w:color="auto" w:fill="E5FFFF"/>
          </w:tcPr>
          <w:p>
            <w:pPr>
              <w:spacing w:after="0"/>
              <w:rPr>
                <w:sz w:val="17"/>
                <w:szCs w:val="17"/>
                <w:color w:val="auto"/>
              </w:rPr>
            </w:pPr>
          </w:p>
        </w:tc>
        <w:tc>
          <w:tcPr>
            <w:tcW w:w="520" w:type="dxa"/>
            <w:vAlign w:val="bottom"/>
            <w:shd w:val="clear" w:color="auto" w:fill="E5FFFF"/>
          </w:tcPr>
          <w:p>
            <w:pPr>
              <w:spacing w:after="0"/>
              <w:rPr>
                <w:sz w:val="17"/>
                <w:szCs w:val="17"/>
                <w:color w:val="auto"/>
              </w:rPr>
            </w:pPr>
          </w:p>
        </w:tc>
        <w:tc>
          <w:tcPr>
            <w:tcW w:w="84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391</w:t>
            </w:r>
          </w:p>
        </w:tc>
        <w:tc>
          <w:tcPr>
            <w:tcW w:w="34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1060" w:type="dxa"/>
            <w:vAlign w:val="bottom"/>
            <w:shd w:val="clear" w:color="auto" w:fill="E5FFFF"/>
          </w:tcPr>
          <w:p>
            <w:pPr>
              <w:jc w:val="right"/>
              <w:ind w:right="32"/>
              <w:spacing w:after="0" w:line="202" w:lineRule="exact"/>
              <w:rPr>
                <w:sz w:val="20"/>
                <w:szCs w:val="20"/>
                <w:color w:val="auto"/>
              </w:rPr>
            </w:pPr>
            <w:r>
              <w:rPr>
                <w:rFonts w:ascii="Arial" w:cs="Arial" w:eastAsia="Arial" w:hAnsi="Arial"/>
                <w:sz w:val="18"/>
                <w:szCs w:val="18"/>
                <w:color w:val="auto"/>
              </w:rPr>
              <w:t>843</w:t>
            </w:r>
          </w:p>
        </w:tc>
        <w:tc>
          <w:tcPr>
            <w:tcW w:w="320" w:type="dxa"/>
            <w:vAlign w:val="bottom"/>
            <w:shd w:val="clear" w:color="auto" w:fill="E5FFFF"/>
          </w:tcPr>
          <w:p>
            <w:pPr>
              <w:spacing w:after="0"/>
              <w:rPr>
                <w:sz w:val="17"/>
                <w:szCs w:val="17"/>
                <w:color w:val="auto"/>
              </w:rPr>
            </w:pPr>
          </w:p>
        </w:tc>
        <w:tc>
          <w:tcPr>
            <w:tcW w:w="500" w:type="dxa"/>
            <w:vAlign w:val="bottom"/>
            <w:shd w:val="clear" w:color="auto" w:fill="E5FFFF"/>
          </w:tcPr>
          <w:p>
            <w:pPr>
              <w:spacing w:after="0"/>
              <w:rPr>
                <w:sz w:val="17"/>
                <w:szCs w:val="17"/>
                <w:color w:val="auto"/>
              </w:rPr>
            </w:pPr>
          </w:p>
        </w:tc>
        <w:tc>
          <w:tcPr>
            <w:tcW w:w="86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768</w:t>
            </w:r>
          </w:p>
        </w:tc>
      </w:tr>
      <w:tr>
        <w:trPr>
          <w:trHeight w:val="203"/>
        </w:trPr>
        <w:tc>
          <w:tcPr>
            <w:tcW w:w="20" w:type="dxa"/>
            <w:vAlign w:val="bottom"/>
          </w:tcPr>
          <w:p>
            <w:pPr>
              <w:spacing w:after="0"/>
              <w:rPr>
                <w:sz w:val="17"/>
                <w:szCs w:val="17"/>
                <w:color w:val="auto"/>
              </w:rPr>
            </w:pPr>
          </w:p>
        </w:tc>
        <w:tc>
          <w:tcPr>
            <w:tcW w:w="4080" w:type="dxa"/>
            <w:vAlign w:val="bottom"/>
            <w:gridSpan w:val="3"/>
          </w:tcPr>
          <w:p>
            <w:pPr>
              <w:spacing w:after="0" w:line="202" w:lineRule="exact"/>
              <w:rPr>
                <w:sz w:val="20"/>
                <w:szCs w:val="20"/>
                <w:color w:val="auto"/>
              </w:rPr>
            </w:pPr>
            <w:r>
              <w:rPr>
                <w:rFonts w:ascii="Arial" w:cs="Arial" w:eastAsia="Arial" w:hAnsi="Arial"/>
                <w:sz w:val="18"/>
                <w:szCs w:val="18"/>
                <w:color w:val="auto"/>
              </w:rPr>
              <w:t>Performance Materials and Technologies</w:t>
            </w:r>
          </w:p>
        </w:tc>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ind w:right="32"/>
              <w:spacing w:after="0" w:line="202" w:lineRule="exact"/>
              <w:rPr>
                <w:sz w:val="20"/>
                <w:szCs w:val="20"/>
                <w:color w:val="auto"/>
              </w:rPr>
            </w:pPr>
            <w:r>
              <w:rPr>
                <w:rFonts w:ascii="Arial" w:cs="Arial" w:eastAsia="Arial" w:hAnsi="Arial"/>
                <w:sz w:val="18"/>
                <w:szCs w:val="18"/>
                <w:color w:val="auto"/>
              </w:rPr>
              <w:t>597</w:t>
            </w:r>
          </w:p>
        </w:tc>
        <w:tc>
          <w:tcPr>
            <w:tcW w:w="3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40" w:type="dxa"/>
            <w:vAlign w:val="bottom"/>
          </w:tcPr>
          <w:p>
            <w:pPr>
              <w:jc w:val="right"/>
              <w:ind w:right="11"/>
              <w:spacing w:after="0" w:line="202" w:lineRule="exact"/>
              <w:rPr>
                <w:sz w:val="20"/>
                <w:szCs w:val="20"/>
                <w:color w:val="auto"/>
              </w:rPr>
            </w:pPr>
            <w:r>
              <w:rPr>
                <w:rFonts w:ascii="Arial" w:cs="Arial" w:eastAsia="Arial" w:hAnsi="Arial"/>
                <w:sz w:val="18"/>
                <w:szCs w:val="18"/>
                <w:color w:val="auto"/>
              </w:rPr>
              <w:t>553</w:t>
            </w: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ind w:right="32"/>
              <w:spacing w:after="0" w:line="202" w:lineRule="exact"/>
              <w:rPr>
                <w:sz w:val="20"/>
                <w:szCs w:val="20"/>
                <w:color w:val="auto"/>
              </w:rPr>
            </w:pPr>
            <w:r>
              <w:rPr>
                <w:rFonts w:ascii="Arial" w:cs="Arial" w:eastAsia="Arial" w:hAnsi="Arial"/>
                <w:sz w:val="18"/>
                <w:szCs w:val="18"/>
                <w:color w:val="auto"/>
              </w:rPr>
              <w:t>1,116</w:t>
            </w: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60" w:type="dxa"/>
            <w:vAlign w:val="bottom"/>
          </w:tcPr>
          <w:p>
            <w:pPr>
              <w:jc w:val="right"/>
              <w:ind w:right="11"/>
              <w:spacing w:after="0" w:line="202" w:lineRule="exact"/>
              <w:rPr>
                <w:sz w:val="20"/>
                <w:szCs w:val="20"/>
                <w:color w:val="auto"/>
              </w:rPr>
            </w:pPr>
            <w:r>
              <w:rPr>
                <w:rFonts w:ascii="Arial" w:cs="Arial" w:eastAsia="Arial" w:hAnsi="Arial"/>
                <w:sz w:val="18"/>
                <w:szCs w:val="18"/>
                <w:color w:val="auto"/>
              </w:rPr>
              <w:t>1,036</w:t>
            </w:r>
          </w:p>
        </w:tc>
      </w:tr>
      <w:tr>
        <w:trPr>
          <w:trHeight w:val="203"/>
        </w:trPr>
        <w:tc>
          <w:tcPr>
            <w:tcW w:w="20" w:type="dxa"/>
            <w:vAlign w:val="bottom"/>
          </w:tcPr>
          <w:p>
            <w:pPr>
              <w:spacing w:after="0"/>
              <w:rPr>
                <w:sz w:val="17"/>
                <w:szCs w:val="17"/>
                <w:color w:val="auto"/>
              </w:rPr>
            </w:pPr>
          </w:p>
        </w:tc>
        <w:tc>
          <w:tcPr>
            <w:tcW w:w="4080" w:type="dxa"/>
            <w:vAlign w:val="bottom"/>
            <w:gridSpan w:val="3"/>
            <w:shd w:val="clear" w:color="auto" w:fill="E5FFFF"/>
          </w:tcPr>
          <w:p>
            <w:pPr>
              <w:spacing w:after="0" w:line="202" w:lineRule="exact"/>
              <w:rPr>
                <w:sz w:val="20"/>
                <w:szCs w:val="20"/>
                <w:color w:val="auto"/>
              </w:rPr>
            </w:pPr>
            <w:r>
              <w:rPr>
                <w:rFonts w:ascii="Arial" w:cs="Arial" w:eastAsia="Arial" w:hAnsi="Arial"/>
                <w:sz w:val="18"/>
                <w:szCs w:val="18"/>
                <w:color w:val="auto"/>
              </w:rPr>
              <w:t>Safety and Productivity Solutions</w:t>
            </w:r>
          </w:p>
        </w:tc>
        <w:tc>
          <w:tcPr>
            <w:tcW w:w="840" w:type="dxa"/>
            <w:vAlign w:val="bottom"/>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1060" w:type="dxa"/>
            <w:vAlign w:val="bottom"/>
            <w:shd w:val="clear" w:color="auto" w:fill="E5FFFF"/>
          </w:tcPr>
          <w:p>
            <w:pPr>
              <w:jc w:val="right"/>
              <w:ind w:right="32"/>
              <w:spacing w:after="0" w:line="202" w:lineRule="exact"/>
              <w:rPr>
                <w:sz w:val="20"/>
                <w:szCs w:val="20"/>
                <w:color w:val="auto"/>
              </w:rPr>
            </w:pPr>
            <w:r>
              <w:rPr>
                <w:rFonts w:ascii="Arial" w:cs="Arial" w:eastAsia="Arial" w:hAnsi="Arial"/>
                <w:sz w:val="18"/>
                <w:szCs w:val="18"/>
                <w:color w:val="auto"/>
              </w:rPr>
              <w:t>267</w:t>
            </w:r>
          </w:p>
        </w:tc>
        <w:tc>
          <w:tcPr>
            <w:tcW w:w="360" w:type="dxa"/>
            <w:vAlign w:val="bottom"/>
            <w:shd w:val="clear" w:color="auto" w:fill="E5FFFF"/>
          </w:tcPr>
          <w:p>
            <w:pPr>
              <w:spacing w:after="0"/>
              <w:rPr>
                <w:sz w:val="17"/>
                <w:szCs w:val="17"/>
                <w:color w:val="auto"/>
              </w:rPr>
            </w:pPr>
          </w:p>
        </w:tc>
        <w:tc>
          <w:tcPr>
            <w:tcW w:w="520" w:type="dxa"/>
            <w:vAlign w:val="bottom"/>
            <w:shd w:val="clear" w:color="auto" w:fill="E5FFFF"/>
          </w:tcPr>
          <w:p>
            <w:pPr>
              <w:spacing w:after="0"/>
              <w:rPr>
                <w:sz w:val="17"/>
                <w:szCs w:val="17"/>
                <w:color w:val="auto"/>
              </w:rPr>
            </w:pPr>
          </w:p>
        </w:tc>
        <w:tc>
          <w:tcPr>
            <w:tcW w:w="84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214</w:t>
            </w:r>
          </w:p>
        </w:tc>
        <w:tc>
          <w:tcPr>
            <w:tcW w:w="34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1060" w:type="dxa"/>
            <w:vAlign w:val="bottom"/>
            <w:shd w:val="clear" w:color="auto" w:fill="E5FFFF"/>
          </w:tcPr>
          <w:p>
            <w:pPr>
              <w:jc w:val="right"/>
              <w:ind w:right="32"/>
              <w:spacing w:after="0" w:line="202" w:lineRule="exact"/>
              <w:rPr>
                <w:sz w:val="20"/>
                <w:szCs w:val="20"/>
                <w:color w:val="auto"/>
              </w:rPr>
            </w:pPr>
            <w:r>
              <w:rPr>
                <w:rFonts w:ascii="Arial" w:cs="Arial" w:eastAsia="Arial" w:hAnsi="Arial"/>
                <w:sz w:val="18"/>
                <w:szCs w:val="18"/>
                <w:color w:val="auto"/>
              </w:rPr>
              <w:t>498</w:t>
            </w:r>
          </w:p>
        </w:tc>
        <w:tc>
          <w:tcPr>
            <w:tcW w:w="320" w:type="dxa"/>
            <w:vAlign w:val="bottom"/>
            <w:shd w:val="clear" w:color="auto" w:fill="E5FFFF"/>
          </w:tcPr>
          <w:p>
            <w:pPr>
              <w:spacing w:after="0"/>
              <w:rPr>
                <w:sz w:val="17"/>
                <w:szCs w:val="17"/>
                <w:color w:val="auto"/>
              </w:rPr>
            </w:pPr>
          </w:p>
        </w:tc>
        <w:tc>
          <w:tcPr>
            <w:tcW w:w="500" w:type="dxa"/>
            <w:vAlign w:val="bottom"/>
            <w:shd w:val="clear" w:color="auto" w:fill="E5FFFF"/>
          </w:tcPr>
          <w:p>
            <w:pPr>
              <w:spacing w:after="0"/>
              <w:rPr>
                <w:sz w:val="17"/>
                <w:szCs w:val="17"/>
                <w:color w:val="auto"/>
              </w:rPr>
            </w:pPr>
          </w:p>
        </w:tc>
        <w:tc>
          <w:tcPr>
            <w:tcW w:w="86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408</w:t>
            </w:r>
          </w:p>
        </w:tc>
      </w:tr>
      <w:tr>
        <w:trPr>
          <w:trHeight w:val="216"/>
        </w:trPr>
        <w:tc>
          <w:tcPr>
            <w:tcW w:w="20" w:type="dxa"/>
            <w:vAlign w:val="bottom"/>
          </w:tcPr>
          <w:p>
            <w:pPr>
              <w:spacing w:after="0"/>
              <w:rPr>
                <w:sz w:val="18"/>
                <w:szCs w:val="18"/>
                <w:color w:val="auto"/>
              </w:rPr>
            </w:pPr>
          </w:p>
        </w:tc>
        <w:tc>
          <w:tcPr>
            <w:tcW w:w="4080" w:type="dxa"/>
            <w:vAlign w:val="bottom"/>
            <w:tcBorders>
              <w:bottom w:val="single" w:sz="8" w:color="E5FFFF"/>
            </w:tcBorders>
            <w:gridSpan w:val="3"/>
          </w:tcPr>
          <w:p>
            <w:pPr>
              <w:spacing w:after="0"/>
              <w:rPr>
                <w:sz w:val="20"/>
                <w:szCs w:val="20"/>
                <w:color w:val="auto"/>
              </w:rPr>
            </w:pPr>
            <w:r>
              <w:rPr>
                <w:rFonts w:ascii="Arial" w:cs="Arial" w:eastAsia="Arial" w:hAnsi="Arial"/>
                <w:sz w:val="18"/>
                <w:szCs w:val="18"/>
                <w:color w:val="auto"/>
              </w:rPr>
              <w:t>Corporate</w:t>
            </w:r>
          </w:p>
        </w:tc>
        <w:tc>
          <w:tcPr>
            <w:tcW w:w="840" w:type="dxa"/>
            <w:vAlign w:val="bottom"/>
            <w:tcBorders>
              <w:bottom w:val="single" w:sz="8" w:color="E5FF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360" w:type="dxa"/>
            <w:vAlign w:val="bottom"/>
            <w:tcBorders>
              <w:bottom w:val="single" w:sz="8" w:color="E5FF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w:t>
            </w:r>
          </w:p>
        </w:tc>
        <w:tc>
          <w:tcPr>
            <w:tcW w:w="340" w:type="dxa"/>
            <w:vAlign w:val="bottom"/>
            <w:tcBorders>
              <w:bottom w:val="single" w:sz="8" w:color="E5FF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w:t>
            </w:r>
          </w:p>
        </w:tc>
        <w:tc>
          <w:tcPr>
            <w:tcW w:w="320" w:type="dxa"/>
            <w:vAlign w:val="bottom"/>
            <w:tcBorders>
              <w:bottom w:val="single" w:sz="8" w:color="E5FF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w:t>
            </w:r>
          </w:p>
        </w:tc>
      </w:tr>
      <w:tr>
        <w:trPr>
          <w:trHeight w:val="196"/>
        </w:trPr>
        <w:tc>
          <w:tcPr>
            <w:tcW w:w="20" w:type="dxa"/>
            <w:vAlign w:val="bottom"/>
          </w:tcPr>
          <w:p>
            <w:pPr>
              <w:spacing w:after="0"/>
              <w:rPr>
                <w:sz w:val="17"/>
                <w:szCs w:val="17"/>
                <w:color w:val="auto"/>
              </w:rPr>
            </w:pPr>
          </w:p>
        </w:tc>
        <w:tc>
          <w:tcPr>
            <w:tcW w:w="4080" w:type="dxa"/>
            <w:vAlign w:val="bottom"/>
            <w:gridSpan w:val="3"/>
            <w:shd w:val="clear" w:color="auto" w:fill="E5FFFF"/>
          </w:tcPr>
          <w:p>
            <w:pPr>
              <w:ind w:left="160"/>
              <w:spacing w:after="0" w:line="196" w:lineRule="exact"/>
              <w:rPr>
                <w:sz w:val="20"/>
                <w:szCs w:val="20"/>
                <w:color w:val="auto"/>
              </w:rPr>
            </w:pPr>
            <w:r>
              <w:rPr>
                <w:rFonts w:ascii="Arial" w:cs="Arial" w:eastAsia="Arial" w:hAnsi="Arial"/>
                <w:sz w:val="18"/>
                <w:szCs w:val="18"/>
                <w:color w:val="auto"/>
              </w:rPr>
              <w:t>Total segment profit</w:t>
            </w:r>
          </w:p>
        </w:tc>
        <w:tc>
          <w:tcPr>
            <w:tcW w:w="840" w:type="dxa"/>
            <w:vAlign w:val="bottom"/>
            <w:shd w:val="clear" w:color="auto" w:fill="E5FFFF"/>
          </w:tcPr>
          <w:p>
            <w:pPr>
              <w:spacing w:after="0"/>
              <w:rPr>
                <w:sz w:val="17"/>
                <w:szCs w:val="17"/>
                <w:color w:val="auto"/>
              </w:rPr>
            </w:pPr>
          </w:p>
        </w:tc>
        <w:tc>
          <w:tcPr>
            <w:tcW w:w="320" w:type="dxa"/>
            <w:vAlign w:val="bottom"/>
            <w:tcBorders>
              <w:bottom w:val="single" w:sz="8" w:color="auto"/>
            </w:tcBorders>
            <w:shd w:val="clear" w:color="auto" w:fill="E5FFFF"/>
          </w:tcPr>
          <w:p>
            <w:pPr>
              <w:spacing w:after="0"/>
              <w:rPr>
                <w:sz w:val="17"/>
                <w:szCs w:val="17"/>
                <w:color w:val="auto"/>
              </w:rPr>
            </w:pPr>
          </w:p>
        </w:tc>
        <w:tc>
          <w:tcPr>
            <w:tcW w:w="1060" w:type="dxa"/>
            <w:vAlign w:val="bottom"/>
            <w:tcBorders>
              <w:bottom w:val="single" w:sz="8" w:color="auto"/>
            </w:tcBorders>
            <w:shd w:val="clear" w:color="auto" w:fill="E5FFFF"/>
          </w:tcPr>
          <w:p>
            <w:pPr>
              <w:jc w:val="right"/>
              <w:ind w:right="32"/>
              <w:spacing w:after="0" w:line="196" w:lineRule="exact"/>
              <w:rPr>
                <w:sz w:val="20"/>
                <w:szCs w:val="20"/>
                <w:color w:val="auto"/>
              </w:rPr>
            </w:pPr>
            <w:r>
              <w:rPr>
                <w:rFonts w:ascii="Arial" w:cs="Arial" w:eastAsia="Arial" w:hAnsi="Arial"/>
                <w:sz w:val="18"/>
                <w:szCs w:val="18"/>
                <w:color w:val="auto"/>
              </w:rPr>
              <w:t>2,145</w:t>
            </w:r>
          </w:p>
        </w:tc>
        <w:tc>
          <w:tcPr>
            <w:tcW w:w="360" w:type="dxa"/>
            <w:vAlign w:val="bottom"/>
            <w:shd w:val="clear" w:color="auto" w:fill="E5FFFF"/>
          </w:tcPr>
          <w:p>
            <w:pPr>
              <w:spacing w:after="0"/>
              <w:rPr>
                <w:sz w:val="17"/>
                <w:szCs w:val="17"/>
                <w:color w:val="auto"/>
              </w:rPr>
            </w:pPr>
          </w:p>
        </w:tc>
        <w:tc>
          <w:tcPr>
            <w:tcW w:w="520" w:type="dxa"/>
            <w:vAlign w:val="bottom"/>
            <w:tcBorders>
              <w:bottom w:val="single" w:sz="8" w:color="auto"/>
            </w:tcBorders>
            <w:shd w:val="clear" w:color="auto" w:fill="E5FFFF"/>
          </w:tcPr>
          <w:p>
            <w:pPr>
              <w:spacing w:after="0"/>
              <w:rPr>
                <w:sz w:val="17"/>
                <w:szCs w:val="17"/>
                <w:color w:val="auto"/>
              </w:rPr>
            </w:pPr>
          </w:p>
        </w:tc>
        <w:tc>
          <w:tcPr>
            <w:tcW w:w="840" w:type="dxa"/>
            <w:vAlign w:val="bottom"/>
            <w:tcBorders>
              <w:bottom w:val="single" w:sz="8" w:color="auto"/>
            </w:tcBorders>
            <w:shd w:val="clear" w:color="auto" w:fill="E5FFFF"/>
          </w:tcPr>
          <w:p>
            <w:pPr>
              <w:jc w:val="right"/>
              <w:ind w:right="11"/>
              <w:spacing w:after="0" w:line="196" w:lineRule="exact"/>
              <w:rPr>
                <w:sz w:val="20"/>
                <w:szCs w:val="20"/>
                <w:color w:val="auto"/>
              </w:rPr>
            </w:pPr>
            <w:r>
              <w:rPr>
                <w:rFonts w:ascii="Arial" w:cs="Arial" w:eastAsia="Arial" w:hAnsi="Arial"/>
                <w:sz w:val="18"/>
                <w:szCs w:val="18"/>
                <w:color w:val="auto"/>
              </w:rPr>
              <w:t>1,910</w:t>
            </w:r>
          </w:p>
        </w:tc>
        <w:tc>
          <w:tcPr>
            <w:tcW w:w="340" w:type="dxa"/>
            <w:vAlign w:val="bottom"/>
            <w:shd w:val="clear" w:color="auto" w:fill="E5FFFF"/>
          </w:tcPr>
          <w:p>
            <w:pPr>
              <w:spacing w:after="0"/>
              <w:rPr>
                <w:sz w:val="17"/>
                <w:szCs w:val="17"/>
                <w:color w:val="auto"/>
              </w:rPr>
            </w:pPr>
          </w:p>
        </w:tc>
        <w:tc>
          <w:tcPr>
            <w:tcW w:w="300" w:type="dxa"/>
            <w:vAlign w:val="bottom"/>
            <w:tcBorders>
              <w:bottom w:val="single" w:sz="8" w:color="auto"/>
            </w:tcBorders>
            <w:shd w:val="clear" w:color="auto" w:fill="E5FFFF"/>
          </w:tcPr>
          <w:p>
            <w:pPr>
              <w:spacing w:after="0"/>
              <w:rPr>
                <w:sz w:val="17"/>
                <w:szCs w:val="17"/>
                <w:color w:val="auto"/>
              </w:rPr>
            </w:pPr>
          </w:p>
        </w:tc>
        <w:tc>
          <w:tcPr>
            <w:tcW w:w="1060" w:type="dxa"/>
            <w:vAlign w:val="bottom"/>
            <w:tcBorders>
              <w:bottom w:val="single" w:sz="8" w:color="auto"/>
            </w:tcBorders>
            <w:shd w:val="clear" w:color="auto" w:fill="E5FFFF"/>
          </w:tcPr>
          <w:p>
            <w:pPr>
              <w:jc w:val="right"/>
              <w:ind w:right="32"/>
              <w:spacing w:after="0" w:line="196" w:lineRule="exact"/>
              <w:rPr>
                <w:sz w:val="20"/>
                <w:szCs w:val="20"/>
                <w:color w:val="auto"/>
              </w:rPr>
            </w:pPr>
            <w:r>
              <w:rPr>
                <w:rFonts w:ascii="Arial" w:cs="Arial" w:eastAsia="Arial" w:hAnsi="Arial"/>
                <w:sz w:val="18"/>
                <w:szCs w:val="18"/>
                <w:color w:val="auto"/>
              </w:rPr>
              <w:t>4,140</w:t>
            </w:r>
          </w:p>
        </w:tc>
        <w:tc>
          <w:tcPr>
            <w:tcW w:w="320" w:type="dxa"/>
            <w:vAlign w:val="bottom"/>
            <w:shd w:val="clear" w:color="auto" w:fill="E5FFFF"/>
          </w:tcPr>
          <w:p>
            <w:pPr>
              <w:spacing w:after="0"/>
              <w:rPr>
                <w:sz w:val="17"/>
                <w:szCs w:val="17"/>
                <w:color w:val="auto"/>
              </w:rPr>
            </w:pPr>
          </w:p>
        </w:tc>
        <w:tc>
          <w:tcPr>
            <w:tcW w:w="500" w:type="dxa"/>
            <w:vAlign w:val="bottom"/>
            <w:tcBorders>
              <w:bottom w:val="single" w:sz="8" w:color="auto"/>
            </w:tcBorders>
            <w:shd w:val="clear" w:color="auto" w:fill="E5FFFF"/>
          </w:tcPr>
          <w:p>
            <w:pPr>
              <w:spacing w:after="0"/>
              <w:rPr>
                <w:sz w:val="17"/>
                <w:szCs w:val="17"/>
                <w:color w:val="auto"/>
              </w:rPr>
            </w:pPr>
          </w:p>
        </w:tc>
        <w:tc>
          <w:tcPr>
            <w:tcW w:w="860" w:type="dxa"/>
            <w:vAlign w:val="bottom"/>
            <w:tcBorders>
              <w:bottom w:val="single" w:sz="8" w:color="auto"/>
            </w:tcBorders>
            <w:shd w:val="clear" w:color="auto" w:fill="E5FFFF"/>
          </w:tcPr>
          <w:p>
            <w:pPr>
              <w:jc w:val="right"/>
              <w:ind w:right="11"/>
              <w:spacing w:after="0" w:line="196" w:lineRule="exact"/>
              <w:rPr>
                <w:sz w:val="20"/>
                <w:szCs w:val="20"/>
                <w:color w:val="auto"/>
              </w:rPr>
            </w:pPr>
            <w:r>
              <w:rPr>
                <w:rFonts w:ascii="Arial" w:cs="Arial" w:eastAsia="Arial" w:hAnsi="Arial"/>
                <w:sz w:val="18"/>
                <w:szCs w:val="18"/>
                <w:color w:val="auto"/>
              </w:rPr>
              <w:t>3,699</w:t>
            </w:r>
          </w:p>
        </w:tc>
      </w:tr>
      <w:tr>
        <w:trPr>
          <w:trHeight w:val="196"/>
        </w:trPr>
        <w:tc>
          <w:tcPr>
            <w:tcW w:w="4100" w:type="dxa"/>
            <w:vAlign w:val="bottom"/>
            <w:gridSpan w:val="4"/>
          </w:tcPr>
          <w:p>
            <w:pPr>
              <w:spacing w:after="0" w:line="196" w:lineRule="exact"/>
              <w:rPr>
                <w:sz w:val="20"/>
                <w:szCs w:val="20"/>
                <w:color w:val="auto"/>
              </w:rPr>
            </w:pPr>
            <w:r>
              <w:rPr>
                <w:rFonts w:ascii="Arial" w:cs="Arial" w:eastAsia="Arial" w:hAnsi="Arial"/>
                <w:sz w:val="18"/>
                <w:szCs w:val="18"/>
                <w:color w:val="auto"/>
              </w:rPr>
              <w:t>Interest and other financial charges</w:t>
            </w:r>
          </w:p>
        </w:tc>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spacing w:after="0" w:line="196" w:lineRule="exact"/>
              <w:rPr>
                <w:sz w:val="20"/>
                <w:szCs w:val="20"/>
                <w:color w:val="auto"/>
              </w:rPr>
            </w:pPr>
            <w:r>
              <w:rPr>
                <w:rFonts w:ascii="Arial" w:cs="Arial" w:eastAsia="Arial" w:hAnsi="Arial"/>
                <w:sz w:val="18"/>
                <w:szCs w:val="18"/>
                <w:color w:val="auto"/>
              </w:rPr>
              <w:t>(95)</w:t>
            </w:r>
          </w:p>
        </w:tc>
        <w:tc>
          <w:tcPr>
            <w:tcW w:w="3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(79)</w:t>
            </w: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line="196" w:lineRule="exact"/>
              <w:rPr>
                <w:sz w:val="20"/>
                <w:szCs w:val="20"/>
                <w:color w:val="auto"/>
              </w:rPr>
            </w:pPr>
            <w:r>
              <w:rPr>
                <w:rFonts w:ascii="Arial" w:cs="Arial" w:eastAsia="Arial" w:hAnsi="Arial"/>
                <w:sz w:val="18"/>
                <w:szCs w:val="18"/>
                <w:color w:val="auto"/>
              </w:rPr>
              <w:t>(178)</w:t>
            </w: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60" w:type="dxa"/>
            <w:vAlign w:val="bottom"/>
          </w:tcPr>
          <w:p>
            <w:pPr>
              <w:jc w:val="right"/>
              <w:spacing w:after="0" w:line="196" w:lineRule="exact"/>
              <w:rPr>
                <w:sz w:val="20"/>
                <w:szCs w:val="20"/>
                <w:color w:val="auto"/>
              </w:rPr>
            </w:pPr>
            <w:r>
              <w:rPr>
                <w:rFonts w:ascii="Arial" w:cs="Arial" w:eastAsia="Arial" w:hAnsi="Arial"/>
                <w:sz w:val="18"/>
                <w:szCs w:val="18"/>
                <w:color w:val="auto"/>
              </w:rPr>
              <w:t>(154)</w:t>
            </w:r>
          </w:p>
        </w:tc>
      </w:tr>
      <w:tr>
        <w:trPr>
          <w:trHeight w:val="243"/>
        </w:trPr>
        <w:tc>
          <w:tcPr>
            <w:tcW w:w="20" w:type="dxa"/>
            <w:vAlign w:val="bottom"/>
          </w:tcPr>
          <w:p>
            <w:pPr>
              <w:spacing w:after="0"/>
              <w:rPr>
                <w:sz w:val="21"/>
                <w:szCs w:val="21"/>
                <w:color w:val="auto"/>
              </w:rPr>
            </w:pPr>
          </w:p>
        </w:tc>
        <w:tc>
          <w:tcPr>
            <w:tcW w:w="4080" w:type="dxa"/>
            <w:vAlign w:val="bottom"/>
            <w:gridSpan w:val="3"/>
            <w:shd w:val="clear" w:color="auto" w:fill="E5FFFF"/>
          </w:tcPr>
          <w:p>
            <w:pPr>
              <w:spacing w:after="0" w:line="243" w:lineRule="exact"/>
              <w:rPr>
                <w:sz w:val="20"/>
                <w:szCs w:val="20"/>
                <w:color w:val="auto"/>
              </w:rPr>
            </w:pPr>
            <w:r>
              <w:rPr>
                <w:rFonts w:ascii="Arial" w:cs="Arial" w:eastAsia="Arial" w:hAnsi="Arial"/>
                <w:sz w:val="17"/>
                <w:szCs w:val="17"/>
                <w:color w:val="auto"/>
              </w:rPr>
              <w:t>Stock compensation expense</w:t>
            </w:r>
            <w:r>
              <w:rPr>
                <w:rFonts w:ascii="Arial" w:cs="Arial" w:eastAsia="Arial" w:hAnsi="Arial"/>
                <w:sz w:val="28"/>
                <w:szCs w:val="28"/>
                <w:color w:val="auto"/>
                <w:vertAlign w:val="superscript"/>
              </w:rPr>
              <w:t>(a)</w:t>
            </w:r>
          </w:p>
        </w:tc>
        <w:tc>
          <w:tcPr>
            <w:tcW w:w="840" w:type="dxa"/>
            <w:vAlign w:val="bottom"/>
            <w:shd w:val="clear" w:color="auto" w:fill="E5FFFF"/>
          </w:tcPr>
          <w:p>
            <w:pPr>
              <w:spacing w:after="0"/>
              <w:rPr>
                <w:sz w:val="21"/>
                <w:szCs w:val="21"/>
                <w:color w:val="auto"/>
              </w:rPr>
            </w:pPr>
          </w:p>
        </w:tc>
        <w:tc>
          <w:tcPr>
            <w:tcW w:w="320" w:type="dxa"/>
            <w:vAlign w:val="bottom"/>
            <w:shd w:val="clear" w:color="auto" w:fill="E5FFFF"/>
          </w:tcPr>
          <w:p>
            <w:pPr>
              <w:spacing w:after="0"/>
              <w:rPr>
                <w:sz w:val="21"/>
                <w:szCs w:val="21"/>
                <w:color w:val="auto"/>
              </w:rPr>
            </w:pPr>
          </w:p>
        </w:tc>
        <w:tc>
          <w:tcPr>
            <w:tcW w:w="1060" w:type="dxa"/>
            <w:vAlign w:val="bottom"/>
            <w:shd w:val="clear" w:color="auto" w:fill="E5FFFF"/>
          </w:tcPr>
          <w:p>
            <w:pPr>
              <w:jc w:val="right"/>
              <w:spacing w:after="0"/>
              <w:rPr>
                <w:sz w:val="20"/>
                <w:szCs w:val="20"/>
                <w:color w:val="auto"/>
              </w:rPr>
            </w:pPr>
            <w:r>
              <w:rPr>
                <w:rFonts w:ascii="Arial" w:cs="Arial" w:eastAsia="Arial" w:hAnsi="Arial"/>
                <w:sz w:val="18"/>
                <w:szCs w:val="18"/>
                <w:color w:val="auto"/>
              </w:rPr>
              <w:t>(38)</w:t>
            </w:r>
          </w:p>
        </w:tc>
        <w:tc>
          <w:tcPr>
            <w:tcW w:w="360" w:type="dxa"/>
            <w:vAlign w:val="bottom"/>
            <w:shd w:val="clear" w:color="auto" w:fill="E5FFFF"/>
          </w:tcPr>
          <w:p>
            <w:pPr>
              <w:spacing w:after="0"/>
              <w:rPr>
                <w:sz w:val="21"/>
                <w:szCs w:val="21"/>
                <w:color w:val="auto"/>
              </w:rPr>
            </w:pPr>
          </w:p>
        </w:tc>
        <w:tc>
          <w:tcPr>
            <w:tcW w:w="520" w:type="dxa"/>
            <w:vAlign w:val="bottom"/>
            <w:shd w:val="clear" w:color="auto" w:fill="E5FFFF"/>
          </w:tcPr>
          <w:p>
            <w:pPr>
              <w:spacing w:after="0"/>
              <w:rPr>
                <w:sz w:val="21"/>
                <w:szCs w:val="21"/>
                <w:color w:val="auto"/>
              </w:rPr>
            </w:pPr>
          </w:p>
        </w:tc>
        <w:tc>
          <w:tcPr>
            <w:tcW w:w="840" w:type="dxa"/>
            <w:vAlign w:val="bottom"/>
            <w:shd w:val="clear" w:color="auto" w:fill="E5FFFF"/>
          </w:tcPr>
          <w:p>
            <w:pPr>
              <w:jc w:val="right"/>
              <w:spacing w:after="0"/>
              <w:rPr>
                <w:sz w:val="20"/>
                <w:szCs w:val="20"/>
                <w:color w:val="auto"/>
              </w:rPr>
            </w:pPr>
            <w:r>
              <w:rPr>
                <w:rFonts w:ascii="Arial" w:cs="Arial" w:eastAsia="Arial" w:hAnsi="Arial"/>
                <w:sz w:val="18"/>
                <w:szCs w:val="18"/>
                <w:color w:val="auto"/>
              </w:rPr>
              <w:t>(44)</w:t>
            </w:r>
          </w:p>
        </w:tc>
        <w:tc>
          <w:tcPr>
            <w:tcW w:w="340" w:type="dxa"/>
            <w:vAlign w:val="bottom"/>
            <w:shd w:val="clear" w:color="auto" w:fill="E5FFFF"/>
          </w:tcPr>
          <w:p>
            <w:pPr>
              <w:spacing w:after="0"/>
              <w:rPr>
                <w:sz w:val="21"/>
                <w:szCs w:val="21"/>
                <w:color w:val="auto"/>
              </w:rPr>
            </w:pPr>
          </w:p>
        </w:tc>
        <w:tc>
          <w:tcPr>
            <w:tcW w:w="300" w:type="dxa"/>
            <w:vAlign w:val="bottom"/>
            <w:shd w:val="clear" w:color="auto" w:fill="E5FFFF"/>
          </w:tcPr>
          <w:p>
            <w:pPr>
              <w:spacing w:after="0"/>
              <w:rPr>
                <w:sz w:val="21"/>
                <w:szCs w:val="21"/>
                <w:color w:val="auto"/>
              </w:rPr>
            </w:pPr>
          </w:p>
        </w:tc>
        <w:tc>
          <w:tcPr>
            <w:tcW w:w="1060" w:type="dxa"/>
            <w:vAlign w:val="bottom"/>
            <w:shd w:val="clear" w:color="auto" w:fill="E5FFFF"/>
          </w:tcPr>
          <w:p>
            <w:pPr>
              <w:jc w:val="right"/>
              <w:spacing w:after="0"/>
              <w:rPr>
                <w:sz w:val="20"/>
                <w:szCs w:val="20"/>
                <w:color w:val="auto"/>
              </w:rPr>
            </w:pPr>
            <w:r>
              <w:rPr>
                <w:rFonts w:ascii="Arial" w:cs="Arial" w:eastAsia="Arial" w:hAnsi="Arial"/>
                <w:sz w:val="18"/>
                <w:szCs w:val="18"/>
                <w:color w:val="auto"/>
              </w:rPr>
              <w:t>(90)</w:t>
            </w:r>
          </w:p>
        </w:tc>
        <w:tc>
          <w:tcPr>
            <w:tcW w:w="320" w:type="dxa"/>
            <w:vAlign w:val="bottom"/>
            <w:shd w:val="clear" w:color="auto" w:fill="E5FFFF"/>
          </w:tcPr>
          <w:p>
            <w:pPr>
              <w:spacing w:after="0"/>
              <w:rPr>
                <w:sz w:val="21"/>
                <w:szCs w:val="21"/>
                <w:color w:val="auto"/>
              </w:rPr>
            </w:pPr>
          </w:p>
        </w:tc>
        <w:tc>
          <w:tcPr>
            <w:tcW w:w="500" w:type="dxa"/>
            <w:vAlign w:val="bottom"/>
            <w:shd w:val="clear" w:color="auto" w:fill="E5FFFF"/>
          </w:tcPr>
          <w:p>
            <w:pPr>
              <w:spacing w:after="0"/>
              <w:rPr>
                <w:sz w:val="21"/>
                <w:szCs w:val="21"/>
                <w:color w:val="auto"/>
              </w:rPr>
            </w:pPr>
          </w:p>
        </w:tc>
        <w:tc>
          <w:tcPr>
            <w:tcW w:w="860" w:type="dxa"/>
            <w:vAlign w:val="bottom"/>
            <w:shd w:val="clear" w:color="auto" w:fill="E5FFFF"/>
          </w:tcPr>
          <w:p>
            <w:pPr>
              <w:jc w:val="right"/>
              <w:spacing w:after="0"/>
              <w:rPr>
                <w:sz w:val="20"/>
                <w:szCs w:val="20"/>
                <w:color w:val="auto"/>
              </w:rPr>
            </w:pPr>
            <w:r>
              <w:rPr>
                <w:rFonts w:ascii="Arial" w:cs="Arial" w:eastAsia="Arial" w:hAnsi="Arial"/>
                <w:sz w:val="18"/>
                <w:szCs w:val="18"/>
                <w:color w:val="auto"/>
              </w:rPr>
              <w:t>(94)</w:t>
            </w:r>
          </w:p>
        </w:tc>
      </w:tr>
      <w:tr>
        <w:trPr>
          <w:trHeight w:val="243"/>
        </w:trPr>
        <w:tc>
          <w:tcPr>
            <w:tcW w:w="20" w:type="dxa"/>
            <w:vAlign w:val="bottom"/>
          </w:tcPr>
          <w:p>
            <w:pPr>
              <w:spacing w:after="0"/>
              <w:rPr>
                <w:sz w:val="21"/>
                <w:szCs w:val="21"/>
                <w:color w:val="auto"/>
              </w:rPr>
            </w:pPr>
          </w:p>
        </w:tc>
        <w:tc>
          <w:tcPr>
            <w:tcW w:w="4080" w:type="dxa"/>
            <w:vAlign w:val="bottom"/>
            <w:gridSpan w:val="3"/>
          </w:tcPr>
          <w:p>
            <w:pPr>
              <w:spacing w:after="0" w:line="243" w:lineRule="exact"/>
              <w:rPr>
                <w:sz w:val="20"/>
                <w:szCs w:val="20"/>
                <w:color w:val="auto"/>
              </w:rPr>
            </w:pPr>
            <w:r>
              <w:rPr>
                <w:rFonts w:ascii="Arial" w:cs="Arial" w:eastAsia="Arial" w:hAnsi="Arial"/>
                <w:sz w:val="17"/>
                <w:szCs w:val="17"/>
                <w:color w:val="auto"/>
              </w:rPr>
              <w:t>Pension ongoing income</w:t>
            </w:r>
            <w:r>
              <w:rPr>
                <w:rFonts w:ascii="Arial" w:cs="Arial" w:eastAsia="Arial" w:hAnsi="Arial"/>
                <w:sz w:val="28"/>
                <w:szCs w:val="28"/>
                <w:color w:val="auto"/>
                <w:vertAlign w:val="superscript"/>
              </w:rPr>
              <w:t>(b)</w:t>
            </w:r>
          </w:p>
        </w:tc>
        <w:tc>
          <w:tcPr>
            <w:tcW w:w="8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250</w:t>
            </w:r>
          </w:p>
        </w:tc>
        <w:tc>
          <w:tcPr>
            <w:tcW w:w="3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184</w:t>
            </w:r>
          </w:p>
        </w:tc>
        <w:tc>
          <w:tcPr>
            <w:tcW w:w="3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498</w:t>
            </w:r>
          </w:p>
        </w:tc>
        <w:tc>
          <w:tcPr>
            <w:tcW w:w="3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363</w:t>
            </w:r>
          </w:p>
        </w:tc>
      </w:tr>
      <w:tr>
        <w:trPr>
          <w:trHeight w:val="243"/>
        </w:trPr>
        <w:tc>
          <w:tcPr>
            <w:tcW w:w="20" w:type="dxa"/>
            <w:vAlign w:val="bottom"/>
          </w:tcPr>
          <w:p>
            <w:pPr>
              <w:spacing w:after="0"/>
              <w:rPr>
                <w:sz w:val="21"/>
                <w:szCs w:val="21"/>
                <w:color w:val="auto"/>
              </w:rPr>
            </w:pPr>
          </w:p>
        </w:tc>
        <w:tc>
          <w:tcPr>
            <w:tcW w:w="4080" w:type="dxa"/>
            <w:vAlign w:val="bottom"/>
            <w:gridSpan w:val="3"/>
            <w:shd w:val="clear" w:color="auto" w:fill="E5FFFF"/>
          </w:tcPr>
          <w:p>
            <w:pPr>
              <w:spacing w:after="0" w:line="243" w:lineRule="exact"/>
              <w:rPr>
                <w:sz w:val="20"/>
                <w:szCs w:val="20"/>
                <w:color w:val="auto"/>
              </w:rPr>
            </w:pPr>
            <w:r>
              <w:rPr>
                <w:rFonts w:ascii="Arial" w:cs="Arial" w:eastAsia="Arial" w:hAnsi="Arial"/>
                <w:sz w:val="17"/>
                <w:szCs w:val="17"/>
                <w:color w:val="auto"/>
              </w:rPr>
              <w:t>Other postretirement income</w:t>
            </w:r>
            <w:r>
              <w:rPr>
                <w:rFonts w:ascii="Arial" w:cs="Arial" w:eastAsia="Arial" w:hAnsi="Arial"/>
                <w:sz w:val="28"/>
                <w:szCs w:val="28"/>
                <w:color w:val="auto"/>
                <w:vertAlign w:val="superscript"/>
              </w:rPr>
              <w:t>(b)</w:t>
            </w:r>
          </w:p>
        </w:tc>
        <w:tc>
          <w:tcPr>
            <w:tcW w:w="840" w:type="dxa"/>
            <w:vAlign w:val="bottom"/>
            <w:shd w:val="clear" w:color="auto" w:fill="E5FFFF"/>
          </w:tcPr>
          <w:p>
            <w:pPr>
              <w:spacing w:after="0"/>
              <w:rPr>
                <w:sz w:val="21"/>
                <w:szCs w:val="21"/>
                <w:color w:val="auto"/>
              </w:rPr>
            </w:pPr>
          </w:p>
        </w:tc>
        <w:tc>
          <w:tcPr>
            <w:tcW w:w="320" w:type="dxa"/>
            <w:vAlign w:val="bottom"/>
            <w:shd w:val="clear" w:color="auto" w:fill="E5FFFF"/>
          </w:tcPr>
          <w:p>
            <w:pPr>
              <w:spacing w:after="0"/>
              <w:rPr>
                <w:sz w:val="21"/>
                <w:szCs w:val="21"/>
                <w:color w:val="auto"/>
              </w:rPr>
            </w:pPr>
          </w:p>
        </w:tc>
        <w:tc>
          <w:tcPr>
            <w:tcW w:w="1060" w:type="dxa"/>
            <w:vAlign w:val="bottom"/>
            <w:shd w:val="clear" w:color="auto" w:fill="E5FFFF"/>
          </w:tcPr>
          <w:p>
            <w:pPr>
              <w:jc w:val="right"/>
              <w:ind w:right="32"/>
              <w:spacing w:after="0"/>
              <w:rPr>
                <w:sz w:val="20"/>
                <w:szCs w:val="20"/>
                <w:color w:val="auto"/>
              </w:rPr>
            </w:pPr>
            <w:r>
              <w:rPr>
                <w:rFonts w:ascii="Arial" w:cs="Arial" w:eastAsia="Arial" w:hAnsi="Arial"/>
                <w:sz w:val="18"/>
                <w:szCs w:val="18"/>
                <w:color w:val="auto"/>
              </w:rPr>
              <w:t>6</w:t>
            </w:r>
          </w:p>
        </w:tc>
        <w:tc>
          <w:tcPr>
            <w:tcW w:w="360" w:type="dxa"/>
            <w:vAlign w:val="bottom"/>
            <w:shd w:val="clear" w:color="auto" w:fill="E5FFFF"/>
          </w:tcPr>
          <w:p>
            <w:pPr>
              <w:spacing w:after="0"/>
              <w:rPr>
                <w:sz w:val="21"/>
                <w:szCs w:val="21"/>
                <w:color w:val="auto"/>
              </w:rPr>
            </w:pPr>
          </w:p>
        </w:tc>
        <w:tc>
          <w:tcPr>
            <w:tcW w:w="520" w:type="dxa"/>
            <w:vAlign w:val="bottom"/>
            <w:shd w:val="clear" w:color="auto" w:fill="E5FFFF"/>
          </w:tcPr>
          <w:p>
            <w:pPr>
              <w:spacing w:after="0"/>
              <w:rPr>
                <w:sz w:val="21"/>
                <w:szCs w:val="21"/>
                <w:color w:val="auto"/>
              </w:rPr>
            </w:pPr>
          </w:p>
        </w:tc>
        <w:tc>
          <w:tcPr>
            <w:tcW w:w="840" w:type="dxa"/>
            <w:vAlign w:val="bottom"/>
            <w:shd w:val="clear" w:color="auto" w:fill="E5FFFF"/>
          </w:tcPr>
          <w:p>
            <w:pPr>
              <w:jc w:val="right"/>
              <w:ind w:right="11"/>
              <w:spacing w:after="0"/>
              <w:rPr>
                <w:sz w:val="20"/>
                <w:szCs w:val="20"/>
                <w:color w:val="auto"/>
              </w:rPr>
            </w:pPr>
            <w:r>
              <w:rPr>
                <w:rFonts w:ascii="Arial" w:cs="Arial" w:eastAsia="Arial" w:hAnsi="Arial"/>
                <w:sz w:val="18"/>
                <w:szCs w:val="18"/>
                <w:color w:val="auto"/>
              </w:rPr>
              <w:t>6</w:t>
            </w:r>
          </w:p>
        </w:tc>
        <w:tc>
          <w:tcPr>
            <w:tcW w:w="340" w:type="dxa"/>
            <w:vAlign w:val="bottom"/>
            <w:shd w:val="clear" w:color="auto" w:fill="E5FFFF"/>
          </w:tcPr>
          <w:p>
            <w:pPr>
              <w:spacing w:after="0"/>
              <w:rPr>
                <w:sz w:val="21"/>
                <w:szCs w:val="21"/>
                <w:color w:val="auto"/>
              </w:rPr>
            </w:pPr>
          </w:p>
        </w:tc>
        <w:tc>
          <w:tcPr>
            <w:tcW w:w="300" w:type="dxa"/>
            <w:vAlign w:val="bottom"/>
            <w:shd w:val="clear" w:color="auto" w:fill="E5FFFF"/>
          </w:tcPr>
          <w:p>
            <w:pPr>
              <w:spacing w:after="0"/>
              <w:rPr>
                <w:sz w:val="21"/>
                <w:szCs w:val="21"/>
                <w:color w:val="auto"/>
              </w:rPr>
            </w:pPr>
          </w:p>
        </w:tc>
        <w:tc>
          <w:tcPr>
            <w:tcW w:w="1060" w:type="dxa"/>
            <w:vAlign w:val="bottom"/>
            <w:shd w:val="clear" w:color="auto" w:fill="E5FFFF"/>
          </w:tcPr>
          <w:p>
            <w:pPr>
              <w:jc w:val="right"/>
              <w:ind w:right="32"/>
              <w:spacing w:after="0"/>
              <w:rPr>
                <w:sz w:val="20"/>
                <w:szCs w:val="20"/>
                <w:color w:val="auto"/>
              </w:rPr>
            </w:pPr>
            <w:r>
              <w:rPr>
                <w:rFonts w:ascii="Arial" w:cs="Arial" w:eastAsia="Arial" w:hAnsi="Arial"/>
                <w:sz w:val="18"/>
                <w:szCs w:val="18"/>
                <w:color w:val="auto"/>
              </w:rPr>
              <w:t>12</w:t>
            </w:r>
          </w:p>
        </w:tc>
        <w:tc>
          <w:tcPr>
            <w:tcW w:w="320" w:type="dxa"/>
            <w:vAlign w:val="bottom"/>
            <w:shd w:val="clear" w:color="auto" w:fill="E5FFFF"/>
          </w:tcPr>
          <w:p>
            <w:pPr>
              <w:spacing w:after="0"/>
              <w:rPr>
                <w:sz w:val="21"/>
                <w:szCs w:val="21"/>
                <w:color w:val="auto"/>
              </w:rPr>
            </w:pPr>
          </w:p>
        </w:tc>
        <w:tc>
          <w:tcPr>
            <w:tcW w:w="500" w:type="dxa"/>
            <w:vAlign w:val="bottom"/>
            <w:shd w:val="clear" w:color="auto" w:fill="E5FFFF"/>
          </w:tcPr>
          <w:p>
            <w:pPr>
              <w:spacing w:after="0"/>
              <w:rPr>
                <w:sz w:val="21"/>
                <w:szCs w:val="21"/>
                <w:color w:val="auto"/>
              </w:rPr>
            </w:pPr>
          </w:p>
        </w:tc>
        <w:tc>
          <w:tcPr>
            <w:tcW w:w="860" w:type="dxa"/>
            <w:vAlign w:val="bottom"/>
            <w:shd w:val="clear" w:color="auto" w:fill="E5FFFF"/>
          </w:tcPr>
          <w:p>
            <w:pPr>
              <w:jc w:val="right"/>
              <w:ind w:right="11"/>
              <w:spacing w:after="0"/>
              <w:rPr>
                <w:sz w:val="20"/>
                <w:szCs w:val="20"/>
                <w:color w:val="auto"/>
              </w:rPr>
            </w:pPr>
            <w:r>
              <w:rPr>
                <w:rFonts w:ascii="Arial" w:cs="Arial" w:eastAsia="Arial" w:hAnsi="Arial"/>
                <w:sz w:val="18"/>
                <w:szCs w:val="18"/>
                <w:color w:val="auto"/>
              </w:rPr>
              <w:t>10</w:t>
            </w:r>
          </w:p>
        </w:tc>
      </w:tr>
      <w:tr>
        <w:trPr>
          <w:trHeight w:val="243"/>
        </w:trPr>
        <w:tc>
          <w:tcPr>
            <w:tcW w:w="20" w:type="dxa"/>
            <w:vAlign w:val="bottom"/>
          </w:tcPr>
          <w:p>
            <w:pPr>
              <w:spacing w:after="0"/>
              <w:rPr>
                <w:sz w:val="21"/>
                <w:szCs w:val="21"/>
                <w:color w:val="auto"/>
              </w:rPr>
            </w:pPr>
          </w:p>
        </w:tc>
        <w:tc>
          <w:tcPr>
            <w:tcW w:w="4080" w:type="dxa"/>
            <w:vAlign w:val="bottom"/>
            <w:gridSpan w:val="3"/>
          </w:tcPr>
          <w:p>
            <w:pPr>
              <w:spacing w:after="0" w:line="243" w:lineRule="exact"/>
              <w:rPr>
                <w:sz w:val="20"/>
                <w:szCs w:val="20"/>
                <w:color w:val="auto"/>
              </w:rPr>
            </w:pPr>
            <w:r>
              <w:rPr>
                <w:rFonts w:ascii="Arial" w:cs="Arial" w:eastAsia="Arial" w:hAnsi="Arial"/>
                <w:sz w:val="17"/>
                <w:szCs w:val="17"/>
                <w:color w:val="auto"/>
              </w:rPr>
              <w:t xml:space="preserve">Repositioning and other charges </w:t>
            </w:r>
            <w:r>
              <w:rPr>
                <w:rFonts w:ascii="Arial" w:cs="Arial" w:eastAsia="Arial" w:hAnsi="Arial"/>
                <w:sz w:val="28"/>
                <w:szCs w:val="28"/>
                <w:color w:val="auto"/>
                <w:vertAlign w:val="superscript"/>
              </w:rPr>
              <w:t>(c)</w:t>
            </w:r>
          </w:p>
        </w:tc>
        <w:tc>
          <w:tcPr>
            <w:tcW w:w="8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(265)</w:t>
            </w:r>
          </w:p>
        </w:tc>
        <w:tc>
          <w:tcPr>
            <w:tcW w:w="3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(224)</w:t>
            </w:r>
          </w:p>
        </w:tc>
        <w:tc>
          <w:tcPr>
            <w:tcW w:w="3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(458)</w:t>
            </w:r>
          </w:p>
        </w:tc>
        <w:tc>
          <w:tcPr>
            <w:tcW w:w="3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(353)</w:t>
            </w:r>
          </w:p>
        </w:tc>
      </w:tr>
      <w:tr>
        <w:trPr>
          <w:trHeight w:val="257"/>
        </w:trPr>
        <w:tc>
          <w:tcPr>
            <w:tcW w:w="20" w:type="dxa"/>
            <w:vAlign w:val="bottom"/>
          </w:tcPr>
          <w:p>
            <w:pPr>
              <w:spacing w:after="0"/>
              <w:rPr>
                <w:sz w:val="22"/>
                <w:szCs w:val="22"/>
                <w:color w:val="auto"/>
              </w:rPr>
            </w:pPr>
          </w:p>
        </w:tc>
        <w:tc>
          <w:tcPr>
            <w:tcW w:w="4080" w:type="dxa"/>
            <w:vAlign w:val="bottom"/>
            <w:gridSpan w:val="3"/>
            <w:shd w:val="clear" w:color="auto" w:fill="E5FFFF"/>
          </w:tcPr>
          <w:p>
            <w:pPr>
              <w:spacing w:after="0" w:line="256" w:lineRule="exact"/>
              <w:rPr>
                <w:sz w:val="20"/>
                <w:szCs w:val="20"/>
                <w:color w:val="auto"/>
              </w:rPr>
            </w:pPr>
            <w:r>
              <w:rPr>
                <w:rFonts w:ascii="Arial" w:cs="Arial" w:eastAsia="Arial" w:hAnsi="Arial"/>
                <w:sz w:val="18"/>
                <w:szCs w:val="18"/>
                <w:color w:val="auto"/>
              </w:rPr>
              <w:t>Other</w:t>
            </w:r>
            <w:r>
              <w:rPr>
                <w:rFonts w:ascii="Arial" w:cs="Arial" w:eastAsia="Arial" w:hAnsi="Arial"/>
                <w:sz w:val="29"/>
                <w:szCs w:val="29"/>
                <w:color w:val="auto"/>
                <w:vertAlign w:val="superscript"/>
              </w:rPr>
              <w:t>(d)</w:t>
            </w:r>
          </w:p>
        </w:tc>
        <w:tc>
          <w:tcPr>
            <w:tcW w:w="840" w:type="dxa"/>
            <w:vAlign w:val="bottom"/>
            <w:shd w:val="clear" w:color="auto" w:fill="E5FFFF"/>
          </w:tcPr>
          <w:p>
            <w:pPr>
              <w:spacing w:after="0"/>
              <w:rPr>
                <w:sz w:val="22"/>
                <w:szCs w:val="22"/>
                <w:color w:val="auto"/>
              </w:rPr>
            </w:pPr>
          </w:p>
        </w:tc>
        <w:tc>
          <w:tcPr>
            <w:tcW w:w="320" w:type="dxa"/>
            <w:vAlign w:val="bottom"/>
            <w:tcBorders>
              <w:bottom w:val="single" w:sz="8" w:color="auto"/>
            </w:tcBorders>
            <w:shd w:val="clear" w:color="auto" w:fill="E5FFFF"/>
          </w:tcPr>
          <w:p>
            <w:pPr>
              <w:spacing w:after="0"/>
              <w:rPr>
                <w:sz w:val="22"/>
                <w:szCs w:val="22"/>
                <w:color w:val="auto"/>
              </w:rPr>
            </w:pPr>
          </w:p>
        </w:tc>
        <w:tc>
          <w:tcPr>
            <w:tcW w:w="10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(4)</w:t>
            </w:r>
          </w:p>
        </w:tc>
        <w:tc>
          <w:tcPr>
            <w:tcW w:w="360" w:type="dxa"/>
            <w:vAlign w:val="bottom"/>
            <w:shd w:val="clear" w:color="auto" w:fill="E5FFFF"/>
          </w:tcPr>
          <w:p>
            <w:pPr>
              <w:spacing w:after="0"/>
              <w:rPr>
                <w:sz w:val="22"/>
                <w:szCs w:val="22"/>
                <w:color w:val="auto"/>
              </w:rPr>
            </w:pPr>
          </w:p>
        </w:tc>
        <w:tc>
          <w:tcPr>
            <w:tcW w:w="520" w:type="dxa"/>
            <w:vAlign w:val="bottom"/>
            <w:tcBorders>
              <w:bottom w:val="single" w:sz="8" w:color="auto"/>
            </w:tcBorders>
            <w:shd w:val="clear" w:color="auto" w:fill="E5FFFF"/>
          </w:tcPr>
          <w:p>
            <w:pPr>
              <w:spacing w:after="0"/>
              <w:rPr>
                <w:sz w:val="22"/>
                <w:szCs w:val="22"/>
                <w:color w:val="auto"/>
              </w:rPr>
            </w:pPr>
          </w:p>
        </w:tc>
        <w:tc>
          <w:tcPr>
            <w:tcW w:w="840" w:type="dxa"/>
            <w:vAlign w:val="bottom"/>
            <w:tcBorders>
              <w:bottom w:val="single" w:sz="8" w:color="auto"/>
            </w:tcBorders>
            <w:shd w:val="clear" w:color="auto" w:fill="E5FFFF"/>
          </w:tcPr>
          <w:p>
            <w:pPr>
              <w:jc w:val="right"/>
              <w:ind w:right="11"/>
              <w:spacing w:after="0"/>
              <w:rPr>
                <w:sz w:val="20"/>
                <w:szCs w:val="20"/>
                <w:color w:val="auto"/>
              </w:rPr>
            </w:pPr>
            <w:r>
              <w:rPr>
                <w:rFonts w:ascii="Arial" w:cs="Arial" w:eastAsia="Arial" w:hAnsi="Arial"/>
                <w:sz w:val="18"/>
                <w:szCs w:val="18"/>
                <w:color w:val="auto"/>
              </w:rPr>
              <w:t>25</w:t>
            </w:r>
          </w:p>
        </w:tc>
        <w:tc>
          <w:tcPr>
            <w:tcW w:w="340" w:type="dxa"/>
            <w:vAlign w:val="bottom"/>
            <w:shd w:val="clear" w:color="auto" w:fill="E5FFFF"/>
          </w:tcPr>
          <w:p>
            <w:pPr>
              <w:spacing w:after="0"/>
              <w:rPr>
                <w:sz w:val="22"/>
                <w:szCs w:val="22"/>
                <w:color w:val="auto"/>
              </w:rPr>
            </w:pPr>
          </w:p>
        </w:tc>
        <w:tc>
          <w:tcPr>
            <w:tcW w:w="300" w:type="dxa"/>
            <w:vAlign w:val="bottom"/>
            <w:tcBorders>
              <w:bottom w:val="single" w:sz="8" w:color="auto"/>
            </w:tcBorders>
            <w:shd w:val="clear" w:color="auto" w:fill="E5FFFF"/>
          </w:tcPr>
          <w:p>
            <w:pPr>
              <w:spacing w:after="0"/>
              <w:rPr>
                <w:sz w:val="22"/>
                <w:szCs w:val="22"/>
                <w:color w:val="auto"/>
              </w:rPr>
            </w:pPr>
          </w:p>
        </w:tc>
        <w:tc>
          <w:tcPr>
            <w:tcW w:w="10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(16)</w:t>
            </w:r>
          </w:p>
        </w:tc>
        <w:tc>
          <w:tcPr>
            <w:tcW w:w="320" w:type="dxa"/>
            <w:vAlign w:val="bottom"/>
            <w:shd w:val="clear" w:color="auto" w:fill="E5FFFF"/>
          </w:tcPr>
          <w:p>
            <w:pPr>
              <w:spacing w:after="0"/>
              <w:rPr>
                <w:sz w:val="22"/>
                <w:szCs w:val="22"/>
                <w:color w:val="auto"/>
              </w:rPr>
            </w:pPr>
          </w:p>
        </w:tc>
        <w:tc>
          <w:tcPr>
            <w:tcW w:w="500" w:type="dxa"/>
            <w:vAlign w:val="bottom"/>
            <w:tcBorders>
              <w:bottom w:val="single" w:sz="8" w:color="auto"/>
            </w:tcBorders>
            <w:shd w:val="clear" w:color="auto" w:fill="E5FFFF"/>
          </w:tcPr>
          <w:p>
            <w:pPr>
              <w:spacing w:after="0"/>
              <w:rPr>
                <w:sz w:val="22"/>
                <w:szCs w:val="22"/>
                <w:color w:val="auto"/>
              </w:rPr>
            </w:pPr>
          </w:p>
        </w:tc>
        <w:tc>
          <w:tcPr>
            <w:tcW w:w="860" w:type="dxa"/>
            <w:vAlign w:val="bottom"/>
            <w:tcBorders>
              <w:bottom w:val="single" w:sz="8" w:color="auto"/>
            </w:tcBorders>
            <w:shd w:val="clear" w:color="auto" w:fill="E5FFFF"/>
          </w:tcPr>
          <w:p>
            <w:pPr>
              <w:jc w:val="right"/>
              <w:ind w:right="11"/>
              <w:spacing w:after="0"/>
              <w:rPr>
                <w:sz w:val="20"/>
                <w:szCs w:val="20"/>
                <w:color w:val="auto"/>
              </w:rPr>
            </w:pPr>
            <w:r>
              <w:rPr>
                <w:rFonts w:ascii="Arial" w:cs="Arial" w:eastAsia="Arial" w:hAnsi="Arial"/>
                <w:sz w:val="18"/>
                <w:szCs w:val="18"/>
                <w:color w:val="auto"/>
              </w:rPr>
              <w:t>31</w:t>
            </w:r>
          </w:p>
        </w:tc>
      </w:tr>
      <w:tr>
        <w:trPr>
          <w:trHeight w:val="210"/>
        </w:trPr>
        <w:tc>
          <w:tcPr>
            <w:tcW w:w="20" w:type="dxa"/>
            <w:vAlign w:val="bottom"/>
          </w:tcPr>
          <w:p>
            <w:pPr>
              <w:spacing w:after="0"/>
              <w:rPr>
                <w:sz w:val="18"/>
                <w:szCs w:val="18"/>
                <w:color w:val="auto"/>
              </w:rPr>
            </w:pPr>
          </w:p>
        </w:tc>
        <w:tc>
          <w:tcPr>
            <w:tcW w:w="4080" w:type="dxa"/>
            <w:vAlign w:val="bottom"/>
            <w:gridSpan w:val="3"/>
          </w:tcPr>
          <w:p>
            <w:pPr>
              <w:spacing w:after="0" w:line="197" w:lineRule="exact"/>
              <w:rPr>
                <w:sz w:val="20"/>
                <w:szCs w:val="20"/>
                <w:color w:val="auto"/>
              </w:rPr>
            </w:pPr>
            <w:r>
              <w:rPr>
                <w:rFonts w:ascii="Arial" w:cs="Arial" w:eastAsia="Arial" w:hAnsi="Arial"/>
                <w:sz w:val="18"/>
                <w:szCs w:val="18"/>
                <w:color w:val="auto"/>
              </w:rPr>
              <w:t>Income before taxes</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1,999</w:t>
            </w:r>
          </w:p>
        </w:tc>
        <w:tc>
          <w:tcPr>
            <w:tcW w:w="8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1,778</w:t>
            </w: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3,908</w:t>
            </w:r>
          </w:p>
        </w:tc>
        <w:tc>
          <w:tcPr>
            <w:tcW w:w="320" w:type="dxa"/>
            <w:vAlign w:val="bottom"/>
          </w:tcPr>
          <w:p>
            <w:pPr>
              <w:spacing w:after="0"/>
              <w:rPr>
                <w:sz w:val="18"/>
                <w:szCs w:val="18"/>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3,502</w:t>
            </w: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191" w:lineRule="exact"/>
        <w:rPr>
          <w:sz w:val="20"/>
          <w:szCs w:val="20"/>
          <w:color w:val="auto"/>
        </w:rPr>
      </w:pPr>
    </w:p>
    <w:p>
      <w:pPr>
        <w:ind w:left="260" w:hanging="252"/>
        <w:spacing w:after="0"/>
        <w:tabs>
          <w:tab w:leader="none" w:pos="260" w:val="left"/>
        </w:tabs>
        <w:numPr>
          <w:ilvl w:val="0"/>
          <w:numId w:val="2"/>
        </w:numPr>
        <w:rPr>
          <w:rFonts w:ascii="Arial" w:cs="Arial" w:eastAsia="Arial" w:hAnsi="Arial"/>
          <w:sz w:val="16"/>
          <w:szCs w:val="16"/>
          <w:color w:val="auto"/>
        </w:rPr>
      </w:pPr>
      <w:r>
        <w:rPr>
          <w:rFonts w:ascii="Arial" w:cs="Arial" w:eastAsia="Arial" w:hAnsi="Arial"/>
          <w:sz w:val="16"/>
          <w:szCs w:val="16"/>
          <w:color w:val="auto"/>
        </w:rPr>
        <w:t>Amounts included in Selling, general and administrative expenses.</w:t>
      </w:r>
    </w:p>
    <w:p>
      <w:pPr>
        <w:spacing w:after="0" w:line="5" w:lineRule="exact"/>
        <w:rPr>
          <w:rFonts w:ascii="Arial" w:cs="Arial" w:eastAsia="Arial" w:hAnsi="Arial"/>
          <w:sz w:val="16"/>
          <w:szCs w:val="16"/>
          <w:color w:val="auto"/>
        </w:rPr>
      </w:pPr>
    </w:p>
    <w:p>
      <w:pPr>
        <w:ind w:right="100" w:firstLine="8"/>
        <w:spacing w:after="0" w:line="246" w:lineRule="auto"/>
        <w:tabs>
          <w:tab w:leader="none" w:pos="243" w:val="left"/>
        </w:tabs>
        <w:numPr>
          <w:ilvl w:val="0"/>
          <w:numId w:val="2"/>
        </w:numPr>
        <w:rPr>
          <w:rFonts w:ascii="Arial" w:cs="Arial" w:eastAsia="Arial" w:hAnsi="Arial"/>
          <w:sz w:val="16"/>
          <w:szCs w:val="16"/>
          <w:color w:val="auto"/>
        </w:rPr>
      </w:pPr>
      <w:r>
        <w:rPr>
          <w:rFonts w:ascii="Arial" w:cs="Arial" w:eastAsia="Arial" w:hAnsi="Arial"/>
          <w:sz w:val="16"/>
          <w:szCs w:val="16"/>
          <w:color w:val="auto"/>
        </w:rPr>
        <w:t>Amounts included in Cost of products and services sold and Selling, general and administrative expenses (service costs) and Other income/expense (non-service cost components).</w:t>
      </w:r>
    </w:p>
    <w:p>
      <w:pPr>
        <w:ind w:left="240" w:hanging="232"/>
        <w:spacing w:after="0"/>
        <w:tabs>
          <w:tab w:leader="none" w:pos="240" w:val="left"/>
        </w:tabs>
        <w:numPr>
          <w:ilvl w:val="0"/>
          <w:numId w:val="2"/>
        </w:numPr>
        <w:rPr>
          <w:rFonts w:ascii="Arial" w:cs="Arial" w:eastAsia="Arial" w:hAnsi="Arial"/>
          <w:sz w:val="16"/>
          <w:szCs w:val="16"/>
          <w:color w:val="auto"/>
        </w:rPr>
      </w:pPr>
      <w:r>
        <w:rPr>
          <w:rFonts w:ascii="Arial" w:cs="Arial" w:eastAsia="Arial" w:hAnsi="Arial"/>
          <w:sz w:val="16"/>
          <w:szCs w:val="16"/>
          <w:color w:val="auto"/>
        </w:rPr>
        <w:t>Amounts included in Cost of products and services sold, Selling, general and administrative expenses, and Other income/expense.</w:t>
      </w:r>
    </w:p>
    <w:p>
      <w:pPr>
        <w:spacing w:after="0" w:line="5" w:lineRule="exact"/>
        <w:rPr>
          <w:rFonts w:ascii="Arial" w:cs="Arial" w:eastAsia="Arial" w:hAnsi="Arial"/>
          <w:sz w:val="16"/>
          <w:szCs w:val="16"/>
          <w:color w:val="auto"/>
        </w:rPr>
      </w:pPr>
    </w:p>
    <w:p>
      <w:pPr>
        <w:ind w:right="200" w:firstLine="8"/>
        <w:spacing w:after="0" w:line="260" w:lineRule="auto"/>
        <w:tabs>
          <w:tab w:leader="none" w:pos="243" w:val="left"/>
        </w:tabs>
        <w:numPr>
          <w:ilvl w:val="0"/>
          <w:numId w:val="2"/>
        </w:numPr>
        <w:rPr>
          <w:rFonts w:ascii="Arial" w:cs="Arial" w:eastAsia="Arial" w:hAnsi="Arial"/>
          <w:sz w:val="16"/>
          <w:szCs w:val="16"/>
          <w:color w:val="auto"/>
        </w:rPr>
      </w:pPr>
      <w:r>
        <w:rPr>
          <w:rFonts w:ascii="Arial" w:cs="Arial" w:eastAsia="Arial" w:hAnsi="Arial"/>
          <w:sz w:val="16"/>
          <w:szCs w:val="16"/>
          <w:color w:val="auto"/>
        </w:rPr>
        <w:t>Amounts include the other components of Other income/expense not included within other categories in this reconciliation. Equity income/loss of affiliated companies is included in segment profit.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0" w:right="23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Honeywell International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jc w:val="center"/>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Pension Benefits</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Net periodic pension benefit costs for our significant defined benefit plans include the following components: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5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3"/>
          </w:tcPr>
          <w:p>
            <w:pPr>
              <w:jc w:val="right"/>
              <w:ind w:right="170"/>
              <w:spacing w:after="0"/>
              <w:rPr>
                <w:sz w:val="20"/>
                <w:szCs w:val="20"/>
                <w:color w:val="auto"/>
              </w:rPr>
            </w:pPr>
            <w:r>
              <w:rPr>
                <w:rFonts w:ascii="Arial" w:cs="Arial" w:eastAsia="Arial" w:hAnsi="Arial"/>
                <w:sz w:val="14"/>
                <w:szCs w:val="14"/>
                <w:b w:val="1"/>
                <w:bCs w:val="1"/>
                <w:color w:val="auto"/>
              </w:rPr>
              <w:t>U.S. Plans</w:t>
            </w:r>
          </w:p>
        </w:tc>
        <w:tc>
          <w:tcPr>
            <w:tcW w:w="94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00" w:type="dxa"/>
            <w:vAlign w:val="bottom"/>
            <w:gridSpan w:val="4"/>
          </w:tcPr>
          <w:p>
            <w:pPr>
              <w:jc w:val="right"/>
              <w:ind w:right="250"/>
              <w:spacing w:after="0" w:line="143" w:lineRule="exact"/>
              <w:rPr>
                <w:sz w:val="20"/>
                <w:szCs w:val="20"/>
                <w:color w:val="auto"/>
              </w:rPr>
            </w:pPr>
            <w:r>
              <w:rPr>
                <w:rFonts w:ascii="Arial" w:cs="Arial" w:eastAsia="Arial" w:hAnsi="Arial"/>
                <w:sz w:val="14"/>
                <w:szCs w:val="14"/>
                <w:b w:val="1"/>
                <w:bCs w:val="1"/>
                <w:color w:val="auto"/>
              </w:rPr>
              <w:t>Three Months Ended</w:t>
            </w:r>
          </w:p>
        </w:tc>
        <w:tc>
          <w:tcPr>
            <w:tcW w:w="5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760" w:type="dxa"/>
            <w:vAlign w:val="bottom"/>
            <w:gridSpan w:val="3"/>
          </w:tcPr>
          <w:p>
            <w:pPr>
              <w:jc w:val="center"/>
              <w:ind w:left="357"/>
              <w:spacing w:after="0" w:line="143" w:lineRule="exact"/>
              <w:rPr>
                <w:sz w:val="20"/>
                <w:szCs w:val="20"/>
                <w:color w:val="auto"/>
              </w:rPr>
            </w:pPr>
            <w:r>
              <w:rPr>
                <w:rFonts w:ascii="Arial" w:cs="Arial" w:eastAsia="Arial" w:hAnsi="Arial"/>
                <w:sz w:val="14"/>
                <w:szCs w:val="14"/>
                <w:b w:val="1"/>
                <w:bCs w:val="1"/>
                <w:color w:val="auto"/>
              </w:rPr>
              <w:t>Six Months Ended</w:t>
            </w: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45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3"/>
          </w:tcPr>
          <w:p>
            <w:pPr>
              <w:jc w:val="right"/>
              <w:ind w:right="670"/>
              <w:spacing w:after="0"/>
              <w:rPr>
                <w:sz w:val="20"/>
                <w:szCs w:val="20"/>
                <w:color w:val="auto"/>
              </w:rPr>
            </w:pPr>
            <w:r>
              <w:rPr>
                <w:rFonts w:ascii="Arial" w:cs="Arial" w:eastAsia="Arial" w:hAnsi="Arial"/>
                <w:sz w:val="14"/>
                <w:szCs w:val="14"/>
                <w:b w:val="1"/>
                <w:bCs w:val="1"/>
                <w:color w:val="auto"/>
              </w:rPr>
              <w:t>June 30,</w:t>
            </w:r>
          </w:p>
        </w:tc>
        <w:tc>
          <w:tcPr>
            <w:tcW w:w="500" w:type="dxa"/>
            <w:vAlign w:val="bottom"/>
            <w:tcBorders>
              <w:bottom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3"/>
          </w:tcPr>
          <w:p>
            <w:pPr>
              <w:jc w:val="center"/>
              <w:ind w:left="357"/>
              <w:spacing w:after="0"/>
              <w:rPr>
                <w:sz w:val="20"/>
                <w:szCs w:val="20"/>
                <w:color w:val="auto"/>
              </w:rPr>
            </w:pPr>
            <w:r>
              <w:rPr>
                <w:rFonts w:ascii="Arial" w:cs="Arial" w:eastAsia="Arial" w:hAnsi="Arial"/>
                <w:sz w:val="14"/>
                <w:szCs w:val="14"/>
                <w:b w:val="1"/>
                <w:bCs w:val="1"/>
                <w:color w:val="auto"/>
                <w:w w:val="99"/>
              </w:rPr>
              <w:t>June 30,</w:t>
            </w:r>
          </w:p>
        </w:tc>
        <w:tc>
          <w:tcPr>
            <w:tcW w:w="8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45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8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500" w:type="dxa"/>
            <w:vAlign w:val="bottom"/>
          </w:tcPr>
          <w:p>
            <w:pPr>
              <w:spacing w:after="0"/>
              <w:rPr>
                <w:sz w:val="13"/>
                <w:szCs w:val="13"/>
                <w:color w:val="auto"/>
              </w:rPr>
            </w:pPr>
          </w:p>
        </w:tc>
        <w:tc>
          <w:tcPr>
            <w:tcW w:w="122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2017</w:t>
            </w: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40" w:type="dxa"/>
            <w:vAlign w:val="bottom"/>
          </w:tcPr>
          <w:p>
            <w:pPr>
              <w:jc w:val="right"/>
              <w:ind w:right="437"/>
              <w:spacing w:after="0" w:line="155" w:lineRule="exact"/>
              <w:rPr>
                <w:sz w:val="20"/>
                <w:szCs w:val="20"/>
                <w:color w:val="auto"/>
              </w:rPr>
            </w:pPr>
            <w:r>
              <w:rPr>
                <w:rFonts w:ascii="Arial" w:cs="Arial" w:eastAsia="Arial" w:hAnsi="Arial"/>
                <w:sz w:val="14"/>
                <w:szCs w:val="14"/>
                <w:b w:val="1"/>
                <w:bCs w:val="1"/>
                <w:color w:val="auto"/>
              </w:rPr>
              <w:t>2018</w:t>
            </w:r>
          </w:p>
        </w:tc>
        <w:tc>
          <w:tcPr>
            <w:tcW w:w="3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60" w:type="dxa"/>
            <w:vAlign w:val="bottom"/>
          </w:tcPr>
          <w:p>
            <w:pPr>
              <w:jc w:val="right"/>
              <w:ind w:right="433"/>
              <w:spacing w:after="0" w:line="155" w:lineRule="exact"/>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196"/>
        </w:trPr>
        <w:tc>
          <w:tcPr>
            <w:tcW w:w="4580" w:type="dxa"/>
            <w:vAlign w:val="bottom"/>
            <w:tcBorders>
              <w:top w:val="single" w:sz="8" w:color="E5FFFF"/>
            </w:tcBorders>
            <w:shd w:val="clear" w:color="auto" w:fill="E5FFFF"/>
          </w:tcPr>
          <w:p>
            <w:pPr>
              <w:spacing w:after="0" w:line="196" w:lineRule="exact"/>
              <w:rPr>
                <w:sz w:val="20"/>
                <w:szCs w:val="20"/>
                <w:color w:val="auto"/>
              </w:rPr>
            </w:pPr>
            <w:r>
              <w:rPr>
                <w:rFonts w:ascii="Arial" w:cs="Arial" w:eastAsia="Arial" w:hAnsi="Arial"/>
                <w:sz w:val="18"/>
                <w:szCs w:val="18"/>
                <w:color w:val="auto"/>
              </w:rPr>
              <w:t>Service cost</w:t>
            </w:r>
          </w:p>
        </w:tc>
        <w:tc>
          <w:tcPr>
            <w:tcW w:w="360" w:type="dxa"/>
            <w:vAlign w:val="bottom"/>
            <w:tcBorders>
              <w:top w:val="single" w:sz="8" w:color="E5FFFF"/>
            </w:tcBorders>
            <w:shd w:val="clear" w:color="auto" w:fill="E5FFFF"/>
          </w:tcPr>
          <w:p>
            <w:pPr>
              <w:spacing w:after="0"/>
              <w:rPr>
                <w:sz w:val="17"/>
                <w:szCs w:val="17"/>
                <w:color w:val="auto"/>
              </w:rPr>
            </w:pPr>
          </w:p>
        </w:tc>
        <w:tc>
          <w:tcPr>
            <w:tcW w:w="880" w:type="dxa"/>
            <w:vAlign w:val="bottom"/>
            <w:tcBorders>
              <w:top w:val="single" w:sz="8" w:color="auto"/>
            </w:tcBorders>
            <w:shd w:val="clear" w:color="auto" w:fill="E5FFFF"/>
          </w:tcPr>
          <w:p>
            <w:pPr>
              <w:jc w:val="right"/>
              <w:ind w:right="702"/>
              <w:spacing w:after="0" w:line="196" w:lineRule="exact"/>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E5FFFF"/>
          </w:tcPr>
          <w:p>
            <w:pPr>
              <w:jc w:val="right"/>
              <w:ind w:right="33"/>
              <w:spacing w:after="0" w:line="196" w:lineRule="exact"/>
              <w:rPr>
                <w:sz w:val="20"/>
                <w:szCs w:val="20"/>
                <w:color w:val="auto"/>
              </w:rPr>
            </w:pPr>
            <w:r>
              <w:rPr>
                <w:rFonts w:ascii="Arial" w:cs="Arial" w:eastAsia="Arial" w:hAnsi="Arial"/>
                <w:sz w:val="18"/>
                <w:szCs w:val="18"/>
                <w:color w:val="auto"/>
              </w:rPr>
              <w:t>35</w:t>
            </w:r>
          </w:p>
        </w:tc>
        <w:tc>
          <w:tcPr>
            <w:tcW w:w="360" w:type="dxa"/>
            <w:vAlign w:val="bottom"/>
            <w:tcBorders>
              <w:top w:val="single" w:sz="8" w:color="E5FFFF"/>
            </w:tcBorders>
            <w:shd w:val="clear" w:color="auto" w:fill="E5FFFF"/>
          </w:tcPr>
          <w:p>
            <w:pPr>
              <w:spacing w:after="0"/>
              <w:rPr>
                <w:sz w:val="17"/>
                <w:szCs w:val="17"/>
                <w:color w:val="auto"/>
              </w:rPr>
            </w:pPr>
          </w:p>
        </w:tc>
        <w:tc>
          <w:tcPr>
            <w:tcW w:w="860" w:type="dxa"/>
            <w:vAlign w:val="bottom"/>
            <w:tcBorders>
              <w:top w:val="single" w:sz="8" w:color="auto"/>
            </w:tcBorders>
            <w:shd w:val="clear" w:color="auto" w:fill="E5FFFF"/>
          </w:tcPr>
          <w:p>
            <w:pPr>
              <w:jc w:val="right"/>
              <w:ind w:right="670"/>
              <w:spacing w:after="0" w:line="196" w:lineRule="exact"/>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E5FFFF"/>
          </w:tcPr>
          <w:p>
            <w:pPr>
              <w:jc w:val="right"/>
              <w:ind w:right="13"/>
              <w:spacing w:after="0" w:line="196" w:lineRule="exact"/>
              <w:rPr>
                <w:sz w:val="20"/>
                <w:szCs w:val="20"/>
                <w:color w:val="auto"/>
              </w:rPr>
            </w:pPr>
            <w:r>
              <w:rPr>
                <w:rFonts w:ascii="Arial" w:cs="Arial" w:eastAsia="Arial" w:hAnsi="Arial"/>
                <w:sz w:val="18"/>
                <w:szCs w:val="18"/>
                <w:color w:val="auto"/>
              </w:rPr>
              <w:t>43</w:t>
            </w:r>
          </w:p>
        </w:tc>
        <w:tc>
          <w:tcPr>
            <w:tcW w:w="340" w:type="dxa"/>
            <w:vAlign w:val="bottom"/>
            <w:tcBorders>
              <w:top w:val="single" w:sz="8" w:color="E5FFFF"/>
            </w:tcBorders>
            <w:shd w:val="clear" w:color="auto" w:fill="E5FFFF"/>
          </w:tcPr>
          <w:p>
            <w:pPr>
              <w:spacing w:after="0"/>
              <w:rPr>
                <w:sz w:val="17"/>
                <w:szCs w:val="17"/>
                <w:color w:val="auto"/>
              </w:rPr>
            </w:pPr>
          </w:p>
        </w:tc>
        <w:tc>
          <w:tcPr>
            <w:tcW w:w="420" w:type="dxa"/>
            <w:vAlign w:val="bottom"/>
            <w:tcBorders>
              <w:top w:val="single" w:sz="8" w:color="auto"/>
            </w:tcBorders>
            <w:shd w:val="clear" w:color="auto" w:fill="E5FFFF"/>
          </w:tcPr>
          <w:p>
            <w:pPr>
              <w:jc w:val="right"/>
              <w:ind w:right="23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E5FFFF"/>
          </w:tcPr>
          <w:p>
            <w:pPr>
              <w:jc w:val="right"/>
              <w:ind w:right="37"/>
              <w:spacing w:after="0" w:line="196" w:lineRule="exact"/>
              <w:rPr>
                <w:sz w:val="20"/>
                <w:szCs w:val="20"/>
                <w:color w:val="auto"/>
              </w:rPr>
            </w:pPr>
            <w:r>
              <w:rPr>
                <w:rFonts w:ascii="Arial" w:cs="Arial" w:eastAsia="Arial" w:hAnsi="Arial"/>
                <w:sz w:val="18"/>
                <w:szCs w:val="18"/>
                <w:color w:val="auto"/>
              </w:rPr>
              <w:t>70</w:t>
            </w:r>
          </w:p>
        </w:tc>
        <w:tc>
          <w:tcPr>
            <w:tcW w:w="320" w:type="dxa"/>
            <w:vAlign w:val="bottom"/>
            <w:tcBorders>
              <w:top w:val="single" w:sz="8" w:color="E5FFFF"/>
            </w:tcBorders>
            <w:shd w:val="clear" w:color="auto" w:fill="E5FFFF"/>
          </w:tcPr>
          <w:p>
            <w:pPr>
              <w:spacing w:after="0"/>
              <w:rPr>
                <w:sz w:val="17"/>
                <w:szCs w:val="17"/>
                <w:color w:val="auto"/>
              </w:rPr>
            </w:pPr>
          </w:p>
        </w:tc>
        <w:tc>
          <w:tcPr>
            <w:tcW w:w="500" w:type="dxa"/>
            <w:vAlign w:val="bottom"/>
            <w:tcBorders>
              <w:top w:val="single" w:sz="8" w:color="auto"/>
            </w:tcBorders>
            <w:shd w:val="clear" w:color="auto" w:fill="E5FFFF"/>
          </w:tcPr>
          <w:p>
            <w:pPr>
              <w:jc w:val="right"/>
              <w:ind w:right="310"/>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E5FFFF"/>
          </w:tcPr>
          <w:p>
            <w:pPr>
              <w:jc w:val="right"/>
              <w:ind w:right="13"/>
              <w:spacing w:after="0" w:line="196" w:lineRule="exact"/>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03"/>
        </w:trPr>
        <w:tc>
          <w:tcPr>
            <w:tcW w:w="4580" w:type="dxa"/>
            <w:vAlign w:val="bottom"/>
          </w:tcPr>
          <w:p>
            <w:pPr>
              <w:spacing w:after="0" w:line="202" w:lineRule="exact"/>
              <w:rPr>
                <w:sz w:val="20"/>
                <w:szCs w:val="20"/>
                <w:color w:val="auto"/>
              </w:rPr>
            </w:pPr>
            <w:r>
              <w:rPr>
                <w:rFonts w:ascii="Arial" w:cs="Arial" w:eastAsia="Arial" w:hAnsi="Arial"/>
                <w:sz w:val="18"/>
                <w:szCs w:val="18"/>
                <w:color w:val="auto"/>
              </w:rPr>
              <w:t>Interest cost</w:t>
            </w:r>
          </w:p>
        </w:tc>
        <w:tc>
          <w:tcPr>
            <w:tcW w:w="3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00" w:type="dxa"/>
            <w:vAlign w:val="bottom"/>
          </w:tcPr>
          <w:p>
            <w:pPr>
              <w:jc w:val="right"/>
              <w:ind w:right="33"/>
              <w:spacing w:after="0" w:line="202" w:lineRule="exact"/>
              <w:rPr>
                <w:sz w:val="20"/>
                <w:szCs w:val="20"/>
                <w:color w:val="auto"/>
              </w:rPr>
            </w:pPr>
            <w:r>
              <w:rPr>
                <w:rFonts w:ascii="Arial" w:cs="Arial" w:eastAsia="Arial" w:hAnsi="Arial"/>
                <w:sz w:val="18"/>
                <w:szCs w:val="18"/>
                <w:color w:val="auto"/>
              </w:rPr>
              <w:t>144</w:t>
            </w:r>
          </w:p>
        </w:tc>
        <w:tc>
          <w:tcPr>
            <w:tcW w:w="3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0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146</w:t>
            </w: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jc w:val="right"/>
              <w:ind w:right="37"/>
              <w:spacing w:after="0" w:line="202" w:lineRule="exact"/>
              <w:rPr>
                <w:sz w:val="20"/>
                <w:szCs w:val="20"/>
                <w:color w:val="auto"/>
              </w:rPr>
            </w:pPr>
            <w:r>
              <w:rPr>
                <w:rFonts w:ascii="Arial" w:cs="Arial" w:eastAsia="Arial" w:hAnsi="Arial"/>
                <w:sz w:val="18"/>
                <w:szCs w:val="18"/>
                <w:color w:val="auto"/>
              </w:rPr>
              <w:t>287</w:t>
            </w: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293</w:t>
            </w:r>
          </w:p>
        </w:tc>
        <w:tc>
          <w:tcPr>
            <w:tcW w:w="0" w:type="dxa"/>
            <w:vAlign w:val="bottom"/>
          </w:tcPr>
          <w:p>
            <w:pPr>
              <w:spacing w:after="0"/>
              <w:rPr>
                <w:sz w:val="1"/>
                <w:szCs w:val="1"/>
                <w:color w:val="auto"/>
              </w:rPr>
            </w:pPr>
          </w:p>
        </w:tc>
      </w:tr>
      <w:tr>
        <w:trPr>
          <w:trHeight w:val="203"/>
        </w:trPr>
        <w:tc>
          <w:tcPr>
            <w:tcW w:w="458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Expected return on plan assets</w:t>
            </w:r>
          </w:p>
        </w:tc>
        <w:tc>
          <w:tcPr>
            <w:tcW w:w="360" w:type="dxa"/>
            <w:vAlign w:val="bottom"/>
            <w:shd w:val="clear" w:color="auto" w:fill="E5FFFF"/>
          </w:tcPr>
          <w:p>
            <w:pPr>
              <w:spacing w:after="0"/>
              <w:rPr>
                <w:sz w:val="17"/>
                <w:szCs w:val="17"/>
                <w:color w:val="auto"/>
              </w:rPr>
            </w:pPr>
          </w:p>
        </w:tc>
        <w:tc>
          <w:tcPr>
            <w:tcW w:w="880" w:type="dxa"/>
            <w:vAlign w:val="bottom"/>
            <w:shd w:val="clear" w:color="auto" w:fill="E5FFFF"/>
          </w:tcPr>
          <w:p>
            <w:pPr>
              <w:spacing w:after="0"/>
              <w:rPr>
                <w:sz w:val="17"/>
                <w:szCs w:val="17"/>
                <w:color w:val="auto"/>
              </w:rPr>
            </w:pPr>
          </w:p>
        </w:tc>
        <w:tc>
          <w:tcPr>
            <w:tcW w:w="50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w w:val="99"/>
              </w:rPr>
              <w:t>(357)</w:t>
            </w:r>
          </w:p>
        </w:tc>
        <w:tc>
          <w:tcPr>
            <w:tcW w:w="360" w:type="dxa"/>
            <w:vAlign w:val="bottom"/>
            <w:shd w:val="clear" w:color="auto" w:fill="E5FFFF"/>
          </w:tcPr>
          <w:p>
            <w:pPr>
              <w:spacing w:after="0"/>
              <w:rPr>
                <w:sz w:val="17"/>
                <w:szCs w:val="17"/>
                <w:color w:val="auto"/>
              </w:rPr>
            </w:pPr>
          </w:p>
        </w:tc>
        <w:tc>
          <w:tcPr>
            <w:tcW w:w="860" w:type="dxa"/>
            <w:vAlign w:val="bottom"/>
            <w:shd w:val="clear" w:color="auto" w:fill="E5FFFF"/>
          </w:tcPr>
          <w:p>
            <w:pPr>
              <w:spacing w:after="0"/>
              <w:rPr>
                <w:sz w:val="17"/>
                <w:szCs w:val="17"/>
                <w:color w:val="auto"/>
              </w:rPr>
            </w:pPr>
          </w:p>
        </w:tc>
        <w:tc>
          <w:tcPr>
            <w:tcW w:w="50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(315)</w:t>
            </w:r>
          </w:p>
        </w:tc>
        <w:tc>
          <w:tcPr>
            <w:tcW w:w="340" w:type="dxa"/>
            <w:vAlign w:val="bottom"/>
            <w:shd w:val="clear" w:color="auto" w:fill="E5FFFF"/>
          </w:tcPr>
          <w:p>
            <w:pPr>
              <w:spacing w:after="0"/>
              <w:rPr>
                <w:sz w:val="17"/>
                <w:szCs w:val="17"/>
                <w:color w:val="auto"/>
              </w:rPr>
            </w:pPr>
          </w:p>
        </w:tc>
        <w:tc>
          <w:tcPr>
            <w:tcW w:w="420" w:type="dxa"/>
            <w:vAlign w:val="bottom"/>
            <w:shd w:val="clear" w:color="auto" w:fill="E5FFFF"/>
          </w:tcPr>
          <w:p>
            <w:pPr>
              <w:spacing w:after="0"/>
              <w:rPr>
                <w:sz w:val="17"/>
                <w:szCs w:val="17"/>
                <w:color w:val="auto"/>
              </w:rPr>
            </w:pPr>
          </w:p>
        </w:tc>
        <w:tc>
          <w:tcPr>
            <w:tcW w:w="94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(714)</w:t>
            </w:r>
          </w:p>
        </w:tc>
        <w:tc>
          <w:tcPr>
            <w:tcW w:w="320" w:type="dxa"/>
            <w:vAlign w:val="bottom"/>
            <w:shd w:val="clear" w:color="auto" w:fill="E5FFFF"/>
          </w:tcPr>
          <w:p>
            <w:pPr>
              <w:spacing w:after="0"/>
              <w:rPr>
                <w:sz w:val="17"/>
                <w:szCs w:val="17"/>
                <w:color w:val="auto"/>
              </w:rPr>
            </w:pPr>
          </w:p>
        </w:tc>
        <w:tc>
          <w:tcPr>
            <w:tcW w:w="500" w:type="dxa"/>
            <w:vAlign w:val="bottom"/>
            <w:shd w:val="clear" w:color="auto" w:fill="E5FFFF"/>
          </w:tcPr>
          <w:p>
            <w:pPr>
              <w:spacing w:after="0"/>
              <w:rPr>
                <w:sz w:val="17"/>
                <w:szCs w:val="17"/>
                <w:color w:val="auto"/>
              </w:rPr>
            </w:pPr>
          </w:p>
        </w:tc>
        <w:tc>
          <w:tcPr>
            <w:tcW w:w="86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(630)</w:t>
            </w:r>
          </w:p>
        </w:tc>
        <w:tc>
          <w:tcPr>
            <w:tcW w:w="0" w:type="dxa"/>
            <w:vAlign w:val="bottom"/>
          </w:tcPr>
          <w:p>
            <w:pPr>
              <w:spacing w:after="0"/>
              <w:rPr>
                <w:sz w:val="1"/>
                <w:szCs w:val="1"/>
                <w:color w:val="auto"/>
              </w:rPr>
            </w:pPr>
          </w:p>
        </w:tc>
      </w:tr>
      <w:tr>
        <w:trPr>
          <w:trHeight w:val="216"/>
        </w:trPr>
        <w:tc>
          <w:tcPr>
            <w:tcW w:w="4580" w:type="dxa"/>
            <w:vAlign w:val="bottom"/>
            <w:tcBorders>
              <w:bottom w:val="single" w:sz="8" w:color="E5FFFF"/>
            </w:tcBorders>
          </w:tcPr>
          <w:p>
            <w:pPr>
              <w:spacing w:after="0"/>
              <w:rPr>
                <w:sz w:val="20"/>
                <w:szCs w:val="20"/>
                <w:color w:val="auto"/>
              </w:rPr>
            </w:pPr>
            <w:r>
              <w:rPr>
                <w:rFonts w:ascii="Arial" w:cs="Arial" w:eastAsia="Arial" w:hAnsi="Arial"/>
                <w:sz w:val="18"/>
                <w:szCs w:val="18"/>
                <w:color w:val="auto"/>
              </w:rPr>
              <w:t>Amortization of prior service (credit)</w:t>
            </w:r>
          </w:p>
        </w:tc>
        <w:tc>
          <w:tcPr>
            <w:tcW w:w="360" w:type="dxa"/>
            <w:vAlign w:val="bottom"/>
            <w:tcBorders>
              <w:bottom w:val="single" w:sz="8" w:color="E5FFFF"/>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360" w:type="dxa"/>
            <w:vAlign w:val="bottom"/>
            <w:tcBorders>
              <w:bottom w:val="single" w:sz="8" w:color="E5FFFF"/>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340" w:type="dxa"/>
            <w:vAlign w:val="bottom"/>
            <w:tcBorders>
              <w:bottom w:val="single" w:sz="8" w:color="E5FF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320" w:type="dxa"/>
            <w:vAlign w:val="bottom"/>
            <w:tcBorders>
              <w:bottom w:val="single" w:sz="8" w:color="E5FF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23"/>
        </w:trPr>
        <w:tc>
          <w:tcPr>
            <w:tcW w:w="4580" w:type="dxa"/>
            <w:vAlign w:val="bottom"/>
            <w:shd w:val="clear" w:color="auto" w:fill="E5FFFF"/>
          </w:tcPr>
          <w:p>
            <w:pPr>
              <w:spacing w:after="0"/>
              <w:rPr>
                <w:sz w:val="19"/>
                <w:szCs w:val="19"/>
                <w:color w:val="auto"/>
              </w:rPr>
            </w:pPr>
          </w:p>
        </w:tc>
        <w:tc>
          <w:tcPr>
            <w:tcW w:w="1240" w:type="dxa"/>
            <w:vAlign w:val="bottom"/>
            <w:gridSpan w:val="2"/>
            <w:shd w:val="clear" w:color="auto" w:fill="E5FFFF"/>
          </w:tcPr>
          <w:p>
            <w:pPr>
              <w:jc w:val="right"/>
              <w:ind w:right="702"/>
              <w:spacing w:after="0"/>
              <w:rPr>
                <w:sz w:val="20"/>
                <w:szCs w:val="20"/>
                <w:color w:val="auto"/>
              </w:rPr>
            </w:pPr>
            <w:r>
              <w:rPr>
                <w:rFonts w:ascii="Arial" w:cs="Arial" w:eastAsia="Arial" w:hAnsi="Arial"/>
                <w:sz w:val="18"/>
                <w:szCs w:val="18"/>
                <w:color w:val="auto"/>
              </w:rPr>
              <w:t>$</w:t>
            </w:r>
          </w:p>
        </w:tc>
        <w:tc>
          <w:tcPr>
            <w:tcW w:w="500" w:type="dxa"/>
            <w:vAlign w:val="bottom"/>
            <w:shd w:val="clear" w:color="auto" w:fill="E5FFFF"/>
          </w:tcPr>
          <w:p>
            <w:pPr>
              <w:jc w:val="right"/>
              <w:spacing w:after="0"/>
              <w:rPr>
                <w:sz w:val="20"/>
                <w:szCs w:val="20"/>
                <w:color w:val="auto"/>
              </w:rPr>
            </w:pPr>
            <w:r>
              <w:rPr>
                <w:rFonts w:ascii="Arial" w:cs="Arial" w:eastAsia="Arial" w:hAnsi="Arial"/>
                <w:sz w:val="18"/>
                <w:szCs w:val="18"/>
                <w:color w:val="auto"/>
                <w:w w:val="99"/>
              </w:rPr>
              <w:t>(189)</w:t>
            </w:r>
          </w:p>
        </w:tc>
        <w:tc>
          <w:tcPr>
            <w:tcW w:w="1220" w:type="dxa"/>
            <w:vAlign w:val="bottom"/>
            <w:gridSpan w:val="2"/>
            <w:shd w:val="clear" w:color="auto" w:fill="E5FFFF"/>
          </w:tcPr>
          <w:p>
            <w:pPr>
              <w:jc w:val="right"/>
              <w:ind w:right="670"/>
              <w:spacing w:after="0"/>
              <w:rPr>
                <w:sz w:val="20"/>
                <w:szCs w:val="20"/>
                <w:color w:val="auto"/>
              </w:rPr>
            </w:pPr>
            <w:r>
              <w:rPr>
                <w:rFonts w:ascii="Arial" w:cs="Arial" w:eastAsia="Arial" w:hAnsi="Arial"/>
                <w:sz w:val="18"/>
                <w:szCs w:val="18"/>
                <w:color w:val="auto"/>
              </w:rPr>
              <w:t>$</w:t>
            </w:r>
          </w:p>
        </w:tc>
        <w:tc>
          <w:tcPr>
            <w:tcW w:w="500" w:type="dxa"/>
            <w:vAlign w:val="bottom"/>
            <w:shd w:val="clear" w:color="auto" w:fill="E5FFFF"/>
          </w:tcPr>
          <w:p>
            <w:pPr>
              <w:jc w:val="right"/>
              <w:spacing w:after="0"/>
              <w:rPr>
                <w:sz w:val="20"/>
                <w:szCs w:val="20"/>
                <w:color w:val="auto"/>
              </w:rPr>
            </w:pPr>
            <w:r>
              <w:rPr>
                <w:rFonts w:ascii="Arial" w:cs="Arial" w:eastAsia="Arial" w:hAnsi="Arial"/>
                <w:sz w:val="18"/>
                <w:szCs w:val="18"/>
                <w:color w:val="auto"/>
              </w:rPr>
              <w:t>(137)</w:t>
            </w:r>
          </w:p>
        </w:tc>
        <w:tc>
          <w:tcPr>
            <w:tcW w:w="760" w:type="dxa"/>
            <w:vAlign w:val="bottom"/>
            <w:gridSpan w:val="2"/>
            <w:shd w:val="clear" w:color="auto" w:fill="E5FFFF"/>
          </w:tcPr>
          <w:p>
            <w:pPr>
              <w:jc w:val="right"/>
              <w:ind w:right="230"/>
              <w:spacing w:after="0"/>
              <w:rPr>
                <w:sz w:val="20"/>
                <w:szCs w:val="20"/>
                <w:color w:val="auto"/>
              </w:rPr>
            </w:pPr>
            <w:r>
              <w:rPr>
                <w:rFonts w:ascii="Arial" w:cs="Arial" w:eastAsia="Arial" w:hAnsi="Arial"/>
                <w:sz w:val="18"/>
                <w:szCs w:val="18"/>
                <w:color w:val="auto"/>
              </w:rPr>
              <w:t>$</w:t>
            </w:r>
          </w:p>
        </w:tc>
        <w:tc>
          <w:tcPr>
            <w:tcW w:w="940" w:type="dxa"/>
            <w:vAlign w:val="bottom"/>
            <w:shd w:val="clear" w:color="auto" w:fill="E5FFFF"/>
          </w:tcPr>
          <w:p>
            <w:pPr>
              <w:jc w:val="right"/>
              <w:spacing w:after="0"/>
              <w:rPr>
                <w:sz w:val="20"/>
                <w:szCs w:val="20"/>
                <w:color w:val="auto"/>
              </w:rPr>
            </w:pPr>
            <w:r>
              <w:rPr>
                <w:rFonts w:ascii="Arial" w:cs="Arial" w:eastAsia="Arial" w:hAnsi="Arial"/>
                <w:sz w:val="18"/>
                <w:szCs w:val="18"/>
                <w:color w:val="auto"/>
              </w:rPr>
              <w:t>(379)</w:t>
            </w:r>
          </w:p>
        </w:tc>
        <w:tc>
          <w:tcPr>
            <w:tcW w:w="820" w:type="dxa"/>
            <w:vAlign w:val="bottom"/>
            <w:gridSpan w:val="2"/>
            <w:shd w:val="clear" w:color="auto" w:fill="E5FFFF"/>
          </w:tcPr>
          <w:p>
            <w:pPr>
              <w:jc w:val="right"/>
              <w:ind w:right="310"/>
              <w:spacing w:after="0"/>
              <w:rPr>
                <w:sz w:val="20"/>
                <w:szCs w:val="20"/>
                <w:color w:val="auto"/>
              </w:rPr>
            </w:pPr>
            <w:r>
              <w:rPr>
                <w:rFonts w:ascii="Arial" w:cs="Arial" w:eastAsia="Arial" w:hAnsi="Arial"/>
                <w:sz w:val="18"/>
                <w:szCs w:val="18"/>
                <w:color w:val="auto"/>
              </w:rPr>
              <w:t>$</w:t>
            </w:r>
          </w:p>
        </w:tc>
        <w:tc>
          <w:tcPr>
            <w:tcW w:w="860" w:type="dxa"/>
            <w:vAlign w:val="bottom"/>
            <w:shd w:val="clear" w:color="auto" w:fill="E5FFFF"/>
          </w:tcPr>
          <w:p>
            <w:pPr>
              <w:jc w:val="right"/>
              <w:spacing w:after="0"/>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20"/>
        </w:trPr>
        <w:tc>
          <w:tcPr>
            <w:tcW w:w="4580" w:type="dxa"/>
            <w:vAlign w:val="bottom"/>
            <w:tcBorders>
              <w:top w:val="single" w:sz="8" w:color="E5FFFF"/>
            </w:tcBorders>
          </w:tcPr>
          <w:p>
            <w:pPr>
              <w:spacing w:after="0" w:line="20" w:lineRule="exact"/>
              <w:rPr>
                <w:sz w:val="1"/>
                <w:szCs w:val="1"/>
                <w:color w:val="auto"/>
              </w:rPr>
            </w:pPr>
          </w:p>
        </w:tc>
        <w:tc>
          <w:tcPr>
            <w:tcW w:w="360" w:type="dxa"/>
            <w:vAlign w:val="bottom"/>
            <w:tcBorders>
              <w:top w:val="single" w:sz="8" w:color="E5FF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E5FF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E5FF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E5FF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580" w:type="dxa"/>
            <w:vAlign w:val="bottom"/>
            <w:tcBorders>
              <w:bottom w:val="single" w:sz="8" w:color="E5FFFF"/>
            </w:tcBorders>
          </w:tcPr>
          <w:p>
            <w:pPr>
              <w:spacing w:after="0"/>
              <w:rPr>
                <w:sz w:val="24"/>
                <w:szCs w:val="24"/>
                <w:color w:val="auto"/>
              </w:rPr>
            </w:pPr>
          </w:p>
        </w:tc>
        <w:tc>
          <w:tcPr>
            <w:tcW w:w="360" w:type="dxa"/>
            <w:vAlign w:val="bottom"/>
            <w:tcBorders>
              <w:bottom w:val="single" w:sz="8" w:color="E5FFFF"/>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Non-U.S. Plans</w:t>
            </w:r>
          </w:p>
        </w:tc>
        <w:tc>
          <w:tcPr>
            <w:tcW w:w="9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4580" w:type="dxa"/>
            <w:vAlign w:val="bottom"/>
            <w:shd w:val="clear" w:color="auto" w:fill="E5FFFF"/>
          </w:tcPr>
          <w:p>
            <w:pPr>
              <w:spacing w:after="0"/>
              <w:rPr>
                <w:sz w:val="13"/>
                <w:szCs w:val="13"/>
                <w:color w:val="auto"/>
              </w:rPr>
            </w:pPr>
          </w:p>
        </w:tc>
        <w:tc>
          <w:tcPr>
            <w:tcW w:w="360" w:type="dxa"/>
            <w:vAlign w:val="bottom"/>
            <w:shd w:val="clear" w:color="auto" w:fill="E5FFFF"/>
          </w:tcPr>
          <w:p>
            <w:pPr>
              <w:spacing w:after="0"/>
              <w:rPr>
                <w:sz w:val="13"/>
                <w:szCs w:val="13"/>
                <w:color w:val="auto"/>
              </w:rPr>
            </w:pPr>
          </w:p>
        </w:tc>
        <w:tc>
          <w:tcPr>
            <w:tcW w:w="2600" w:type="dxa"/>
            <w:vAlign w:val="bottom"/>
            <w:gridSpan w:val="4"/>
            <w:shd w:val="clear" w:color="auto" w:fill="E5FFFF"/>
          </w:tcPr>
          <w:p>
            <w:pPr>
              <w:jc w:val="right"/>
              <w:ind w:right="250"/>
              <w:spacing w:after="0" w:line="155" w:lineRule="exact"/>
              <w:rPr>
                <w:sz w:val="20"/>
                <w:szCs w:val="20"/>
                <w:color w:val="auto"/>
              </w:rPr>
            </w:pPr>
            <w:r>
              <w:rPr>
                <w:rFonts w:ascii="Arial" w:cs="Arial" w:eastAsia="Arial" w:hAnsi="Arial"/>
                <w:sz w:val="14"/>
                <w:szCs w:val="14"/>
                <w:b w:val="1"/>
                <w:bCs w:val="1"/>
                <w:color w:val="auto"/>
              </w:rPr>
              <w:t>Three Months Ended</w:t>
            </w:r>
          </w:p>
        </w:tc>
        <w:tc>
          <w:tcPr>
            <w:tcW w:w="500" w:type="dxa"/>
            <w:vAlign w:val="bottom"/>
            <w:shd w:val="clear" w:color="auto" w:fill="E5FFFF"/>
          </w:tcPr>
          <w:p>
            <w:pPr>
              <w:spacing w:after="0"/>
              <w:rPr>
                <w:sz w:val="13"/>
                <w:szCs w:val="13"/>
                <w:color w:val="auto"/>
              </w:rPr>
            </w:pPr>
          </w:p>
        </w:tc>
        <w:tc>
          <w:tcPr>
            <w:tcW w:w="340" w:type="dxa"/>
            <w:vAlign w:val="bottom"/>
            <w:shd w:val="clear" w:color="auto" w:fill="E5FFFF"/>
          </w:tcPr>
          <w:p>
            <w:pPr>
              <w:spacing w:after="0"/>
              <w:rPr>
                <w:sz w:val="13"/>
                <w:szCs w:val="13"/>
                <w:color w:val="auto"/>
              </w:rPr>
            </w:pPr>
          </w:p>
        </w:tc>
        <w:tc>
          <w:tcPr>
            <w:tcW w:w="420" w:type="dxa"/>
            <w:vAlign w:val="bottom"/>
            <w:shd w:val="clear" w:color="auto" w:fill="E5FFFF"/>
          </w:tcPr>
          <w:p>
            <w:pPr>
              <w:spacing w:after="0"/>
              <w:rPr>
                <w:sz w:val="13"/>
                <w:szCs w:val="13"/>
                <w:color w:val="auto"/>
              </w:rPr>
            </w:pPr>
          </w:p>
        </w:tc>
        <w:tc>
          <w:tcPr>
            <w:tcW w:w="1760" w:type="dxa"/>
            <w:vAlign w:val="bottom"/>
            <w:gridSpan w:val="3"/>
            <w:shd w:val="clear" w:color="auto" w:fill="E5FFFF"/>
          </w:tcPr>
          <w:p>
            <w:pPr>
              <w:jc w:val="center"/>
              <w:ind w:left="357"/>
              <w:spacing w:after="0" w:line="155" w:lineRule="exact"/>
              <w:rPr>
                <w:sz w:val="20"/>
                <w:szCs w:val="20"/>
                <w:color w:val="auto"/>
              </w:rPr>
            </w:pPr>
            <w:r>
              <w:rPr>
                <w:rFonts w:ascii="Arial" w:cs="Arial" w:eastAsia="Arial" w:hAnsi="Arial"/>
                <w:sz w:val="14"/>
                <w:szCs w:val="14"/>
                <w:b w:val="1"/>
                <w:bCs w:val="1"/>
                <w:color w:val="auto"/>
              </w:rPr>
              <w:t>Six Months Ended</w:t>
            </w:r>
          </w:p>
        </w:tc>
        <w:tc>
          <w:tcPr>
            <w:tcW w:w="860" w:type="dxa"/>
            <w:vAlign w:val="bottom"/>
            <w:shd w:val="clear" w:color="auto" w:fill="E5FF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580" w:type="dxa"/>
            <w:vAlign w:val="bottom"/>
            <w:tcBorders>
              <w:bottom w:val="single" w:sz="8" w:color="E5FFFF"/>
            </w:tcBorders>
          </w:tcPr>
          <w:p>
            <w:pPr>
              <w:spacing w:after="0"/>
              <w:rPr>
                <w:sz w:val="14"/>
                <w:szCs w:val="14"/>
                <w:color w:val="auto"/>
              </w:rPr>
            </w:pPr>
          </w:p>
        </w:tc>
        <w:tc>
          <w:tcPr>
            <w:tcW w:w="360" w:type="dxa"/>
            <w:vAlign w:val="bottom"/>
            <w:tcBorders>
              <w:bottom w:val="single" w:sz="8" w:color="E5FFFF"/>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3"/>
          </w:tcPr>
          <w:p>
            <w:pPr>
              <w:jc w:val="right"/>
              <w:ind w:right="670"/>
              <w:spacing w:after="0"/>
              <w:rPr>
                <w:sz w:val="20"/>
                <w:szCs w:val="20"/>
                <w:color w:val="auto"/>
              </w:rPr>
            </w:pPr>
            <w:r>
              <w:rPr>
                <w:rFonts w:ascii="Arial" w:cs="Arial" w:eastAsia="Arial" w:hAnsi="Arial"/>
                <w:sz w:val="14"/>
                <w:szCs w:val="14"/>
                <w:b w:val="1"/>
                <w:bCs w:val="1"/>
                <w:color w:val="auto"/>
              </w:rPr>
              <w:t>June 30,</w:t>
            </w:r>
          </w:p>
        </w:tc>
        <w:tc>
          <w:tcPr>
            <w:tcW w:w="500" w:type="dxa"/>
            <w:vAlign w:val="bottom"/>
            <w:tcBorders>
              <w:bottom w:val="single" w:sz="8" w:color="auto"/>
            </w:tcBorders>
          </w:tcPr>
          <w:p>
            <w:pPr>
              <w:spacing w:after="0"/>
              <w:rPr>
                <w:sz w:val="14"/>
                <w:szCs w:val="14"/>
                <w:color w:val="auto"/>
              </w:rPr>
            </w:pPr>
          </w:p>
        </w:tc>
        <w:tc>
          <w:tcPr>
            <w:tcW w:w="340" w:type="dxa"/>
            <w:vAlign w:val="bottom"/>
            <w:tcBorders>
              <w:bottom w:val="single" w:sz="8" w:color="E5FFFF"/>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3"/>
          </w:tcPr>
          <w:p>
            <w:pPr>
              <w:jc w:val="center"/>
              <w:ind w:left="357"/>
              <w:spacing w:after="0"/>
              <w:rPr>
                <w:sz w:val="20"/>
                <w:szCs w:val="20"/>
                <w:color w:val="auto"/>
              </w:rPr>
            </w:pPr>
            <w:r>
              <w:rPr>
                <w:rFonts w:ascii="Arial" w:cs="Arial" w:eastAsia="Arial" w:hAnsi="Arial"/>
                <w:sz w:val="14"/>
                <w:szCs w:val="14"/>
                <w:b w:val="1"/>
                <w:bCs w:val="1"/>
                <w:color w:val="auto"/>
                <w:w w:val="99"/>
              </w:rPr>
              <w:t>June 30,</w:t>
            </w:r>
          </w:p>
        </w:tc>
        <w:tc>
          <w:tcPr>
            <w:tcW w:w="8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580" w:type="dxa"/>
            <w:vAlign w:val="bottom"/>
            <w:vMerge w:val="restart"/>
            <w:shd w:val="clear" w:color="auto" w:fill="E5FFFF"/>
          </w:tcPr>
          <w:p>
            <w:pPr>
              <w:spacing w:after="0"/>
              <w:rPr>
                <w:sz w:val="20"/>
                <w:szCs w:val="20"/>
                <w:color w:val="auto"/>
              </w:rPr>
            </w:pPr>
            <w:r>
              <w:rPr>
                <w:rFonts w:ascii="Arial" w:cs="Arial" w:eastAsia="Arial" w:hAnsi="Arial"/>
                <w:sz w:val="18"/>
                <w:szCs w:val="18"/>
                <w:color w:val="auto"/>
              </w:rPr>
              <w:t>Service cost</w:t>
            </w:r>
          </w:p>
        </w:tc>
        <w:tc>
          <w:tcPr>
            <w:tcW w:w="360" w:type="dxa"/>
            <w:vAlign w:val="bottom"/>
            <w:shd w:val="clear" w:color="auto" w:fill="E5FFFF"/>
          </w:tcPr>
          <w:p>
            <w:pPr>
              <w:spacing w:after="0"/>
              <w:rPr>
                <w:sz w:val="13"/>
                <w:szCs w:val="13"/>
                <w:color w:val="auto"/>
              </w:rPr>
            </w:pPr>
          </w:p>
        </w:tc>
        <w:tc>
          <w:tcPr>
            <w:tcW w:w="880" w:type="dxa"/>
            <w:vAlign w:val="bottom"/>
            <w:shd w:val="clear" w:color="auto" w:fill="E5FFFF"/>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500" w:type="dxa"/>
            <w:vAlign w:val="bottom"/>
            <w:shd w:val="clear" w:color="auto" w:fill="E5FFFF"/>
          </w:tcPr>
          <w:p>
            <w:pPr>
              <w:spacing w:after="0"/>
              <w:rPr>
                <w:sz w:val="13"/>
                <w:szCs w:val="13"/>
                <w:color w:val="auto"/>
              </w:rPr>
            </w:pPr>
          </w:p>
        </w:tc>
        <w:tc>
          <w:tcPr>
            <w:tcW w:w="1220" w:type="dxa"/>
            <w:vAlign w:val="bottom"/>
            <w:gridSpan w:val="2"/>
            <w:shd w:val="clear" w:color="auto" w:fill="E5FFFF"/>
          </w:tcPr>
          <w:p>
            <w:pPr>
              <w:jc w:val="right"/>
              <w:spacing w:after="0" w:line="155" w:lineRule="exact"/>
              <w:rPr>
                <w:sz w:val="20"/>
                <w:szCs w:val="20"/>
                <w:color w:val="auto"/>
              </w:rPr>
            </w:pPr>
            <w:r>
              <w:rPr>
                <w:rFonts w:ascii="Arial" w:cs="Arial" w:eastAsia="Arial" w:hAnsi="Arial"/>
                <w:sz w:val="14"/>
                <w:szCs w:val="14"/>
                <w:b w:val="1"/>
                <w:bCs w:val="1"/>
                <w:color w:val="auto"/>
              </w:rPr>
              <w:t>2017</w:t>
            </w:r>
          </w:p>
        </w:tc>
        <w:tc>
          <w:tcPr>
            <w:tcW w:w="500" w:type="dxa"/>
            <w:vAlign w:val="bottom"/>
            <w:shd w:val="clear" w:color="auto" w:fill="E5FFFF"/>
          </w:tcPr>
          <w:p>
            <w:pPr>
              <w:spacing w:after="0"/>
              <w:rPr>
                <w:sz w:val="13"/>
                <w:szCs w:val="13"/>
                <w:color w:val="auto"/>
              </w:rPr>
            </w:pPr>
          </w:p>
        </w:tc>
        <w:tc>
          <w:tcPr>
            <w:tcW w:w="340" w:type="dxa"/>
            <w:vAlign w:val="bottom"/>
            <w:shd w:val="clear" w:color="auto" w:fill="E5FFFF"/>
          </w:tcPr>
          <w:p>
            <w:pPr>
              <w:spacing w:after="0"/>
              <w:rPr>
                <w:sz w:val="13"/>
                <w:szCs w:val="13"/>
                <w:color w:val="auto"/>
              </w:rPr>
            </w:pPr>
          </w:p>
        </w:tc>
        <w:tc>
          <w:tcPr>
            <w:tcW w:w="420" w:type="dxa"/>
            <w:vAlign w:val="bottom"/>
            <w:shd w:val="clear" w:color="auto" w:fill="E5FFFF"/>
          </w:tcPr>
          <w:p>
            <w:pPr>
              <w:spacing w:after="0"/>
              <w:rPr>
                <w:sz w:val="13"/>
                <w:szCs w:val="13"/>
                <w:color w:val="auto"/>
              </w:rPr>
            </w:pPr>
          </w:p>
        </w:tc>
        <w:tc>
          <w:tcPr>
            <w:tcW w:w="940" w:type="dxa"/>
            <w:vAlign w:val="bottom"/>
            <w:shd w:val="clear" w:color="auto" w:fill="E5FFFF"/>
          </w:tcPr>
          <w:p>
            <w:pPr>
              <w:jc w:val="right"/>
              <w:ind w:right="437"/>
              <w:spacing w:after="0" w:line="155" w:lineRule="exact"/>
              <w:rPr>
                <w:sz w:val="20"/>
                <w:szCs w:val="20"/>
                <w:color w:val="auto"/>
              </w:rPr>
            </w:pPr>
            <w:r>
              <w:rPr>
                <w:rFonts w:ascii="Arial" w:cs="Arial" w:eastAsia="Arial" w:hAnsi="Arial"/>
                <w:sz w:val="14"/>
                <w:szCs w:val="14"/>
                <w:b w:val="1"/>
                <w:bCs w:val="1"/>
                <w:color w:val="auto"/>
              </w:rPr>
              <w:t>2018</w:t>
            </w:r>
          </w:p>
        </w:tc>
        <w:tc>
          <w:tcPr>
            <w:tcW w:w="320" w:type="dxa"/>
            <w:vAlign w:val="bottom"/>
            <w:shd w:val="clear" w:color="auto" w:fill="E5FFFF"/>
          </w:tcPr>
          <w:p>
            <w:pPr>
              <w:spacing w:after="0"/>
              <w:rPr>
                <w:sz w:val="13"/>
                <w:szCs w:val="13"/>
                <w:color w:val="auto"/>
              </w:rPr>
            </w:pPr>
          </w:p>
        </w:tc>
        <w:tc>
          <w:tcPr>
            <w:tcW w:w="500" w:type="dxa"/>
            <w:vAlign w:val="bottom"/>
            <w:shd w:val="clear" w:color="auto" w:fill="E5FFFF"/>
          </w:tcPr>
          <w:p>
            <w:pPr>
              <w:spacing w:after="0"/>
              <w:rPr>
                <w:sz w:val="13"/>
                <w:szCs w:val="13"/>
                <w:color w:val="auto"/>
              </w:rPr>
            </w:pPr>
          </w:p>
        </w:tc>
        <w:tc>
          <w:tcPr>
            <w:tcW w:w="860" w:type="dxa"/>
            <w:vAlign w:val="bottom"/>
            <w:shd w:val="clear" w:color="auto" w:fill="E5FFFF"/>
          </w:tcPr>
          <w:p>
            <w:pPr>
              <w:jc w:val="right"/>
              <w:ind w:right="433"/>
              <w:spacing w:after="0" w:line="155" w:lineRule="exact"/>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196"/>
        </w:trPr>
        <w:tc>
          <w:tcPr>
            <w:tcW w:w="4580" w:type="dxa"/>
            <w:vAlign w:val="bottom"/>
            <w:tcBorders>
              <w:top w:val="single" w:sz="8" w:color="E5FFFF"/>
            </w:tcBorders>
            <w:vMerge w:val="continue"/>
            <w:shd w:val="clear" w:color="auto" w:fill="E5FFFF"/>
          </w:tcPr>
          <w:p>
            <w:pPr>
              <w:spacing w:after="0"/>
              <w:rPr>
                <w:sz w:val="17"/>
                <w:szCs w:val="17"/>
                <w:color w:val="auto"/>
              </w:rPr>
            </w:pPr>
          </w:p>
        </w:tc>
        <w:tc>
          <w:tcPr>
            <w:tcW w:w="360" w:type="dxa"/>
            <w:vAlign w:val="bottom"/>
            <w:tcBorders>
              <w:top w:val="single" w:sz="8" w:color="E5FFFF"/>
            </w:tcBorders>
            <w:shd w:val="clear" w:color="auto" w:fill="E5FFFF"/>
          </w:tcPr>
          <w:p>
            <w:pPr>
              <w:spacing w:after="0"/>
              <w:rPr>
                <w:sz w:val="17"/>
                <w:szCs w:val="17"/>
                <w:color w:val="auto"/>
              </w:rPr>
            </w:pPr>
          </w:p>
        </w:tc>
        <w:tc>
          <w:tcPr>
            <w:tcW w:w="880" w:type="dxa"/>
            <w:vAlign w:val="bottom"/>
            <w:tcBorders>
              <w:top w:val="single" w:sz="8" w:color="auto"/>
            </w:tcBorders>
            <w:shd w:val="clear" w:color="auto" w:fill="E5FFFF"/>
          </w:tcPr>
          <w:p>
            <w:pPr>
              <w:jc w:val="right"/>
              <w:ind w:right="702"/>
              <w:spacing w:after="0" w:line="196" w:lineRule="exact"/>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E5FFFF"/>
          </w:tcPr>
          <w:p>
            <w:pPr>
              <w:jc w:val="right"/>
              <w:ind w:right="33"/>
              <w:spacing w:after="0" w:line="196" w:lineRule="exact"/>
              <w:rPr>
                <w:sz w:val="20"/>
                <w:szCs w:val="20"/>
                <w:color w:val="auto"/>
              </w:rPr>
            </w:pPr>
            <w:r>
              <w:rPr>
                <w:rFonts w:ascii="Arial" w:cs="Arial" w:eastAsia="Arial" w:hAnsi="Arial"/>
                <w:sz w:val="18"/>
                <w:szCs w:val="18"/>
                <w:color w:val="auto"/>
              </w:rPr>
              <w:t>7</w:t>
            </w:r>
          </w:p>
        </w:tc>
        <w:tc>
          <w:tcPr>
            <w:tcW w:w="360" w:type="dxa"/>
            <w:vAlign w:val="bottom"/>
            <w:tcBorders>
              <w:top w:val="single" w:sz="8" w:color="E5FFFF"/>
            </w:tcBorders>
            <w:shd w:val="clear" w:color="auto" w:fill="E5FFFF"/>
          </w:tcPr>
          <w:p>
            <w:pPr>
              <w:spacing w:after="0"/>
              <w:rPr>
                <w:sz w:val="17"/>
                <w:szCs w:val="17"/>
                <w:color w:val="auto"/>
              </w:rPr>
            </w:pPr>
          </w:p>
        </w:tc>
        <w:tc>
          <w:tcPr>
            <w:tcW w:w="860" w:type="dxa"/>
            <w:vAlign w:val="bottom"/>
            <w:tcBorders>
              <w:top w:val="single" w:sz="8" w:color="auto"/>
            </w:tcBorders>
            <w:shd w:val="clear" w:color="auto" w:fill="E5FFFF"/>
          </w:tcPr>
          <w:p>
            <w:pPr>
              <w:jc w:val="right"/>
              <w:ind w:right="670"/>
              <w:spacing w:after="0" w:line="196" w:lineRule="exact"/>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E5FFFF"/>
          </w:tcPr>
          <w:p>
            <w:pPr>
              <w:jc w:val="right"/>
              <w:ind w:right="13"/>
              <w:spacing w:after="0" w:line="196" w:lineRule="exact"/>
              <w:rPr>
                <w:sz w:val="20"/>
                <w:szCs w:val="20"/>
                <w:color w:val="auto"/>
              </w:rPr>
            </w:pPr>
            <w:r>
              <w:rPr>
                <w:rFonts w:ascii="Arial" w:cs="Arial" w:eastAsia="Arial" w:hAnsi="Arial"/>
                <w:sz w:val="18"/>
                <w:szCs w:val="18"/>
                <w:color w:val="auto"/>
              </w:rPr>
              <w:t>10</w:t>
            </w:r>
          </w:p>
        </w:tc>
        <w:tc>
          <w:tcPr>
            <w:tcW w:w="340" w:type="dxa"/>
            <w:vAlign w:val="bottom"/>
            <w:tcBorders>
              <w:top w:val="single" w:sz="8" w:color="E5FFFF"/>
            </w:tcBorders>
            <w:shd w:val="clear" w:color="auto" w:fill="E5FFFF"/>
          </w:tcPr>
          <w:p>
            <w:pPr>
              <w:spacing w:after="0"/>
              <w:rPr>
                <w:sz w:val="17"/>
                <w:szCs w:val="17"/>
                <w:color w:val="auto"/>
              </w:rPr>
            </w:pPr>
          </w:p>
        </w:tc>
        <w:tc>
          <w:tcPr>
            <w:tcW w:w="420" w:type="dxa"/>
            <w:vAlign w:val="bottom"/>
            <w:tcBorders>
              <w:top w:val="single" w:sz="8" w:color="auto"/>
            </w:tcBorders>
            <w:shd w:val="clear" w:color="auto" w:fill="E5FFFF"/>
          </w:tcPr>
          <w:p>
            <w:pPr>
              <w:jc w:val="right"/>
              <w:ind w:right="23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E5FFFF"/>
          </w:tcPr>
          <w:p>
            <w:pPr>
              <w:jc w:val="right"/>
              <w:ind w:right="37"/>
              <w:spacing w:after="0" w:line="196" w:lineRule="exact"/>
              <w:rPr>
                <w:sz w:val="20"/>
                <w:szCs w:val="20"/>
                <w:color w:val="auto"/>
              </w:rPr>
            </w:pPr>
            <w:r>
              <w:rPr>
                <w:rFonts w:ascii="Arial" w:cs="Arial" w:eastAsia="Arial" w:hAnsi="Arial"/>
                <w:sz w:val="18"/>
                <w:szCs w:val="18"/>
                <w:color w:val="auto"/>
              </w:rPr>
              <w:t>14</w:t>
            </w:r>
          </w:p>
        </w:tc>
        <w:tc>
          <w:tcPr>
            <w:tcW w:w="320" w:type="dxa"/>
            <w:vAlign w:val="bottom"/>
            <w:tcBorders>
              <w:top w:val="single" w:sz="8" w:color="E5FFFF"/>
            </w:tcBorders>
            <w:shd w:val="clear" w:color="auto" w:fill="E5FFFF"/>
          </w:tcPr>
          <w:p>
            <w:pPr>
              <w:spacing w:after="0"/>
              <w:rPr>
                <w:sz w:val="17"/>
                <w:szCs w:val="17"/>
                <w:color w:val="auto"/>
              </w:rPr>
            </w:pPr>
          </w:p>
        </w:tc>
        <w:tc>
          <w:tcPr>
            <w:tcW w:w="500" w:type="dxa"/>
            <w:vAlign w:val="bottom"/>
            <w:tcBorders>
              <w:top w:val="single" w:sz="8" w:color="auto"/>
            </w:tcBorders>
            <w:shd w:val="clear" w:color="auto" w:fill="E5FFFF"/>
          </w:tcPr>
          <w:p>
            <w:pPr>
              <w:jc w:val="right"/>
              <w:ind w:right="310"/>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E5FFFF"/>
          </w:tcPr>
          <w:p>
            <w:pPr>
              <w:jc w:val="right"/>
              <w:ind w:right="13"/>
              <w:spacing w:after="0" w:line="196"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3"/>
        </w:trPr>
        <w:tc>
          <w:tcPr>
            <w:tcW w:w="4580" w:type="dxa"/>
            <w:vAlign w:val="bottom"/>
          </w:tcPr>
          <w:p>
            <w:pPr>
              <w:spacing w:after="0" w:line="202" w:lineRule="exact"/>
              <w:rPr>
                <w:sz w:val="20"/>
                <w:szCs w:val="20"/>
                <w:color w:val="auto"/>
              </w:rPr>
            </w:pPr>
            <w:r>
              <w:rPr>
                <w:rFonts w:ascii="Arial" w:cs="Arial" w:eastAsia="Arial" w:hAnsi="Arial"/>
                <w:sz w:val="18"/>
                <w:szCs w:val="18"/>
                <w:color w:val="auto"/>
              </w:rPr>
              <w:t>Interest cost</w:t>
            </w:r>
          </w:p>
        </w:tc>
        <w:tc>
          <w:tcPr>
            <w:tcW w:w="3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00" w:type="dxa"/>
            <w:vAlign w:val="bottom"/>
          </w:tcPr>
          <w:p>
            <w:pPr>
              <w:jc w:val="right"/>
              <w:ind w:right="33"/>
              <w:spacing w:after="0" w:line="202" w:lineRule="exact"/>
              <w:rPr>
                <w:sz w:val="20"/>
                <w:szCs w:val="20"/>
                <w:color w:val="auto"/>
              </w:rPr>
            </w:pPr>
            <w:r>
              <w:rPr>
                <w:rFonts w:ascii="Arial" w:cs="Arial" w:eastAsia="Arial" w:hAnsi="Arial"/>
                <w:sz w:val="18"/>
                <w:szCs w:val="18"/>
                <w:color w:val="auto"/>
              </w:rPr>
              <w:t>36</w:t>
            </w:r>
          </w:p>
        </w:tc>
        <w:tc>
          <w:tcPr>
            <w:tcW w:w="3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00" w:type="dxa"/>
            <w:vAlign w:val="bottom"/>
          </w:tcPr>
          <w:p>
            <w:pPr>
              <w:jc w:val="right"/>
              <w:ind w:right="13"/>
              <w:spacing w:after="0" w:line="202" w:lineRule="exact"/>
              <w:rPr>
                <w:sz w:val="20"/>
                <w:szCs w:val="20"/>
                <w:color w:val="auto"/>
              </w:rPr>
            </w:pPr>
            <w:r>
              <w:rPr>
                <w:rFonts w:ascii="Arial" w:cs="Arial" w:eastAsia="Arial" w:hAnsi="Arial"/>
                <w:sz w:val="18"/>
                <w:szCs w:val="18"/>
                <w:color w:val="auto"/>
              </w:rPr>
              <w:t>37</w:t>
            </w: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jc w:val="right"/>
              <w:ind w:right="37"/>
              <w:spacing w:after="0" w:line="202" w:lineRule="exact"/>
              <w:rPr>
                <w:sz w:val="20"/>
                <w:szCs w:val="20"/>
                <w:color w:val="auto"/>
              </w:rPr>
            </w:pPr>
            <w:r>
              <w:rPr>
                <w:rFonts w:ascii="Arial" w:cs="Arial" w:eastAsia="Arial" w:hAnsi="Arial"/>
                <w:sz w:val="18"/>
                <w:szCs w:val="18"/>
                <w:color w:val="auto"/>
              </w:rPr>
              <w:t>73</w:t>
            </w: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03"/>
        </w:trPr>
        <w:tc>
          <w:tcPr>
            <w:tcW w:w="458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Expected return on plan assets</w:t>
            </w:r>
          </w:p>
        </w:tc>
        <w:tc>
          <w:tcPr>
            <w:tcW w:w="360" w:type="dxa"/>
            <w:vAlign w:val="bottom"/>
            <w:shd w:val="clear" w:color="auto" w:fill="E5FFFF"/>
          </w:tcPr>
          <w:p>
            <w:pPr>
              <w:spacing w:after="0"/>
              <w:rPr>
                <w:sz w:val="17"/>
                <w:szCs w:val="17"/>
                <w:color w:val="auto"/>
              </w:rPr>
            </w:pPr>
          </w:p>
        </w:tc>
        <w:tc>
          <w:tcPr>
            <w:tcW w:w="880" w:type="dxa"/>
            <w:vAlign w:val="bottom"/>
            <w:shd w:val="clear" w:color="auto" w:fill="E5FFFF"/>
          </w:tcPr>
          <w:p>
            <w:pPr>
              <w:spacing w:after="0"/>
              <w:rPr>
                <w:sz w:val="17"/>
                <w:szCs w:val="17"/>
                <w:color w:val="auto"/>
              </w:rPr>
            </w:pPr>
          </w:p>
        </w:tc>
        <w:tc>
          <w:tcPr>
            <w:tcW w:w="50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w w:val="99"/>
              </w:rPr>
              <w:t>(114)</w:t>
            </w:r>
          </w:p>
        </w:tc>
        <w:tc>
          <w:tcPr>
            <w:tcW w:w="360" w:type="dxa"/>
            <w:vAlign w:val="bottom"/>
            <w:shd w:val="clear" w:color="auto" w:fill="E5FFFF"/>
          </w:tcPr>
          <w:p>
            <w:pPr>
              <w:spacing w:after="0"/>
              <w:rPr>
                <w:sz w:val="17"/>
                <w:szCs w:val="17"/>
                <w:color w:val="auto"/>
              </w:rPr>
            </w:pPr>
          </w:p>
        </w:tc>
        <w:tc>
          <w:tcPr>
            <w:tcW w:w="860" w:type="dxa"/>
            <w:vAlign w:val="bottom"/>
            <w:shd w:val="clear" w:color="auto" w:fill="E5FFFF"/>
          </w:tcPr>
          <w:p>
            <w:pPr>
              <w:spacing w:after="0"/>
              <w:rPr>
                <w:sz w:val="17"/>
                <w:szCs w:val="17"/>
                <w:color w:val="auto"/>
              </w:rPr>
            </w:pPr>
          </w:p>
        </w:tc>
        <w:tc>
          <w:tcPr>
            <w:tcW w:w="50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(102)</w:t>
            </w:r>
          </w:p>
        </w:tc>
        <w:tc>
          <w:tcPr>
            <w:tcW w:w="340" w:type="dxa"/>
            <w:vAlign w:val="bottom"/>
            <w:shd w:val="clear" w:color="auto" w:fill="E5FFFF"/>
          </w:tcPr>
          <w:p>
            <w:pPr>
              <w:spacing w:after="0"/>
              <w:rPr>
                <w:sz w:val="17"/>
                <w:szCs w:val="17"/>
                <w:color w:val="auto"/>
              </w:rPr>
            </w:pPr>
          </w:p>
        </w:tc>
        <w:tc>
          <w:tcPr>
            <w:tcW w:w="420" w:type="dxa"/>
            <w:vAlign w:val="bottom"/>
            <w:shd w:val="clear" w:color="auto" w:fill="E5FFFF"/>
          </w:tcPr>
          <w:p>
            <w:pPr>
              <w:spacing w:after="0"/>
              <w:rPr>
                <w:sz w:val="17"/>
                <w:szCs w:val="17"/>
                <w:color w:val="auto"/>
              </w:rPr>
            </w:pPr>
          </w:p>
        </w:tc>
        <w:tc>
          <w:tcPr>
            <w:tcW w:w="94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(228)</w:t>
            </w:r>
          </w:p>
        </w:tc>
        <w:tc>
          <w:tcPr>
            <w:tcW w:w="320" w:type="dxa"/>
            <w:vAlign w:val="bottom"/>
            <w:shd w:val="clear" w:color="auto" w:fill="E5FFFF"/>
          </w:tcPr>
          <w:p>
            <w:pPr>
              <w:spacing w:after="0"/>
              <w:rPr>
                <w:sz w:val="17"/>
                <w:szCs w:val="17"/>
                <w:color w:val="auto"/>
              </w:rPr>
            </w:pPr>
          </w:p>
        </w:tc>
        <w:tc>
          <w:tcPr>
            <w:tcW w:w="500" w:type="dxa"/>
            <w:vAlign w:val="bottom"/>
            <w:shd w:val="clear" w:color="auto" w:fill="E5FFFF"/>
          </w:tcPr>
          <w:p>
            <w:pPr>
              <w:spacing w:after="0"/>
              <w:rPr>
                <w:sz w:val="17"/>
                <w:szCs w:val="17"/>
                <w:color w:val="auto"/>
              </w:rPr>
            </w:pPr>
          </w:p>
        </w:tc>
        <w:tc>
          <w:tcPr>
            <w:tcW w:w="86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16"/>
        </w:trPr>
        <w:tc>
          <w:tcPr>
            <w:tcW w:w="4580" w:type="dxa"/>
            <w:vAlign w:val="bottom"/>
            <w:tcBorders>
              <w:bottom w:val="single" w:sz="8" w:color="E5FFFF"/>
            </w:tcBorders>
          </w:tcPr>
          <w:p>
            <w:pPr>
              <w:spacing w:after="0"/>
              <w:rPr>
                <w:sz w:val="20"/>
                <w:szCs w:val="20"/>
                <w:color w:val="auto"/>
              </w:rPr>
            </w:pPr>
            <w:r>
              <w:rPr>
                <w:rFonts w:ascii="Arial" w:cs="Arial" w:eastAsia="Arial" w:hAnsi="Arial"/>
                <w:sz w:val="18"/>
                <w:szCs w:val="18"/>
                <w:color w:val="auto"/>
              </w:rPr>
              <w:t>Amortization of prior service (credit)</w:t>
            </w:r>
          </w:p>
        </w:tc>
        <w:tc>
          <w:tcPr>
            <w:tcW w:w="360" w:type="dxa"/>
            <w:vAlign w:val="bottom"/>
            <w:tcBorders>
              <w:bottom w:val="single" w:sz="8" w:color="E5FFFF"/>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E5FFFF"/>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E5FF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320" w:type="dxa"/>
            <w:vAlign w:val="bottom"/>
            <w:tcBorders>
              <w:bottom w:val="single" w:sz="8" w:color="E5FF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580" w:type="dxa"/>
            <w:vAlign w:val="bottom"/>
            <w:shd w:val="clear" w:color="auto" w:fill="E5FFFF"/>
          </w:tcPr>
          <w:p>
            <w:pPr>
              <w:spacing w:after="0"/>
              <w:rPr>
                <w:sz w:val="19"/>
                <w:szCs w:val="19"/>
                <w:color w:val="auto"/>
              </w:rPr>
            </w:pPr>
          </w:p>
        </w:tc>
        <w:tc>
          <w:tcPr>
            <w:tcW w:w="1240" w:type="dxa"/>
            <w:vAlign w:val="bottom"/>
            <w:gridSpan w:val="2"/>
            <w:shd w:val="clear" w:color="auto" w:fill="E5FFFF"/>
          </w:tcPr>
          <w:p>
            <w:pPr>
              <w:jc w:val="right"/>
              <w:ind w:right="702"/>
              <w:spacing w:after="0"/>
              <w:rPr>
                <w:sz w:val="20"/>
                <w:szCs w:val="20"/>
                <w:color w:val="auto"/>
              </w:rPr>
            </w:pPr>
            <w:r>
              <w:rPr>
                <w:rFonts w:ascii="Arial" w:cs="Arial" w:eastAsia="Arial" w:hAnsi="Arial"/>
                <w:sz w:val="18"/>
                <w:szCs w:val="18"/>
                <w:color w:val="auto"/>
              </w:rPr>
              <w:t>$</w:t>
            </w:r>
          </w:p>
        </w:tc>
        <w:tc>
          <w:tcPr>
            <w:tcW w:w="500" w:type="dxa"/>
            <w:vAlign w:val="bottom"/>
            <w:shd w:val="clear" w:color="auto" w:fill="E5FFFF"/>
          </w:tcPr>
          <w:p>
            <w:pPr>
              <w:jc w:val="right"/>
              <w:spacing w:after="0"/>
              <w:rPr>
                <w:sz w:val="20"/>
                <w:szCs w:val="20"/>
                <w:color w:val="auto"/>
              </w:rPr>
            </w:pPr>
            <w:r>
              <w:rPr>
                <w:rFonts w:ascii="Arial" w:cs="Arial" w:eastAsia="Arial" w:hAnsi="Arial"/>
                <w:sz w:val="18"/>
                <w:szCs w:val="18"/>
                <w:color w:val="auto"/>
              </w:rPr>
              <w:t>(71)</w:t>
            </w:r>
          </w:p>
        </w:tc>
        <w:tc>
          <w:tcPr>
            <w:tcW w:w="1220" w:type="dxa"/>
            <w:vAlign w:val="bottom"/>
            <w:gridSpan w:val="2"/>
            <w:shd w:val="clear" w:color="auto" w:fill="E5FFFF"/>
          </w:tcPr>
          <w:p>
            <w:pPr>
              <w:jc w:val="right"/>
              <w:ind w:right="670"/>
              <w:spacing w:after="0"/>
              <w:rPr>
                <w:sz w:val="20"/>
                <w:szCs w:val="20"/>
                <w:color w:val="auto"/>
              </w:rPr>
            </w:pPr>
            <w:r>
              <w:rPr>
                <w:rFonts w:ascii="Arial" w:cs="Arial" w:eastAsia="Arial" w:hAnsi="Arial"/>
                <w:sz w:val="18"/>
                <w:szCs w:val="18"/>
                <w:color w:val="auto"/>
              </w:rPr>
              <w:t>$</w:t>
            </w:r>
          </w:p>
        </w:tc>
        <w:tc>
          <w:tcPr>
            <w:tcW w:w="500" w:type="dxa"/>
            <w:vAlign w:val="bottom"/>
            <w:shd w:val="clear" w:color="auto" w:fill="E5FFFF"/>
          </w:tcPr>
          <w:p>
            <w:pPr>
              <w:jc w:val="right"/>
              <w:spacing w:after="0"/>
              <w:rPr>
                <w:sz w:val="20"/>
                <w:szCs w:val="20"/>
                <w:color w:val="auto"/>
              </w:rPr>
            </w:pPr>
            <w:r>
              <w:rPr>
                <w:rFonts w:ascii="Arial" w:cs="Arial" w:eastAsia="Arial" w:hAnsi="Arial"/>
                <w:sz w:val="18"/>
                <w:szCs w:val="18"/>
                <w:color w:val="auto"/>
              </w:rPr>
              <w:t>(55)</w:t>
            </w:r>
          </w:p>
        </w:tc>
        <w:tc>
          <w:tcPr>
            <w:tcW w:w="760" w:type="dxa"/>
            <w:vAlign w:val="bottom"/>
            <w:gridSpan w:val="2"/>
            <w:shd w:val="clear" w:color="auto" w:fill="E5FFFF"/>
          </w:tcPr>
          <w:p>
            <w:pPr>
              <w:jc w:val="right"/>
              <w:ind w:right="230"/>
              <w:spacing w:after="0"/>
              <w:rPr>
                <w:sz w:val="20"/>
                <w:szCs w:val="20"/>
                <w:color w:val="auto"/>
              </w:rPr>
            </w:pPr>
            <w:r>
              <w:rPr>
                <w:rFonts w:ascii="Arial" w:cs="Arial" w:eastAsia="Arial" w:hAnsi="Arial"/>
                <w:sz w:val="18"/>
                <w:szCs w:val="18"/>
                <w:color w:val="auto"/>
              </w:rPr>
              <w:t>$</w:t>
            </w:r>
          </w:p>
        </w:tc>
        <w:tc>
          <w:tcPr>
            <w:tcW w:w="940" w:type="dxa"/>
            <w:vAlign w:val="bottom"/>
            <w:shd w:val="clear" w:color="auto" w:fill="E5FFFF"/>
          </w:tcPr>
          <w:p>
            <w:pPr>
              <w:jc w:val="right"/>
              <w:spacing w:after="0"/>
              <w:rPr>
                <w:sz w:val="20"/>
                <w:szCs w:val="20"/>
                <w:color w:val="auto"/>
              </w:rPr>
            </w:pPr>
            <w:r>
              <w:rPr>
                <w:rFonts w:ascii="Arial" w:cs="Arial" w:eastAsia="Arial" w:hAnsi="Arial"/>
                <w:sz w:val="18"/>
                <w:szCs w:val="18"/>
                <w:color w:val="auto"/>
              </w:rPr>
              <w:t>(142)</w:t>
            </w:r>
          </w:p>
        </w:tc>
        <w:tc>
          <w:tcPr>
            <w:tcW w:w="820" w:type="dxa"/>
            <w:vAlign w:val="bottom"/>
            <w:gridSpan w:val="2"/>
            <w:shd w:val="clear" w:color="auto" w:fill="E5FFFF"/>
          </w:tcPr>
          <w:p>
            <w:pPr>
              <w:jc w:val="right"/>
              <w:ind w:right="310"/>
              <w:spacing w:after="0"/>
              <w:rPr>
                <w:sz w:val="20"/>
                <w:szCs w:val="20"/>
                <w:color w:val="auto"/>
              </w:rPr>
            </w:pPr>
            <w:r>
              <w:rPr>
                <w:rFonts w:ascii="Arial" w:cs="Arial" w:eastAsia="Arial" w:hAnsi="Arial"/>
                <w:sz w:val="18"/>
                <w:szCs w:val="18"/>
                <w:color w:val="auto"/>
              </w:rPr>
              <w:t>$</w:t>
            </w:r>
          </w:p>
        </w:tc>
        <w:tc>
          <w:tcPr>
            <w:tcW w:w="860" w:type="dxa"/>
            <w:vAlign w:val="bottom"/>
            <w:shd w:val="clear" w:color="auto" w:fill="E5FFFF"/>
          </w:tcPr>
          <w:p>
            <w:pPr>
              <w:jc w:val="right"/>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0"/>
        </w:trPr>
        <w:tc>
          <w:tcPr>
            <w:tcW w:w="4580" w:type="dxa"/>
            <w:vAlign w:val="bottom"/>
            <w:tcBorders>
              <w:top w:val="single" w:sz="8" w:color="E5FFFF"/>
            </w:tcBorders>
          </w:tcPr>
          <w:p>
            <w:pPr>
              <w:spacing w:after="0" w:line="20" w:lineRule="exact"/>
              <w:rPr>
                <w:sz w:val="1"/>
                <w:szCs w:val="1"/>
                <w:color w:val="auto"/>
              </w:rPr>
            </w:pPr>
          </w:p>
        </w:tc>
        <w:tc>
          <w:tcPr>
            <w:tcW w:w="360" w:type="dxa"/>
            <w:vAlign w:val="bottom"/>
            <w:tcBorders>
              <w:top w:val="single" w:sz="8" w:color="E5FF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E5FF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E5FF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E5FF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-1139825</wp:posOffset>
            </wp:positionV>
            <wp:extent cx="7246620" cy="42862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428625"/>
                    </a:xfrm>
                    <a:prstGeom prst="rect">
                      <a:avLst/>
                    </a:prstGeom>
                    <a:noFill/>
                  </pic:spPr>
                </pic:pic>
              </a:graphicData>
            </a:graphic>
          </wp:anchor>
        </w:drawing>
      </w:r>
    </w:p>
    <w:p>
      <w:pPr>
        <w:spacing w:after="0" w:line="195"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8"/>
          <w:szCs w:val="18"/>
          <w:color w:val="auto"/>
        </w:rPr>
        <w:t>In the first quarter of 2018, the asset mix of our U.S. Qualified Pension Plan (the “Plan”) was changed. Fixed income assets were increased to approximately 50% of the Plan’s total assets and matched with the liability profile of the Plan. The Plan’s remaining assets are</w:t>
      </w:r>
    </w:p>
    <w:p>
      <w:pPr>
        <w:spacing w:after="0" w:line="8"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comprised of return-seeking assets including, equity securities, private equity investments and real estate investments. We review our asset allocations on a regular basis in order to achieve our long-term investment objectives on a risk adjusted basis.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Commitments and Contingencies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w:t>
      </w:r>
    </w:p>
    <w:p>
      <w:pPr>
        <w:spacing w:after="0" w:line="202"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8"/>
          <w:szCs w:val="18"/>
          <w:color w:val="auto"/>
        </w:rPr>
        <w:t xml:space="preserve">Our environmental matters are described in Note 19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xml:space="preserve"> of Notes to Consolidated Financial Statements in our 2017 Annual Report on Form 10-K.</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0" w:type="dxa"/>
            <w:vAlign w:val="bottom"/>
          </w:tcPr>
          <w:p>
            <w:pPr>
              <w:spacing w:after="0"/>
              <w:rPr>
                <w:sz w:val="18"/>
                <w:szCs w:val="18"/>
                <w:color w:val="auto"/>
              </w:rPr>
            </w:pPr>
          </w:p>
        </w:tc>
        <w:tc>
          <w:tcPr>
            <w:tcW w:w="9420" w:type="dxa"/>
            <w:vAlign w:val="bottom"/>
          </w:tcPr>
          <w:p>
            <w:pPr>
              <w:ind w:left="640"/>
              <w:spacing w:after="0"/>
              <w:rPr>
                <w:sz w:val="20"/>
                <w:szCs w:val="20"/>
                <w:color w:val="auto"/>
              </w:rPr>
            </w:pPr>
            <w:r>
              <w:rPr>
                <w:rFonts w:ascii="Arial" w:cs="Arial" w:eastAsia="Arial" w:hAnsi="Arial"/>
                <w:sz w:val="18"/>
                <w:szCs w:val="18"/>
                <w:color w:val="auto"/>
              </w:rPr>
              <w:t>The following table summarizes information concerning our recorded liabilities for environmental costs:</w:t>
            </w:r>
          </w:p>
        </w:tc>
        <w:tc>
          <w:tcPr>
            <w:tcW w:w="6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94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942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December 31, 2017</w:t>
            </w:r>
          </w:p>
        </w:tc>
        <w:tc>
          <w:tcPr>
            <w:tcW w:w="1160" w:type="dxa"/>
            <w:vAlign w:val="bottom"/>
            <w:gridSpan w:val="2"/>
            <w:shd w:val="clear" w:color="auto" w:fill="E5FFFF"/>
          </w:tcPr>
          <w:p>
            <w:pPr>
              <w:jc w:val="right"/>
              <w:ind w:right="350"/>
              <w:spacing w:after="0" w:line="202" w:lineRule="exact"/>
              <w:rPr>
                <w:sz w:val="20"/>
                <w:szCs w:val="20"/>
                <w:color w:val="auto"/>
              </w:rPr>
            </w:pPr>
            <w:r>
              <w:rPr>
                <w:rFonts w:ascii="Arial" w:cs="Arial" w:eastAsia="Arial" w:hAnsi="Arial"/>
                <w:sz w:val="18"/>
                <w:szCs w:val="18"/>
                <w:color w:val="auto"/>
              </w:rPr>
              <w:t>$</w:t>
            </w:r>
          </w:p>
        </w:tc>
        <w:tc>
          <w:tcPr>
            <w:tcW w:w="820" w:type="dxa"/>
            <w:vAlign w:val="bottom"/>
            <w:shd w:val="clear" w:color="auto" w:fill="E5FFFF"/>
          </w:tcPr>
          <w:p>
            <w:pPr>
              <w:jc w:val="right"/>
              <w:ind w:right="10"/>
              <w:spacing w:after="0" w:line="202" w:lineRule="exact"/>
              <w:rPr>
                <w:sz w:val="20"/>
                <w:szCs w:val="20"/>
                <w:color w:val="auto"/>
              </w:rPr>
            </w:pPr>
            <w:r>
              <w:rPr>
                <w:rFonts w:ascii="Arial" w:cs="Arial" w:eastAsia="Arial" w:hAnsi="Arial"/>
                <w:sz w:val="18"/>
                <w:szCs w:val="18"/>
                <w:color w:val="auto"/>
              </w:rPr>
              <w:t>595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420" w:type="dxa"/>
            <w:vAlign w:val="bottom"/>
          </w:tcPr>
          <w:p>
            <w:pPr>
              <w:ind w:left="160"/>
              <w:spacing w:after="0" w:line="202" w:lineRule="exact"/>
              <w:rPr>
                <w:sz w:val="20"/>
                <w:szCs w:val="20"/>
                <w:color w:val="auto"/>
              </w:rPr>
            </w:pPr>
            <w:r>
              <w:rPr>
                <w:rFonts w:ascii="Arial" w:cs="Arial" w:eastAsia="Arial" w:hAnsi="Arial"/>
                <w:sz w:val="18"/>
                <w:szCs w:val="18"/>
                <w:color w:val="auto"/>
              </w:rPr>
              <w:t>Accruals for environmental matters deemed probable and reasonably estimable</w:t>
            </w:r>
          </w:p>
        </w:tc>
        <w:tc>
          <w:tcPr>
            <w:tcW w:w="6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420" w:type="dxa"/>
            <w:vAlign w:val="bottom"/>
            <w:shd w:val="clear" w:color="auto" w:fill="E5FFFF"/>
          </w:tcPr>
          <w:p>
            <w:pPr>
              <w:ind w:left="160"/>
              <w:spacing w:after="0" w:line="202" w:lineRule="exact"/>
              <w:rPr>
                <w:sz w:val="20"/>
                <w:szCs w:val="20"/>
                <w:color w:val="auto"/>
              </w:rPr>
            </w:pPr>
            <w:r>
              <w:rPr>
                <w:rFonts w:ascii="Arial" w:cs="Arial" w:eastAsia="Arial" w:hAnsi="Arial"/>
                <w:sz w:val="18"/>
                <w:szCs w:val="18"/>
                <w:color w:val="auto"/>
              </w:rPr>
              <w:t>Environmental liability payments</w:t>
            </w:r>
          </w:p>
        </w:tc>
        <w:tc>
          <w:tcPr>
            <w:tcW w:w="620" w:type="dxa"/>
            <w:vAlign w:val="bottom"/>
            <w:shd w:val="clear" w:color="auto" w:fill="E5FFFF"/>
          </w:tcPr>
          <w:p>
            <w:pPr>
              <w:spacing w:after="0"/>
              <w:rPr>
                <w:sz w:val="17"/>
                <w:szCs w:val="17"/>
                <w:color w:val="auto"/>
              </w:rPr>
            </w:pPr>
          </w:p>
        </w:tc>
        <w:tc>
          <w:tcPr>
            <w:tcW w:w="540" w:type="dxa"/>
            <w:vAlign w:val="bottom"/>
            <w:shd w:val="clear" w:color="auto" w:fill="E5FFFF"/>
          </w:tcPr>
          <w:p>
            <w:pPr>
              <w:spacing w:after="0"/>
              <w:rPr>
                <w:sz w:val="17"/>
                <w:szCs w:val="17"/>
                <w:color w:val="auto"/>
              </w:rPr>
            </w:pPr>
          </w:p>
        </w:tc>
        <w:tc>
          <w:tcPr>
            <w:tcW w:w="82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tcBorders>
              <w:bottom w:val="single" w:sz="8" w:color="E5FFFF"/>
            </w:tcBorders>
          </w:tcPr>
          <w:p>
            <w:pPr>
              <w:ind w:left="160"/>
              <w:spacing w:after="0"/>
              <w:rPr>
                <w:sz w:val="20"/>
                <w:szCs w:val="20"/>
                <w:color w:val="auto"/>
              </w:rPr>
            </w:pPr>
            <w:r>
              <w:rPr>
                <w:rFonts w:ascii="Arial" w:cs="Arial" w:eastAsia="Arial" w:hAnsi="Arial"/>
                <w:sz w:val="18"/>
                <w:szCs w:val="18"/>
                <w:color w:val="auto"/>
              </w:rPr>
              <w:t>Other</w:t>
            </w:r>
          </w:p>
        </w:tc>
        <w:tc>
          <w:tcPr>
            <w:tcW w:w="620" w:type="dxa"/>
            <w:vAlign w:val="bottom"/>
            <w:tcBorders>
              <w:bottom w:val="single" w:sz="8" w:color="E5FF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420" w:type="dxa"/>
            <w:vAlign w:val="bottom"/>
            <w:tcBorders>
              <w:bottom w:val="single" w:sz="8" w:color="E5FFFF"/>
            </w:tcBorders>
            <w:shd w:val="clear" w:color="auto" w:fill="E5FFFF"/>
          </w:tcPr>
          <w:p>
            <w:pPr>
              <w:spacing w:after="0" w:line="197" w:lineRule="exact"/>
              <w:rPr>
                <w:sz w:val="20"/>
                <w:szCs w:val="20"/>
                <w:color w:val="auto"/>
              </w:rPr>
            </w:pPr>
            <w:r>
              <w:rPr>
                <w:rFonts w:ascii="Arial" w:cs="Arial" w:eastAsia="Arial" w:hAnsi="Arial"/>
                <w:sz w:val="18"/>
                <w:szCs w:val="18"/>
                <w:color w:val="auto"/>
              </w:rPr>
              <w:t>June 30, 2018</w:t>
            </w:r>
          </w:p>
        </w:tc>
        <w:tc>
          <w:tcPr>
            <w:tcW w:w="620" w:type="dxa"/>
            <w:vAlign w:val="bottom"/>
            <w:tcBorders>
              <w:bottom w:val="single" w:sz="8" w:color="E5FFFF"/>
            </w:tcBorders>
            <w:shd w:val="clear" w:color="auto" w:fill="E5FFFF"/>
          </w:tcPr>
          <w:p>
            <w:pPr>
              <w:spacing w:after="0"/>
              <w:rPr>
                <w:sz w:val="18"/>
                <w:szCs w:val="18"/>
                <w:color w:val="auto"/>
              </w:rPr>
            </w:pPr>
          </w:p>
        </w:tc>
        <w:tc>
          <w:tcPr>
            <w:tcW w:w="540" w:type="dxa"/>
            <w:vAlign w:val="bottom"/>
            <w:tcBorders>
              <w:bottom w:val="single" w:sz="8" w:color="auto"/>
            </w:tcBorders>
            <w:shd w:val="clear" w:color="auto" w:fill="E5FFFF"/>
          </w:tcPr>
          <w:p>
            <w:pPr>
              <w:jc w:val="right"/>
              <w:ind w:right="35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E5FFFF"/>
          </w:tcPr>
          <w:p>
            <w:pPr>
              <w:jc w:val="right"/>
              <w:ind w:right="10"/>
              <w:spacing w:after="0"/>
              <w:rPr>
                <w:sz w:val="20"/>
                <w:szCs w:val="20"/>
                <w:color w:val="auto"/>
              </w:rPr>
            </w:pPr>
            <w:r>
              <w:rPr>
                <w:rFonts w:ascii="Arial" w:cs="Arial" w:eastAsia="Arial" w:hAnsi="Arial"/>
                <w:sz w:val="18"/>
                <w:szCs w:val="18"/>
                <w:color w:val="auto"/>
              </w:rPr>
              <w:t>703</w:t>
            </w:r>
          </w:p>
        </w:tc>
        <w:tc>
          <w:tcPr>
            <w:tcW w:w="0" w:type="dxa"/>
            <w:vAlign w:val="bottom"/>
          </w:tcPr>
          <w:p>
            <w:pPr>
              <w:spacing w:after="0"/>
              <w:rPr>
                <w:sz w:val="1"/>
                <w:szCs w:val="1"/>
                <w:color w:val="auto"/>
              </w:rPr>
            </w:pPr>
          </w:p>
        </w:tc>
      </w:tr>
      <w:tr>
        <w:trPr>
          <w:trHeight w:val="20"/>
        </w:trPr>
        <w:tc>
          <w:tcPr>
            <w:tcW w:w="9440" w:type="dxa"/>
            <w:vAlign w:val="bottom"/>
            <w:gridSpan w:val="2"/>
            <w:vMerge w:val="restart"/>
          </w:tcPr>
          <w:p>
            <w:pPr>
              <w:jc w:val="right"/>
              <w:ind w:right="3530"/>
              <w:spacing w:after="0"/>
              <w:rPr>
                <w:sz w:val="20"/>
                <w:szCs w:val="20"/>
                <w:color w:val="auto"/>
              </w:rPr>
            </w:pPr>
            <w:r>
              <w:rPr>
                <w:rFonts w:ascii="Arial" w:cs="Arial" w:eastAsia="Arial" w:hAnsi="Arial"/>
                <w:sz w:val="18"/>
                <w:szCs w:val="18"/>
                <w:color w:val="auto"/>
              </w:rPr>
              <w:t>22</w:t>
            </w:r>
          </w:p>
        </w:tc>
        <w:tc>
          <w:tcPr>
            <w:tcW w:w="6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9440" w:type="dxa"/>
            <w:vAlign w:val="bottom"/>
            <w:gridSpan w:val="2"/>
            <w:vMerge w:val="continue"/>
          </w:tcPr>
          <w:p>
            <w:pPr>
              <w:spacing w:after="0"/>
              <w:rPr>
                <w:sz w:val="24"/>
                <w:szCs w:val="24"/>
                <w:color w:val="auto"/>
              </w:rPr>
            </w:pPr>
          </w:p>
        </w:tc>
        <w:tc>
          <w:tcPr>
            <w:tcW w:w="6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420" w:type="dxa"/>
            <w:vAlign w:val="bottom"/>
            <w:tcBorders>
              <w:bottom w:val="single" w:sz="8" w:color="C0C0C0"/>
            </w:tcBorders>
          </w:tcPr>
          <w:p>
            <w:pPr>
              <w:spacing w:after="0"/>
              <w:rPr>
                <w:sz w:val="20"/>
                <w:szCs w:val="20"/>
                <w:color w:val="auto"/>
              </w:rPr>
            </w:pPr>
          </w:p>
        </w:tc>
        <w:tc>
          <w:tcPr>
            <w:tcW w:w="620" w:type="dxa"/>
            <w:vAlign w:val="bottom"/>
            <w:tcBorders>
              <w:bottom w:val="single" w:sz="8" w:color="C0C0C0"/>
            </w:tcBorders>
          </w:tcPr>
          <w:p>
            <w:pPr>
              <w:spacing w:after="0"/>
              <w:rPr>
                <w:sz w:val="20"/>
                <w:szCs w:val="20"/>
                <w:color w:val="auto"/>
              </w:rPr>
            </w:pPr>
          </w:p>
        </w:tc>
        <w:tc>
          <w:tcPr>
            <w:tcW w:w="540" w:type="dxa"/>
            <w:vAlign w:val="bottom"/>
            <w:tcBorders>
              <w:bottom w:val="single" w:sz="8" w:color="C0C0C0"/>
            </w:tcBorders>
          </w:tcPr>
          <w:p>
            <w:pPr>
              <w:spacing w:after="0"/>
              <w:rPr>
                <w:sz w:val="20"/>
                <w:szCs w:val="20"/>
                <w:color w:val="auto"/>
              </w:rPr>
            </w:pPr>
          </w:p>
        </w:tc>
        <w:tc>
          <w:tcPr>
            <w:tcW w:w="820" w:type="dxa"/>
            <w:vAlign w:val="bottom"/>
            <w:tcBorders>
              <w:bottom w:val="single" w:sz="8" w:color="C0C0C0"/>
            </w:tcBorders>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00" w:right="23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t>Honeywell International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jc w:val="center"/>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Environmental liabilities are included in the following balance sheet accounts: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88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jc w:val="right"/>
              <w:ind w:right="317"/>
              <w:spacing w:after="0"/>
              <w:rPr>
                <w:sz w:val="20"/>
                <w:szCs w:val="20"/>
                <w:color w:val="auto"/>
              </w:rPr>
            </w:pPr>
            <w:r>
              <w:rPr>
                <w:rFonts w:ascii="Arial" w:cs="Arial" w:eastAsia="Arial" w:hAnsi="Arial"/>
                <w:sz w:val="14"/>
                <w:szCs w:val="14"/>
                <w:b w:val="1"/>
                <w:bCs w:val="1"/>
                <w:color w:val="auto"/>
              </w:rPr>
              <w:t>June 30,</w:t>
            </w: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jc w:val="right"/>
              <w:ind w:right="117"/>
              <w:spacing w:after="0"/>
              <w:rPr>
                <w:sz w:val="20"/>
                <w:szCs w:val="20"/>
                <w:color w:val="auto"/>
              </w:rPr>
            </w:pPr>
            <w:r>
              <w:rPr>
                <w:rFonts w:ascii="Arial" w:cs="Arial" w:eastAsia="Arial" w:hAnsi="Arial"/>
                <w:sz w:val="14"/>
                <w:szCs w:val="14"/>
                <w:b w:val="1"/>
                <w:bCs w:val="1"/>
                <w:color w:val="auto"/>
              </w:rPr>
              <w:t>December 31,</w:t>
            </w:r>
          </w:p>
        </w:tc>
      </w:tr>
      <w:tr>
        <w:trPr>
          <w:trHeight w:val="175"/>
        </w:trPr>
        <w:tc>
          <w:tcPr>
            <w:tcW w:w="4880" w:type="dxa"/>
            <w:vAlign w:val="bottom"/>
            <w:tcBorders>
              <w:bottom w:val="single" w:sz="8" w:color="E5FFFF"/>
            </w:tcBorders>
          </w:tcPr>
          <w:p>
            <w:pPr>
              <w:spacing w:after="0"/>
              <w:rPr>
                <w:sz w:val="15"/>
                <w:szCs w:val="15"/>
                <w:color w:val="auto"/>
              </w:rPr>
            </w:pPr>
          </w:p>
        </w:tc>
        <w:tc>
          <w:tcPr>
            <w:tcW w:w="3500" w:type="dxa"/>
            <w:vAlign w:val="bottom"/>
            <w:tcBorders>
              <w:bottom w:val="single" w:sz="8" w:color="E5FF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2018</w:t>
            </w:r>
          </w:p>
        </w:tc>
        <w:tc>
          <w:tcPr>
            <w:tcW w:w="320" w:type="dxa"/>
            <w:vAlign w:val="bottom"/>
            <w:tcBorders>
              <w:bottom w:val="single" w:sz="8" w:color="E5FF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2017</w:t>
            </w:r>
          </w:p>
        </w:tc>
      </w:tr>
      <w:tr>
        <w:trPr>
          <w:trHeight w:val="196"/>
        </w:trPr>
        <w:tc>
          <w:tcPr>
            <w:tcW w:w="4880" w:type="dxa"/>
            <w:vAlign w:val="bottom"/>
            <w:shd w:val="clear" w:color="auto" w:fill="E5FFFF"/>
          </w:tcPr>
          <w:p>
            <w:pPr>
              <w:spacing w:after="0" w:line="196" w:lineRule="exact"/>
              <w:rPr>
                <w:sz w:val="20"/>
                <w:szCs w:val="20"/>
                <w:color w:val="auto"/>
              </w:rPr>
            </w:pPr>
            <w:r>
              <w:rPr>
                <w:rFonts w:ascii="Arial" w:cs="Arial" w:eastAsia="Arial" w:hAnsi="Arial"/>
                <w:sz w:val="18"/>
                <w:szCs w:val="18"/>
                <w:color w:val="auto"/>
              </w:rPr>
              <w:t>Accrued liabilities</w:t>
            </w:r>
          </w:p>
        </w:tc>
        <w:tc>
          <w:tcPr>
            <w:tcW w:w="3500" w:type="dxa"/>
            <w:vAlign w:val="bottom"/>
            <w:shd w:val="clear" w:color="auto" w:fill="E5FFFF"/>
          </w:tcPr>
          <w:p>
            <w:pPr>
              <w:spacing w:after="0"/>
              <w:rPr>
                <w:sz w:val="17"/>
                <w:szCs w:val="17"/>
                <w:color w:val="auto"/>
              </w:rPr>
            </w:pPr>
          </w:p>
        </w:tc>
        <w:tc>
          <w:tcPr>
            <w:tcW w:w="240" w:type="dxa"/>
            <w:vAlign w:val="bottom"/>
            <w:shd w:val="clear" w:color="auto" w:fill="E5FF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shd w:val="clear" w:color="auto" w:fill="E5FFFF"/>
          </w:tcPr>
          <w:p>
            <w:pPr>
              <w:jc w:val="right"/>
              <w:ind w:right="37"/>
              <w:spacing w:after="0" w:line="196" w:lineRule="exact"/>
              <w:rPr>
                <w:sz w:val="20"/>
                <w:szCs w:val="20"/>
                <w:color w:val="auto"/>
              </w:rPr>
            </w:pPr>
            <w:r>
              <w:rPr>
                <w:rFonts w:ascii="Arial" w:cs="Arial" w:eastAsia="Arial" w:hAnsi="Arial"/>
                <w:sz w:val="18"/>
                <w:szCs w:val="18"/>
                <w:color w:val="auto"/>
              </w:rPr>
              <w:t>226</w:t>
            </w:r>
          </w:p>
        </w:tc>
        <w:tc>
          <w:tcPr>
            <w:tcW w:w="320" w:type="dxa"/>
            <w:vAlign w:val="bottom"/>
            <w:shd w:val="clear" w:color="auto" w:fill="E5FFFF"/>
          </w:tcPr>
          <w:p>
            <w:pPr>
              <w:spacing w:after="0"/>
              <w:rPr>
                <w:sz w:val="17"/>
                <w:szCs w:val="17"/>
                <w:color w:val="auto"/>
              </w:rPr>
            </w:pPr>
          </w:p>
        </w:tc>
        <w:tc>
          <w:tcPr>
            <w:tcW w:w="160" w:type="dxa"/>
            <w:vAlign w:val="bottom"/>
            <w:shd w:val="clear" w:color="auto" w:fill="E5FFFF"/>
          </w:tcPr>
          <w:p>
            <w:pPr>
              <w:jc w:val="right"/>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shd w:val="clear" w:color="auto" w:fill="E5FFFF"/>
          </w:tcPr>
          <w:p>
            <w:pPr>
              <w:jc w:val="right"/>
              <w:ind w:right="17"/>
              <w:spacing w:after="0" w:line="196" w:lineRule="exact"/>
              <w:rPr>
                <w:sz w:val="20"/>
                <w:szCs w:val="20"/>
                <w:color w:val="auto"/>
              </w:rPr>
            </w:pPr>
            <w:r>
              <w:rPr>
                <w:rFonts w:ascii="Arial" w:cs="Arial" w:eastAsia="Arial" w:hAnsi="Arial"/>
                <w:sz w:val="18"/>
                <w:szCs w:val="18"/>
                <w:color w:val="auto"/>
              </w:rPr>
              <w:t>226</w:t>
            </w:r>
          </w:p>
        </w:tc>
      </w:tr>
      <w:tr>
        <w:trPr>
          <w:trHeight w:val="216"/>
        </w:trPr>
        <w:tc>
          <w:tcPr>
            <w:tcW w:w="4880" w:type="dxa"/>
            <w:vAlign w:val="bottom"/>
            <w:tcBorders>
              <w:bottom w:val="single" w:sz="8" w:color="E5FFFF"/>
            </w:tcBorders>
          </w:tcPr>
          <w:p>
            <w:pPr>
              <w:spacing w:after="0"/>
              <w:rPr>
                <w:sz w:val="20"/>
                <w:szCs w:val="20"/>
                <w:color w:val="auto"/>
              </w:rPr>
            </w:pPr>
            <w:r>
              <w:rPr>
                <w:rFonts w:ascii="Arial" w:cs="Arial" w:eastAsia="Arial" w:hAnsi="Arial"/>
                <w:sz w:val="18"/>
                <w:szCs w:val="18"/>
                <w:color w:val="auto"/>
              </w:rPr>
              <w:t>Other liabilities</w:t>
            </w:r>
          </w:p>
        </w:tc>
        <w:tc>
          <w:tcPr>
            <w:tcW w:w="3500" w:type="dxa"/>
            <w:vAlign w:val="bottom"/>
            <w:tcBorders>
              <w:bottom w:val="single" w:sz="8" w:color="E5FF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477</w:t>
            </w:r>
          </w:p>
        </w:tc>
        <w:tc>
          <w:tcPr>
            <w:tcW w:w="320" w:type="dxa"/>
            <w:vAlign w:val="bottom"/>
            <w:tcBorders>
              <w:bottom w:val="single" w:sz="8" w:color="E5FF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369</w:t>
            </w:r>
          </w:p>
        </w:tc>
      </w:tr>
      <w:tr>
        <w:trPr>
          <w:trHeight w:val="210"/>
        </w:trPr>
        <w:tc>
          <w:tcPr>
            <w:tcW w:w="4880" w:type="dxa"/>
            <w:vAlign w:val="bottom"/>
            <w:shd w:val="clear" w:color="auto" w:fill="E5FFFF"/>
          </w:tcPr>
          <w:p>
            <w:pPr>
              <w:spacing w:after="0"/>
              <w:rPr>
                <w:sz w:val="18"/>
                <w:szCs w:val="18"/>
                <w:color w:val="auto"/>
              </w:rPr>
            </w:pPr>
          </w:p>
        </w:tc>
        <w:tc>
          <w:tcPr>
            <w:tcW w:w="3740" w:type="dxa"/>
            <w:vAlign w:val="bottom"/>
            <w:gridSpan w:val="2"/>
            <w:shd w:val="clear" w:color="auto" w:fill="E5FFFF"/>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shd w:val="clear" w:color="auto" w:fill="E5FFFF"/>
          </w:tcPr>
          <w:p>
            <w:pPr>
              <w:jc w:val="right"/>
              <w:ind w:right="37"/>
              <w:spacing w:after="0"/>
              <w:rPr>
                <w:sz w:val="20"/>
                <w:szCs w:val="20"/>
                <w:color w:val="auto"/>
              </w:rPr>
            </w:pPr>
            <w:r>
              <w:rPr>
                <w:rFonts w:ascii="Arial" w:cs="Arial" w:eastAsia="Arial" w:hAnsi="Arial"/>
                <w:sz w:val="18"/>
                <w:szCs w:val="18"/>
                <w:color w:val="auto"/>
              </w:rPr>
              <w:t>703</w:t>
            </w:r>
          </w:p>
        </w:tc>
        <w:tc>
          <w:tcPr>
            <w:tcW w:w="48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E5FFFF"/>
          </w:tcPr>
          <w:p>
            <w:pPr>
              <w:jc w:val="right"/>
              <w:ind w:right="17"/>
              <w:spacing w:after="0"/>
              <w:rPr>
                <w:sz w:val="20"/>
                <w:szCs w:val="20"/>
                <w:color w:val="auto"/>
              </w:rPr>
            </w:pPr>
            <w:r>
              <w:rPr>
                <w:rFonts w:ascii="Arial" w:cs="Arial" w:eastAsia="Arial" w:hAnsi="Arial"/>
                <w:sz w:val="18"/>
                <w:szCs w:val="18"/>
                <w:color w:val="auto"/>
              </w:rPr>
              <w:t>595</w:t>
            </w:r>
          </w:p>
        </w:tc>
      </w:tr>
      <w:tr>
        <w:trPr>
          <w:trHeight w:val="20"/>
        </w:trPr>
        <w:tc>
          <w:tcPr>
            <w:tcW w:w="4880" w:type="dxa"/>
            <w:vAlign w:val="bottom"/>
            <w:tcBorders>
              <w:top w:val="single" w:sz="8" w:color="E5FFFF"/>
            </w:tcBorders>
          </w:tcPr>
          <w:p>
            <w:pPr>
              <w:spacing w:after="0" w:line="20" w:lineRule="exact"/>
              <w:rPr>
                <w:sz w:val="1"/>
                <w:szCs w:val="1"/>
                <w:color w:val="auto"/>
              </w:rPr>
            </w:pPr>
          </w:p>
        </w:tc>
        <w:tc>
          <w:tcPr>
            <w:tcW w:w="3500" w:type="dxa"/>
            <w:vAlign w:val="bottom"/>
            <w:tcBorders>
              <w:top w:val="single" w:sz="8" w:color="E5FF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E5FF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We do not currently possess sufficient information to reasonably estimate the amounts of environmental liabilities to be recorded upon future completion of studies, litigation or settlements, and neither the timing nor the amount of the ultimate costs associated with environmental matters can be determined although they could be material to our consolidated results of operations and operating cash flows in the periods recognized or paid. However, considering our past experience and existing reserves, we do not expect that environmental matters will have a material adverse effect on our consolidated financial position.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Asbestos Matters</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Honeywell is a defendant in asbestos related personal injury actions related to two predecessor companies:</w:t>
      </w:r>
    </w:p>
    <w:p>
      <w:pPr>
        <w:spacing w:after="0" w:line="198" w:lineRule="exact"/>
        <w:rPr>
          <w:sz w:val="20"/>
          <w:szCs w:val="20"/>
          <w:color w:val="auto"/>
        </w:rPr>
      </w:pPr>
    </w:p>
    <w:p>
      <w:pPr>
        <w:jc w:val="both"/>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North American Refractories Company (“NARCO”), which was sold in 1986, produced refractory products (bricks and cement used in high temperature applications). Claimants consist largely of individuals who allege exposure to NARCO asbestos-containing refractory products in an occupational setting.</w:t>
      </w:r>
    </w:p>
    <w:p>
      <w:pPr>
        <w:spacing w:after="0" w:line="202" w:lineRule="exact"/>
        <w:rPr>
          <w:rFonts w:ascii="Arial" w:cs="Arial" w:eastAsia="Arial" w:hAnsi="Arial"/>
          <w:sz w:val="18"/>
          <w:szCs w:val="18"/>
          <w:color w:val="auto"/>
        </w:rPr>
      </w:pPr>
    </w:p>
    <w:p>
      <w:pPr>
        <w:jc w:val="both"/>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Bendix Friction Materials (“Bendix”) business, which was sold in 2014, manufactured automotive brake parts that contained chrysotile asbestos in an encapsulated form. Claimants consist largely of individuals who allege exposure to asbestos from brakes from either performing or being in the vicinity of individuals who performed brake replacements.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summarize information concerning NARCO and Bendix asbestos related balances: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Asbestos Related Liabilities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3700" w:type="dxa"/>
            <w:vAlign w:val="bottom"/>
            <w:tcBorders>
              <w:bottom w:val="single" w:sz="8" w:color="E5FFFF"/>
            </w:tcBorders>
          </w:tcPr>
          <w:p>
            <w:pPr>
              <w:spacing w:after="0"/>
              <w:rPr>
                <w:sz w:val="15"/>
                <w:szCs w:val="15"/>
                <w:color w:val="auto"/>
              </w:rPr>
            </w:pPr>
          </w:p>
        </w:tc>
        <w:tc>
          <w:tcPr>
            <w:tcW w:w="1500" w:type="dxa"/>
            <w:vAlign w:val="bottom"/>
            <w:tcBorders>
              <w:bottom w:val="single" w:sz="8" w:color="E5FFFF"/>
            </w:tcBorders>
          </w:tcPr>
          <w:p>
            <w:pPr>
              <w:spacing w:after="0"/>
              <w:rPr>
                <w:sz w:val="15"/>
                <w:szCs w:val="15"/>
                <w:color w:val="auto"/>
              </w:rPr>
            </w:pPr>
          </w:p>
        </w:tc>
        <w:tc>
          <w:tcPr>
            <w:tcW w:w="1420" w:type="dxa"/>
            <w:vAlign w:val="bottom"/>
            <w:tcBorders>
              <w:bottom w:val="single" w:sz="8" w:color="E5FFFF"/>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Bendix</w:t>
            </w:r>
          </w:p>
        </w:tc>
        <w:tc>
          <w:tcPr>
            <w:tcW w:w="440" w:type="dxa"/>
            <w:vAlign w:val="bottom"/>
            <w:tcBorders>
              <w:bottom w:val="single" w:sz="8" w:color="auto"/>
            </w:tcBorders>
          </w:tcPr>
          <w:p>
            <w:pPr>
              <w:spacing w:after="0"/>
              <w:rPr>
                <w:sz w:val="15"/>
                <w:szCs w:val="15"/>
                <w:color w:val="auto"/>
              </w:rPr>
            </w:pPr>
          </w:p>
        </w:tc>
        <w:tc>
          <w:tcPr>
            <w:tcW w:w="340" w:type="dxa"/>
            <w:vAlign w:val="bottom"/>
            <w:tcBorders>
              <w:bottom w:val="single" w:sz="8" w:color="E5FFFF"/>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NARCO</w:t>
            </w:r>
          </w:p>
        </w:tc>
        <w:tc>
          <w:tcPr>
            <w:tcW w:w="420" w:type="dxa"/>
            <w:vAlign w:val="bottom"/>
            <w:tcBorders>
              <w:bottom w:val="single" w:sz="8" w:color="auto"/>
            </w:tcBorders>
          </w:tcPr>
          <w:p>
            <w:pPr>
              <w:spacing w:after="0"/>
              <w:rPr>
                <w:sz w:val="15"/>
                <w:szCs w:val="15"/>
                <w:color w:val="auto"/>
              </w:rPr>
            </w:pPr>
          </w:p>
        </w:tc>
        <w:tc>
          <w:tcPr>
            <w:tcW w:w="320" w:type="dxa"/>
            <w:vAlign w:val="bottom"/>
            <w:tcBorders>
              <w:bottom w:val="single" w:sz="8" w:color="E5FF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00" w:type="dxa"/>
            <w:vAlign w:val="bottom"/>
            <w:gridSpan w:val="2"/>
            <w:shd w:val="clear" w:color="auto" w:fill="E5FFFF"/>
          </w:tcPr>
          <w:p>
            <w:pPr>
              <w:spacing w:after="0" w:line="196" w:lineRule="exact"/>
              <w:rPr>
                <w:sz w:val="20"/>
                <w:szCs w:val="20"/>
                <w:color w:val="auto"/>
              </w:rPr>
            </w:pPr>
            <w:r>
              <w:rPr>
                <w:rFonts w:ascii="Arial" w:cs="Arial" w:eastAsia="Arial" w:hAnsi="Arial"/>
                <w:sz w:val="18"/>
                <w:szCs w:val="18"/>
                <w:color w:val="auto"/>
              </w:rPr>
              <w:t>December 31, 2017</w:t>
            </w:r>
          </w:p>
        </w:tc>
        <w:tc>
          <w:tcPr>
            <w:tcW w:w="1420" w:type="dxa"/>
            <w:vAlign w:val="bottom"/>
            <w:shd w:val="clear" w:color="auto" w:fill="E5FFFF"/>
          </w:tcPr>
          <w:p>
            <w:pPr>
              <w:spacing w:after="0"/>
              <w:rPr>
                <w:sz w:val="17"/>
                <w:szCs w:val="17"/>
                <w:color w:val="auto"/>
              </w:rPr>
            </w:pPr>
          </w:p>
        </w:tc>
        <w:tc>
          <w:tcPr>
            <w:tcW w:w="960" w:type="dxa"/>
            <w:vAlign w:val="bottom"/>
            <w:shd w:val="clear" w:color="auto" w:fill="E5FFFF"/>
          </w:tcPr>
          <w:p>
            <w:pPr>
              <w:jc w:val="right"/>
              <w:ind w:right="779"/>
              <w:spacing w:after="0" w:line="196" w:lineRule="exact"/>
              <w:rPr>
                <w:sz w:val="20"/>
                <w:szCs w:val="20"/>
                <w:color w:val="auto"/>
              </w:rPr>
            </w:pPr>
            <w:r>
              <w:rPr>
                <w:rFonts w:ascii="Arial" w:cs="Arial" w:eastAsia="Arial" w:hAnsi="Arial"/>
                <w:sz w:val="18"/>
                <w:szCs w:val="18"/>
                <w:color w:val="auto"/>
                <w:w w:val="79"/>
              </w:rPr>
              <w:t>$</w:t>
            </w:r>
          </w:p>
        </w:tc>
        <w:tc>
          <w:tcPr>
            <w:tcW w:w="440" w:type="dxa"/>
            <w:vAlign w:val="bottom"/>
            <w:shd w:val="clear" w:color="auto" w:fill="E5FFFF"/>
          </w:tcPr>
          <w:p>
            <w:pPr>
              <w:jc w:val="right"/>
              <w:ind w:right="50"/>
              <w:spacing w:after="0" w:line="196" w:lineRule="exact"/>
              <w:rPr>
                <w:sz w:val="20"/>
                <w:szCs w:val="20"/>
                <w:color w:val="auto"/>
              </w:rPr>
            </w:pPr>
            <w:r>
              <w:rPr>
                <w:rFonts w:ascii="Arial" w:cs="Arial" w:eastAsia="Arial" w:hAnsi="Arial"/>
                <w:sz w:val="18"/>
                <w:szCs w:val="18"/>
                <w:color w:val="auto"/>
                <w:w w:val="93"/>
              </w:rPr>
              <w:t>616</w:t>
            </w:r>
          </w:p>
        </w:tc>
        <w:tc>
          <w:tcPr>
            <w:tcW w:w="340" w:type="dxa"/>
            <w:vAlign w:val="bottom"/>
            <w:shd w:val="clear" w:color="auto" w:fill="E5FFFF"/>
          </w:tcPr>
          <w:p>
            <w:pPr>
              <w:spacing w:after="0"/>
              <w:rPr>
                <w:sz w:val="17"/>
                <w:szCs w:val="17"/>
                <w:color w:val="auto"/>
              </w:rPr>
            </w:pPr>
          </w:p>
        </w:tc>
        <w:tc>
          <w:tcPr>
            <w:tcW w:w="940" w:type="dxa"/>
            <w:vAlign w:val="bottom"/>
            <w:shd w:val="clear" w:color="auto" w:fill="E5FFFF"/>
          </w:tcPr>
          <w:p>
            <w:pPr>
              <w:jc w:val="right"/>
              <w:ind w:right="759"/>
              <w:spacing w:after="0" w:line="196" w:lineRule="exact"/>
              <w:rPr>
                <w:sz w:val="20"/>
                <w:szCs w:val="20"/>
                <w:color w:val="auto"/>
              </w:rPr>
            </w:pPr>
            <w:r>
              <w:rPr>
                <w:rFonts w:ascii="Arial" w:cs="Arial" w:eastAsia="Arial" w:hAnsi="Arial"/>
                <w:sz w:val="18"/>
                <w:szCs w:val="18"/>
                <w:color w:val="auto"/>
                <w:w w:val="79"/>
              </w:rPr>
              <w:t>$</w:t>
            </w:r>
          </w:p>
        </w:tc>
        <w:tc>
          <w:tcPr>
            <w:tcW w:w="420" w:type="dxa"/>
            <w:vAlign w:val="bottom"/>
            <w:shd w:val="clear" w:color="auto" w:fill="E5FFFF"/>
          </w:tcPr>
          <w:p>
            <w:pPr>
              <w:jc w:val="right"/>
              <w:ind w:right="30"/>
              <w:spacing w:after="0" w:line="196" w:lineRule="exact"/>
              <w:rPr>
                <w:sz w:val="20"/>
                <w:szCs w:val="20"/>
                <w:color w:val="auto"/>
              </w:rPr>
            </w:pPr>
            <w:r>
              <w:rPr>
                <w:rFonts w:ascii="Arial" w:cs="Arial" w:eastAsia="Arial" w:hAnsi="Arial"/>
                <w:sz w:val="18"/>
                <w:szCs w:val="18"/>
                <w:color w:val="auto"/>
                <w:w w:val="93"/>
              </w:rPr>
              <w:t>907</w:t>
            </w:r>
          </w:p>
        </w:tc>
        <w:tc>
          <w:tcPr>
            <w:tcW w:w="320" w:type="dxa"/>
            <w:vAlign w:val="bottom"/>
            <w:shd w:val="clear" w:color="auto" w:fill="E5FFFF"/>
          </w:tcPr>
          <w:p>
            <w:pPr>
              <w:spacing w:after="0"/>
              <w:rPr>
                <w:sz w:val="17"/>
                <w:szCs w:val="17"/>
                <w:color w:val="auto"/>
              </w:rPr>
            </w:pPr>
          </w:p>
        </w:tc>
        <w:tc>
          <w:tcPr>
            <w:tcW w:w="320" w:type="dxa"/>
            <w:vAlign w:val="bottom"/>
            <w:shd w:val="clear" w:color="auto" w:fill="E5FFFF"/>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shd w:val="clear" w:color="auto" w:fill="E5FFFF"/>
          </w:tcPr>
          <w:p>
            <w:pPr>
              <w:jc w:val="right"/>
              <w:ind w:right="14"/>
              <w:spacing w:after="0" w:line="196" w:lineRule="exact"/>
              <w:rPr>
                <w:sz w:val="20"/>
                <w:szCs w:val="20"/>
                <w:color w:val="auto"/>
              </w:rPr>
            </w:pPr>
            <w:r>
              <w:rPr>
                <w:rFonts w:ascii="Arial" w:cs="Arial" w:eastAsia="Arial" w:hAnsi="Arial"/>
                <w:sz w:val="18"/>
                <w:szCs w:val="18"/>
                <w:color w:val="auto"/>
              </w:rPr>
              <w:t>1,523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0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Accrual for update to estimated liability</w:t>
            </w:r>
          </w:p>
        </w:tc>
        <w:tc>
          <w:tcPr>
            <w:tcW w:w="14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40" w:type="dxa"/>
            <w:vAlign w:val="bottom"/>
          </w:tcPr>
          <w:p>
            <w:pPr>
              <w:jc w:val="right"/>
              <w:ind w:right="50"/>
              <w:spacing w:after="0" w:line="202" w:lineRule="exact"/>
              <w:rPr>
                <w:sz w:val="20"/>
                <w:szCs w:val="20"/>
                <w:color w:val="auto"/>
              </w:rPr>
            </w:pPr>
            <w:r>
              <w:rPr>
                <w:rFonts w:ascii="Arial" w:cs="Arial" w:eastAsia="Arial" w:hAnsi="Arial"/>
                <w:sz w:val="18"/>
                <w:szCs w:val="18"/>
                <w:color w:val="auto"/>
              </w:rPr>
              <w:t>92</w:t>
            </w:r>
          </w:p>
        </w:tc>
        <w:tc>
          <w:tcPr>
            <w:tcW w:w="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19</w:t>
            </w: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ind w:right="14"/>
              <w:spacing w:after="0" w:line="202" w:lineRule="exact"/>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gridSpan w:val="2"/>
            <w:shd w:val="clear" w:color="auto" w:fill="E5FFFF"/>
          </w:tcPr>
          <w:p>
            <w:pPr>
              <w:ind w:left="160"/>
              <w:spacing w:after="0"/>
              <w:rPr>
                <w:sz w:val="20"/>
                <w:szCs w:val="20"/>
                <w:color w:val="auto"/>
              </w:rPr>
            </w:pPr>
            <w:r>
              <w:rPr>
                <w:rFonts w:ascii="Arial" w:cs="Arial" w:eastAsia="Arial" w:hAnsi="Arial"/>
                <w:sz w:val="18"/>
                <w:szCs w:val="18"/>
                <w:color w:val="auto"/>
              </w:rPr>
              <w:t>Asbestos related liability payments</w:t>
            </w:r>
          </w:p>
        </w:tc>
        <w:tc>
          <w:tcPr>
            <w:tcW w:w="1420" w:type="dxa"/>
            <w:vAlign w:val="bottom"/>
            <w:shd w:val="clear" w:color="auto" w:fill="E5FFFF"/>
          </w:tcPr>
          <w:p>
            <w:pPr>
              <w:spacing w:after="0"/>
              <w:rPr>
                <w:sz w:val="18"/>
                <w:szCs w:val="18"/>
                <w:color w:val="auto"/>
              </w:rPr>
            </w:pPr>
          </w:p>
        </w:tc>
        <w:tc>
          <w:tcPr>
            <w:tcW w:w="960" w:type="dxa"/>
            <w:vAlign w:val="bottom"/>
            <w:tcBorders>
              <w:bottom w:val="single" w:sz="8" w:color="auto"/>
            </w:tcBorders>
            <w:shd w:val="clear" w:color="auto" w:fill="E5FFFF"/>
          </w:tcPr>
          <w:p>
            <w:pPr>
              <w:spacing w:after="0"/>
              <w:rPr>
                <w:sz w:val="18"/>
                <w:szCs w:val="18"/>
                <w:color w:val="auto"/>
              </w:rPr>
            </w:pPr>
          </w:p>
        </w:tc>
        <w:tc>
          <w:tcPr>
            <w:tcW w:w="4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(98)</w:t>
            </w:r>
          </w:p>
        </w:tc>
        <w:tc>
          <w:tcPr>
            <w:tcW w:w="340" w:type="dxa"/>
            <w:vAlign w:val="bottom"/>
            <w:shd w:val="clear" w:color="auto" w:fill="E5FFFF"/>
          </w:tcPr>
          <w:p>
            <w:pPr>
              <w:spacing w:after="0"/>
              <w:rPr>
                <w:sz w:val="18"/>
                <w:szCs w:val="18"/>
                <w:color w:val="auto"/>
              </w:rPr>
            </w:pPr>
          </w:p>
        </w:tc>
        <w:tc>
          <w:tcPr>
            <w:tcW w:w="940" w:type="dxa"/>
            <w:vAlign w:val="bottom"/>
            <w:tcBorders>
              <w:bottom w:val="single" w:sz="8" w:color="auto"/>
            </w:tcBorders>
            <w:shd w:val="clear" w:color="auto" w:fill="E5FFFF"/>
          </w:tcPr>
          <w:p>
            <w:pPr>
              <w:spacing w:after="0"/>
              <w:rPr>
                <w:sz w:val="18"/>
                <w:szCs w:val="18"/>
                <w:color w:val="auto"/>
              </w:rPr>
            </w:pPr>
          </w:p>
        </w:tc>
        <w:tc>
          <w:tcPr>
            <w:tcW w:w="4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(8)</w:t>
            </w:r>
          </w:p>
        </w:tc>
        <w:tc>
          <w:tcPr>
            <w:tcW w:w="320" w:type="dxa"/>
            <w:vAlign w:val="bottom"/>
            <w:shd w:val="clear" w:color="auto" w:fill="E5FFFF"/>
          </w:tcPr>
          <w:p>
            <w:pPr>
              <w:spacing w:after="0"/>
              <w:rPr>
                <w:sz w:val="18"/>
                <w:szCs w:val="18"/>
                <w:color w:val="auto"/>
              </w:rPr>
            </w:pPr>
          </w:p>
        </w:tc>
        <w:tc>
          <w:tcPr>
            <w:tcW w:w="320" w:type="dxa"/>
            <w:vAlign w:val="bottom"/>
            <w:tcBorders>
              <w:bottom w:val="single" w:sz="8" w:color="auto"/>
            </w:tcBorders>
            <w:shd w:val="clear" w:color="auto" w:fill="E5FFFF"/>
          </w:tcPr>
          <w:p>
            <w:pPr>
              <w:spacing w:after="0"/>
              <w:rPr>
                <w:sz w:val="18"/>
                <w:szCs w:val="18"/>
                <w:color w:val="auto"/>
              </w:rPr>
            </w:pPr>
          </w:p>
        </w:tc>
        <w:tc>
          <w:tcPr>
            <w:tcW w:w="10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00" w:type="dxa"/>
            <w:vAlign w:val="bottom"/>
            <w:gridSpan w:val="2"/>
          </w:tcPr>
          <w:p>
            <w:pPr>
              <w:spacing w:after="0" w:line="197" w:lineRule="exact"/>
              <w:rPr>
                <w:sz w:val="20"/>
                <w:szCs w:val="20"/>
                <w:color w:val="auto"/>
              </w:rPr>
            </w:pPr>
            <w:r>
              <w:rPr>
                <w:rFonts w:ascii="Arial" w:cs="Arial" w:eastAsia="Arial" w:hAnsi="Arial"/>
                <w:sz w:val="18"/>
                <w:szCs w:val="18"/>
                <w:color w:val="auto"/>
              </w:rPr>
              <w:t>June 30, 2018</w:t>
            </w:r>
          </w:p>
        </w:tc>
        <w:tc>
          <w:tcPr>
            <w:tcW w:w="2380" w:type="dxa"/>
            <w:vAlign w:val="bottom"/>
            <w:gridSpan w:val="2"/>
          </w:tcPr>
          <w:p>
            <w:pPr>
              <w:jc w:val="right"/>
              <w:ind w:right="779"/>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50"/>
              <w:spacing w:after="0"/>
              <w:rPr>
                <w:sz w:val="20"/>
                <w:szCs w:val="20"/>
                <w:color w:val="auto"/>
              </w:rPr>
            </w:pPr>
            <w:r>
              <w:rPr>
                <w:rFonts w:ascii="Arial" w:cs="Arial" w:eastAsia="Arial" w:hAnsi="Arial"/>
                <w:sz w:val="18"/>
                <w:szCs w:val="18"/>
                <w:color w:val="auto"/>
                <w:w w:val="93"/>
              </w:rPr>
              <w:t>610</w:t>
            </w:r>
          </w:p>
        </w:tc>
        <w:tc>
          <w:tcPr>
            <w:tcW w:w="1280" w:type="dxa"/>
            <w:vAlign w:val="bottom"/>
            <w:gridSpan w:val="2"/>
          </w:tcPr>
          <w:p>
            <w:pPr>
              <w:jc w:val="right"/>
              <w:ind w:right="759"/>
              <w:spacing w:after="0"/>
              <w:rPr>
                <w:sz w:val="20"/>
                <w:szCs w:val="20"/>
                <w:color w:val="auto"/>
              </w:rPr>
            </w:pPr>
            <w:r>
              <w:rPr>
                <w:rFonts w:ascii="Arial" w:cs="Arial" w:eastAsia="Arial" w:hAnsi="Arial"/>
                <w:sz w:val="18"/>
                <w:szCs w:val="18"/>
                <w:color w:val="auto"/>
              </w:rPr>
              <w:t>$</w:t>
            </w:r>
          </w:p>
        </w:tc>
        <w:tc>
          <w:tcPr>
            <w:tcW w:w="420" w:type="dxa"/>
            <w:vAlign w:val="bottom"/>
          </w:tcPr>
          <w:p>
            <w:pPr>
              <w:jc w:val="right"/>
              <w:ind w:right="30"/>
              <w:spacing w:after="0"/>
              <w:rPr>
                <w:sz w:val="20"/>
                <w:szCs w:val="20"/>
                <w:color w:val="auto"/>
              </w:rPr>
            </w:pPr>
            <w:r>
              <w:rPr>
                <w:rFonts w:ascii="Arial" w:cs="Arial" w:eastAsia="Arial" w:hAnsi="Arial"/>
                <w:sz w:val="18"/>
                <w:szCs w:val="18"/>
                <w:color w:val="auto"/>
                <w:w w:val="93"/>
              </w:rPr>
              <w:t>918</w:t>
            </w:r>
          </w:p>
        </w:tc>
        <w:tc>
          <w:tcPr>
            <w:tcW w:w="6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1,528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37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vMerge w:val="continue"/>
          </w:tcPr>
          <w:p>
            <w:pPr>
              <w:spacing w:after="0"/>
              <w:rPr>
                <w:sz w:val="15"/>
                <w:szCs w:val="15"/>
                <w:color w:val="auto"/>
              </w:rPr>
            </w:pPr>
          </w:p>
        </w:tc>
        <w:tc>
          <w:tcPr>
            <w:tcW w:w="5200" w:type="dxa"/>
            <w:vAlign w:val="bottom"/>
            <w:gridSpan w:val="2"/>
            <w:shd w:val="clear" w:color="auto" w:fill="E5FFFF"/>
          </w:tcPr>
          <w:p>
            <w:pPr>
              <w:spacing w:after="0" w:line="176" w:lineRule="exact"/>
              <w:rPr>
                <w:sz w:val="20"/>
                <w:szCs w:val="20"/>
                <w:color w:val="auto"/>
              </w:rPr>
            </w:pPr>
            <w:r>
              <w:rPr>
                <w:rFonts w:ascii="Arial" w:cs="Arial" w:eastAsia="Arial" w:hAnsi="Arial"/>
                <w:sz w:val="18"/>
                <w:szCs w:val="18"/>
                <w:b w:val="1"/>
                <w:bCs w:val="1"/>
                <w:color w:val="auto"/>
              </w:rPr>
              <w:t>Insurance Recoveries for Asbestos Related</w:t>
            </w:r>
          </w:p>
        </w:tc>
        <w:tc>
          <w:tcPr>
            <w:tcW w:w="1420" w:type="dxa"/>
            <w:vAlign w:val="bottom"/>
            <w:shd w:val="clear" w:color="auto" w:fill="E5FFFF"/>
          </w:tcPr>
          <w:p>
            <w:pPr>
              <w:spacing w:after="0"/>
              <w:rPr>
                <w:sz w:val="15"/>
                <w:szCs w:val="15"/>
                <w:color w:val="auto"/>
              </w:rPr>
            </w:pPr>
          </w:p>
        </w:tc>
        <w:tc>
          <w:tcPr>
            <w:tcW w:w="960" w:type="dxa"/>
            <w:vAlign w:val="bottom"/>
            <w:shd w:val="clear" w:color="auto" w:fill="E5FFFF"/>
          </w:tcPr>
          <w:p>
            <w:pPr>
              <w:spacing w:after="0"/>
              <w:rPr>
                <w:sz w:val="15"/>
                <w:szCs w:val="15"/>
                <w:color w:val="auto"/>
              </w:rPr>
            </w:pPr>
          </w:p>
        </w:tc>
        <w:tc>
          <w:tcPr>
            <w:tcW w:w="440" w:type="dxa"/>
            <w:vAlign w:val="bottom"/>
            <w:shd w:val="clear" w:color="auto" w:fill="E5FFFF"/>
          </w:tcPr>
          <w:p>
            <w:pPr>
              <w:spacing w:after="0"/>
              <w:rPr>
                <w:sz w:val="15"/>
                <w:szCs w:val="15"/>
                <w:color w:val="auto"/>
              </w:rPr>
            </w:pPr>
          </w:p>
        </w:tc>
        <w:tc>
          <w:tcPr>
            <w:tcW w:w="340" w:type="dxa"/>
            <w:vAlign w:val="bottom"/>
            <w:shd w:val="clear" w:color="auto" w:fill="E5FFFF"/>
          </w:tcPr>
          <w:p>
            <w:pPr>
              <w:spacing w:after="0"/>
              <w:rPr>
                <w:sz w:val="15"/>
                <w:szCs w:val="15"/>
                <w:color w:val="auto"/>
              </w:rPr>
            </w:pPr>
          </w:p>
        </w:tc>
        <w:tc>
          <w:tcPr>
            <w:tcW w:w="940" w:type="dxa"/>
            <w:vAlign w:val="bottom"/>
            <w:shd w:val="clear" w:color="auto" w:fill="E5FFFF"/>
          </w:tcPr>
          <w:p>
            <w:pPr>
              <w:spacing w:after="0"/>
              <w:rPr>
                <w:sz w:val="15"/>
                <w:szCs w:val="15"/>
                <w:color w:val="auto"/>
              </w:rPr>
            </w:pPr>
          </w:p>
        </w:tc>
        <w:tc>
          <w:tcPr>
            <w:tcW w:w="420" w:type="dxa"/>
            <w:vAlign w:val="bottom"/>
            <w:shd w:val="clear" w:color="auto" w:fill="E5FFFF"/>
          </w:tcPr>
          <w:p>
            <w:pPr>
              <w:spacing w:after="0"/>
              <w:rPr>
                <w:sz w:val="15"/>
                <w:szCs w:val="15"/>
                <w:color w:val="auto"/>
              </w:rPr>
            </w:pPr>
          </w:p>
        </w:tc>
        <w:tc>
          <w:tcPr>
            <w:tcW w:w="320" w:type="dxa"/>
            <w:vAlign w:val="bottom"/>
            <w:shd w:val="clear" w:color="auto" w:fill="E5FFFF"/>
          </w:tcPr>
          <w:p>
            <w:pPr>
              <w:spacing w:after="0"/>
              <w:rPr>
                <w:sz w:val="15"/>
                <w:szCs w:val="15"/>
                <w:color w:val="auto"/>
              </w:rPr>
            </w:pPr>
          </w:p>
        </w:tc>
        <w:tc>
          <w:tcPr>
            <w:tcW w:w="320" w:type="dxa"/>
            <w:vAlign w:val="bottom"/>
            <w:shd w:val="clear" w:color="auto" w:fill="E5FFFF"/>
          </w:tcPr>
          <w:p>
            <w:pPr>
              <w:spacing w:after="0"/>
              <w:rPr>
                <w:sz w:val="15"/>
                <w:szCs w:val="15"/>
                <w:color w:val="auto"/>
              </w:rPr>
            </w:pPr>
          </w:p>
        </w:tc>
        <w:tc>
          <w:tcPr>
            <w:tcW w:w="1040" w:type="dxa"/>
            <w:vAlign w:val="bottom"/>
            <w:shd w:val="clear" w:color="auto" w:fill="E5FF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00" w:type="dxa"/>
            <w:vAlign w:val="bottom"/>
            <w:tcBorders>
              <w:top w:val="single" w:sz="8" w:color="auto"/>
              <w:bottom w:val="single" w:sz="8" w:color="E5FFFF"/>
            </w:tcBorders>
          </w:tcPr>
          <w:p>
            <w:pPr>
              <w:spacing w:after="0"/>
              <w:rPr>
                <w:sz w:val="17"/>
                <w:szCs w:val="17"/>
                <w:color w:val="auto"/>
              </w:rPr>
            </w:pPr>
          </w:p>
        </w:tc>
        <w:tc>
          <w:tcPr>
            <w:tcW w:w="1500" w:type="dxa"/>
            <w:vAlign w:val="bottom"/>
            <w:tcBorders>
              <w:top w:val="single" w:sz="8" w:color="E5FFFF"/>
              <w:bottom w:val="single" w:sz="8" w:color="E5FFFF"/>
            </w:tcBorders>
          </w:tcPr>
          <w:p>
            <w:pPr>
              <w:spacing w:after="0"/>
              <w:rPr>
                <w:sz w:val="17"/>
                <w:szCs w:val="17"/>
                <w:color w:val="auto"/>
              </w:rPr>
            </w:pPr>
          </w:p>
        </w:tc>
        <w:tc>
          <w:tcPr>
            <w:tcW w:w="1420" w:type="dxa"/>
            <w:vAlign w:val="bottom"/>
            <w:tcBorders>
              <w:top w:val="single" w:sz="8" w:color="E5FFFF"/>
              <w:bottom w:val="single" w:sz="8" w:color="E5FFFF"/>
            </w:tcBorders>
          </w:tcPr>
          <w:p>
            <w:pPr>
              <w:spacing w:after="0"/>
              <w:rPr>
                <w:sz w:val="17"/>
                <w:szCs w:val="17"/>
                <w:color w:val="auto"/>
              </w:rPr>
            </w:pPr>
          </w:p>
        </w:tc>
        <w:tc>
          <w:tcPr>
            <w:tcW w:w="960" w:type="dxa"/>
            <w:vAlign w:val="bottom"/>
            <w:tcBorders>
              <w:top w:val="single" w:sz="8" w:color="E5FFFF"/>
              <w:bottom w:val="single" w:sz="8" w:color="auto"/>
            </w:tcBorders>
          </w:tcPr>
          <w:p>
            <w:pPr>
              <w:jc w:val="right"/>
              <w:spacing w:after="0"/>
              <w:rPr>
                <w:sz w:val="20"/>
                <w:szCs w:val="20"/>
                <w:color w:val="auto"/>
              </w:rPr>
            </w:pPr>
            <w:r>
              <w:rPr>
                <w:rFonts w:ascii="Arial" w:cs="Arial" w:eastAsia="Arial" w:hAnsi="Arial"/>
                <w:sz w:val="14"/>
                <w:szCs w:val="14"/>
                <w:b w:val="1"/>
                <w:bCs w:val="1"/>
                <w:color w:val="auto"/>
              </w:rPr>
              <w:t>Bendix</w:t>
            </w:r>
          </w:p>
        </w:tc>
        <w:tc>
          <w:tcPr>
            <w:tcW w:w="440" w:type="dxa"/>
            <w:vAlign w:val="bottom"/>
            <w:tcBorders>
              <w:top w:val="single" w:sz="8" w:color="E5FFFF"/>
              <w:bottom w:val="single" w:sz="8" w:color="auto"/>
            </w:tcBorders>
          </w:tcPr>
          <w:p>
            <w:pPr>
              <w:spacing w:after="0"/>
              <w:rPr>
                <w:sz w:val="17"/>
                <w:szCs w:val="17"/>
                <w:color w:val="auto"/>
              </w:rPr>
            </w:pPr>
          </w:p>
        </w:tc>
        <w:tc>
          <w:tcPr>
            <w:tcW w:w="340" w:type="dxa"/>
            <w:vAlign w:val="bottom"/>
            <w:tcBorders>
              <w:top w:val="single" w:sz="8" w:color="E5FFFF"/>
              <w:bottom w:val="single" w:sz="8" w:color="E5FFFF"/>
            </w:tcBorders>
          </w:tcPr>
          <w:p>
            <w:pPr>
              <w:spacing w:after="0"/>
              <w:rPr>
                <w:sz w:val="17"/>
                <w:szCs w:val="17"/>
                <w:color w:val="auto"/>
              </w:rPr>
            </w:pPr>
          </w:p>
        </w:tc>
        <w:tc>
          <w:tcPr>
            <w:tcW w:w="940" w:type="dxa"/>
            <w:vAlign w:val="bottom"/>
            <w:tcBorders>
              <w:top w:val="single" w:sz="8" w:color="E5FFFF"/>
              <w:bottom w:val="single" w:sz="8" w:color="auto"/>
            </w:tcBorders>
          </w:tcPr>
          <w:p>
            <w:pPr>
              <w:jc w:val="right"/>
              <w:spacing w:after="0"/>
              <w:rPr>
                <w:sz w:val="20"/>
                <w:szCs w:val="20"/>
                <w:color w:val="auto"/>
              </w:rPr>
            </w:pPr>
            <w:r>
              <w:rPr>
                <w:rFonts w:ascii="Arial" w:cs="Arial" w:eastAsia="Arial" w:hAnsi="Arial"/>
                <w:sz w:val="14"/>
                <w:szCs w:val="14"/>
                <w:b w:val="1"/>
                <w:bCs w:val="1"/>
                <w:color w:val="auto"/>
              </w:rPr>
              <w:t>NARCO</w:t>
            </w:r>
          </w:p>
        </w:tc>
        <w:tc>
          <w:tcPr>
            <w:tcW w:w="420" w:type="dxa"/>
            <w:vAlign w:val="bottom"/>
            <w:tcBorders>
              <w:top w:val="single" w:sz="8" w:color="E5FFFF"/>
              <w:bottom w:val="single" w:sz="8" w:color="auto"/>
            </w:tcBorders>
          </w:tcPr>
          <w:p>
            <w:pPr>
              <w:spacing w:after="0"/>
              <w:rPr>
                <w:sz w:val="17"/>
                <w:szCs w:val="17"/>
                <w:color w:val="auto"/>
              </w:rPr>
            </w:pPr>
          </w:p>
        </w:tc>
        <w:tc>
          <w:tcPr>
            <w:tcW w:w="320" w:type="dxa"/>
            <w:vAlign w:val="bottom"/>
            <w:tcBorders>
              <w:top w:val="single" w:sz="8" w:color="E5FFFF"/>
              <w:bottom w:val="single" w:sz="8" w:color="E5FFFF"/>
            </w:tcBorders>
          </w:tcPr>
          <w:p>
            <w:pPr>
              <w:spacing w:after="0"/>
              <w:rPr>
                <w:sz w:val="17"/>
                <w:szCs w:val="17"/>
                <w:color w:val="auto"/>
              </w:rPr>
            </w:pPr>
          </w:p>
        </w:tc>
        <w:tc>
          <w:tcPr>
            <w:tcW w:w="320" w:type="dxa"/>
            <w:vAlign w:val="bottom"/>
            <w:tcBorders>
              <w:top w:val="single" w:sz="8" w:color="E5FFFF"/>
              <w:bottom w:val="single" w:sz="8" w:color="auto"/>
            </w:tcBorders>
          </w:tcPr>
          <w:p>
            <w:pPr>
              <w:spacing w:after="0"/>
              <w:rPr>
                <w:sz w:val="17"/>
                <w:szCs w:val="17"/>
                <w:color w:val="auto"/>
              </w:rPr>
            </w:pPr>
          </w:p>
        </w:tc>
        <w:tc>
          <w:tcPr>
            <w:tcW w:w="1040" w:type="dxa"/>
            <w:vAlign w:val="bottom"/>
            <w:tcBorders>
              <w:top w:val="single" w:sz="8" w:color="E5FFFF"/>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00" w:type="dxa"/>
            <w:vAlign w:val="bottom"/>
            <w:gridSpan w:val="2"/>
            <w:shd w:val="clear" w:color="auto" w:fill="E5FFFF"/>
          </w:tcPr>
          <w:p>
            <w:pPr>
              <w:spacing w:after="0" w:line="196" w:lineRule="exact"/>
              <w:rPr>
                <w:sz w:val="20"/>
                <w:szCs w:val="20"/>
                <w:color w:val="auto"/>
              </w:rPr>
            </w:pPr>
            <w:r>
              <w:rPr>
                <w:rFonts w:ascii="Arial" w:cs="Arial" w:eastAsia="Arial" w:hAnsi="Arial"/>
                <w:sz w:val="18"/>
                <w:szCs w:val="18"/>
                <w:color w:val="auto"/>
              </w:rPr>
              <w:t>December 31, 2017</w:t>
            </w:r>
          </w:p>
        </w:tc>
        <w:tc>
          <w:tcPr>
            <w:tcW w:w="1420" w:type="dxa"/>
            <w:vAlign w:val="bottom"/>
            <w:shd w:val="clear" w:color="auto" w:fill="E5FFFF"/>
          </w:tcPr>
          <w:p>
            <w:pPr>
              <w:spacing w:after="0"/>
              <w:rPr>
                <w:sz w:val="17"/>
                <w:szCs w:val="17"/>
                <w:color w:val="auto"/>
              </w:rPr>
            </w:pPr>
          </w:p>
        </w:tc>
        <w:tc>
          <w:tcPr>
            <w:tcW w:w="960" w:type="dxa"/>
            <w:vAlign w:val="bottom"/>
            <w:shd w:val="clear" w:color="auto" w:fill="E5FFFF"/>
          </w:tcPr>
          <w:p>
            <w:pPr>
              <w:jc w:val="right"/>
              <w:ind w:right="779"/>
              <w:spacing w:after="0" w:line="196" w:lineRule="exact"/>
              <w:rPr>
                <w:sz w:val="20"/>
                <w:szCs w:val="20"/>
                <w:color w:val="auto"/>
              </w:rPr>
            </w:pPr>
            <w:r>
              <w:rPr>
                <w:rFonts w:ascii="Arial" w:cs="Arial" w:eastAsia="Arial" w:hAnsi="Arial"/>
                <w:sz w:val="18"/>
                <w:szCs w:val="18"/>
                <w:color w:val="auto"/>
                <w:w w:val="79"/>
              </w:rPr>
              <w:t>$</w:t>
            </w:r>
          </w:p>
        </w:tc>
        <w:tc>
          <w:tcPr>
            <w:tcW w:w="440" w:type="dxa"/>
            <w:vAlign w:val="bottom"/>
            <w:shd w:val="clear" w:color="auto" w:fill="E5FFFF"/>
          </w:tcPr>
          <w:p>
            <w:pPr>
              <w:jc w:val="right"/>
              <w:ind w:right="50"/>
              <w:spacing w:after="0" w:line="196" w:lineRule="exact"/>
              <w:rPr>
                <w:sz w:val="20"/>
                <w:szCs w:val="20"/>
                <w:color w:val="auto"/>
              </w:rPr>
            </w:pPr>
            <w:r>
              <w:rPr>
                <w:rFonts w:ascii="Arial" w:cs="Arial" w:eastAsia="Arial" w:hAnsi="Arial"/>
                <w:sz w:val="18"/>
                <w:szCs w:val="18"/>
                <w:color w:val="auto"/>
                <w:w w:val="93"/>
              </w:rPr>
              <w:t>123</w:t>
            </w:r>
          </w:p>
        </w:tc>
        <w:tc>
          <w:tcPr>
            <w:tcW w:w="340" w:type="dxa"/>
            <w:vAlign w:val="bottom"/>
            <w:shd w:val="clear" w:color="auto" w:fill="E5FFFF"/>
          </w:tcPr>
          <w:p>
            <w:pPr>
              <w:spacing w:after="0"/>
              <w:rPr>
                <w:sz w:val="17"/>
                <w:szCs w:val="17"/>
                <w:color w:val="auto"/>
              </w:rPr>
            </w:pPr>
          </w:p>
        </w:tc>
        <w:tc>
          <w:tcPr>
            <w:tcW w:w="940" w:type="dxa"/>
            <w:vAlign w:val="bottom"/>
            <w:shd w:val="clear" w:color="auto" w:fill="E5FFFF"/>
          </w:tcPr>
          <w:p>
            <w:pPr>
              <w:jc w:val="right"/>
              <w:ind w:right="759"/>
              <w:spacing w:after="0" w:line="196" w:lineRule="exact"/>
              <w:rPr>
                <w:sz w:val="20"/>
                <w:szCs w:val="20"/>
                <w:color w:val="auto"/>
              </w:rPr>
            </w:pPr>
            <w:r>
              <w:rPr>
                <w:rFonts w:ascii="Arial" w:cs="Arial" w:eastAsia="Arial" w:hAnsi="Arial"/>
                <w:sz w:val="18"/>
                <w:szCs w:val="18"/>
                <w:color w:val="auto"/>
                <w:w w:val="79"/>
              </w:rPr>
              <w:t>$</w:t>
            </w:r>
          </w:p>
        </w:tc>
        <w:tc>
          <w:tcPr>
            <w:tcW w:w="420" w:type="dxa"/>
            <w:vAlign w:val="bottom"/>
            <w:shd w:val="clear" w:color="auto" w:fill="E5FFFF"/>
          </w:tcPr>
          <w:p>
            <w:pPr>
              <w:jc w:val="right"/>
              <w:ind w:right="30"/>
              <w:spacing w:after="0" w:line="196" w:lineRule="exact"/>
              <w:rPr>
                <w:sz w:val="20"/>
                <w:szCs w:val="20"/>
                <w:color w:val="auto"/>
              </w:rPr>
            </w:pPr>
            <w:r>
              <w:rPr>
                <w:rFonts w:ascii="Arial" w:cs="Arial" w:eastAsia="Arial" w:hAnsi="Arial"/>
                <w:sz w:val="18"/>
                <w:szCs w:val="18"/>
                <w:color w:val="auto"/>
                <w:w w:val="93"/>
              </w:rPr>
              <w:t>312</w:t>
            </w:r>
          </w:p>
        </w:tc>
        <w:tc>
          <w:tcPr>
            <w:tcW w:w="320" w:type="dxa"/>
            <w:vAlign w:val="bottom"/>
            <w:shd w:val="clear" w:color="auto" w:fill="E5FFFF"/>
          </w:tcPr>
          <w:p>
            <w:pPr>
              <w:spacing w:after="0"/>
              <w:rPr>
                <w:sz w:val="17"/>
                <w:szCs w:val="17"/>
                <w:color w:val="auto"/>
              </w:rPr>
            </w:pPr>
          </w:p>
        </w:tc>
        <w:tc>
          <w:tcPr>
            <w:tcW w:w="320" w:type="dxa"/>
            <w:vAlign w:val="bottom"/>
            <w:shd w:val="clear" w:color="auto" w:fill="E5FFFF"/>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shd w:val="clear" w:color="auto" w:fill="E5FFFF"/>
          </w:tcPr>
          <w:p>
            <w:pPr>
              <w:jc w:val="right"/>
              <w:ind w:right="14"/>
              <w:spacing w:after="0" w:line="196" w:lineRule="exact"/>
              <w:rPr>
                <w:sz w:val="20"/>
                <w:szCs w:val="20"/>
                <w:color w:val="auto"/>
              </w:rPr>
            </w:pPr>
            <w:r>
              <w:rPr>
                <w:rFonts w:ascii="Arial" w:cs="Arial" w:eastAsia="Arial" w:hAnsi="Arial"/>
                <w:sz w:val="18"/>
                <w:szCs w:val="18"/>
                <w:color w:val="auto"/>
              </w:rPr>
              <w:t>435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0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Probable insurance recoveries related to estimated liability</w:t>
            </w:r>
          </w:p>
        </w:tc>
        <w:tc>
          <w:tcPr>
            <w:tcW w:w="14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40" w:type="dxa"/>
            <w:vAlign w:val="bottom"/>
          </w:tcPr>
          <w:p>
            <w:pPr>
              <w:jc w:val="right"/>
              <w:ind w:right="50"/>
              <w:spacing w:after="0" w:line="202" w:lineRule="exact"/>
              <w:rPr>
                <w:sz w:val="20"/>
                <w:szCs w:val="20"/>
                <w:color w:val="auto"/>
              </w:rPr>
            </w:pPr>
            <w:r>
              <w:rPr>
                <w:rFonts w:ascii="Arial" w:cs="Arial" w:eastAsia="Arial" w:hAnsi="Arial"/>
                <w:sz w:val="18"/>
                <w:szCs w:val="18"/>
                <w:color w:val="auto"/>
              </w:rPr>
              <w:t>12</w:t>
            </w:r>
          </w:p>
        </w:tc>
        <w:tc>
          <w:tcPr>
            <w:tcW w:w="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ind w:right="14"/>
              <w:spacing w:after="0" w:line="202" w:lineRule="exact"/>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gridSpan w:val="2"/>
            <w:shd w:val="clear" w:color="auto" w:fill="E5FFFF"/>
          </w:tcPr>
          <w:p>
            <w:pPr>
              <w:ind w:left="160"/>
              <w:spacing w:after="0"/>
              <w:rPr>
                <w:sz w:val="20"/>
                <w:szCs w:val="20"/>
                <w:color w:val="auto"/>
              </w:rPr>
            </w:pPr>
            <w:r>
              <w:rPr>
                <w:rFonts w:ascii="Arial" w:cs="Arial" w:eastAsia="Arial" w:hAnsi="Arial"/>
                <w:sz w:val="18"/>
                <w:szCs w:val="18"/>
                <w:color w:val="auto"/>
              </w:rPr>
              <w:t>Insurance receipts for asbestos related liabilities</w:t>
            </w:r>
          </w:p>
        </w:tc>
        <w:tc>
          <w:tcPr>
            <w:tcW w:w="1420" w:type="dxa"/>
            <w:vAlign w:val="bottom"/>
            <w:shd w:val="clear" w:color="auto" w:fill="E5FFFF"/>
          </w:tcPr>
          <w:p>
            <w:pPr>
              <w:spacing w:after="0"/>
              <w:rPr>
                <w:sz w:val="18"/>
                <w:szCs w:val="18"/>
                <w:color w:val="auto"/>
              </w:rPr>
            </w:pPr>
          </w:p>
        </w:tc>
        <w:tc>
          <w:tcPr>
            <w:tcW w:w="960" w:type="dxa"/>
            <w:vAlign w:val="bottom"/>
            <w:tcBorders>
              <w:bottom w:val="single" w:sz="8" w:color="auto"/>
            </w:tcBorders>
            <w:shd w:val="clear" w:color="auto" w:fill="E5FFFF"/>
          </w:tcPr>
          <w:p>
            <w:pPr>
              <w:spacing w:after="0"/>
              <w:rPr>
                <w:sz w:val="18"/>
                <w:szCs w:val="18"/>
                <w:color w:val="auto"/>
              </w:rPr>
            </w:pPr>
          </w:p>
        </w:tc>
        <w:tc>
          <w:tcPr>
            <w:tcW w:w="4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(13)</w:t>
            </w:r>
          </w:p>
        </w:tc>
        <w:tc>
          <w:tcPr>
            <w:tcW w:w="340" w:type="dxa"/>
            <w:vAlign w:val="bottom"/>
            <w:shd w:val="clear" w:color="auto" w:fill="E5FFFF"/>
          </w:tcPr>
          <w:p>
            <w:pPr>
              <w:spacing w:after="0"/>
              <w:rPr>
                <w:sz w:val="18"/>
                <w:szCs w:val="18"/>
                <w:color w:val="auto"/>
              </w:rPr>
            </w:pPr>
          </w:p>
        </w:tc>
        <w:tc>
          <w:tcPr>
            <w:tcW w:w="940" w:type="dxa"/>
            <w:vAlign w:val="bottom"/>
            <w:tcBorders>
              <w:bottom w:val="single" w:sz="8" w:color="auto"/>
            </w:tcBorders>
            <w:shd w:val="clear" w:color="auto" w:fill="E5FFFF"/>
          </w:tcPr>
          <w:p>
            <w:pPr>
              <w:spacing w:after="0"/>
              <w:rPr>
                <w:sz w:val="18"/>
                <w:szCs w:val="18"/>
                <w:color w:val="auto"/>
              </w:rPr>
            </w:pPr>
          </w:p>
        </w:tc>
        <w:tc>
          <w:tcPr>
            <w:tcW w:w="4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(1)</w:t>
            </w:r>
          </w:p>
        </w:tc>
        <w:tc>
          <w:tcPr>
            <w:tcW w:w="320" w:type="dxa"/>
            <w:vAlign w:val="bottom"/>
            <w:shd w:val="clear" w:color="auto" w:fill="E5FFFF"/>
          </w:tcPr>
          <w:p>
            <w:pPr>
              <w:spacing w:after="0"/>
              <w:rPr>
                <w:sz w:val="18"/>
                <w:szCs w:val="18"/>
                <w:color w:val="auto"/>
              </w:rPr>
            </w:pPr>
          </w:p>
        </w:tc>
        <w:tc>
          <w:tcPr>
            <w:tcW w:w="320" w:type="dxa"/>
            <w:vAlign w:val="bottom"/>
            <w:tcBorders>
              <w:bottom w:val="single" w:sz="8" w:color="auto"/>
            </w:tcBorders>
            <w:shd w:val="clear" w:color="auto" w:fill="E5FFFF"/>
          </w:tcPr>
          <w:p>
            <w:pPr>
              <w:spacing w:after="0"/>
              <w:rPr>
                <w:sz w:val="18"/>
                <w:szCs w:val="18"/>
                <w:color w:val="auto"/>
              </w:rPr>
            </w:pPr>
          </w:p>
        </w:tc>
        <w:tc>
          <w:tcPr>
            <w:tcW w:w="10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00" w:type="dxa"/>
            <w:vAlign w:val="bottom"/>
            <w:gridSpan w:val="2"/>
          </w:tcPr>
          <w:p>
            <w:pPr>
              <w:spacing w:after="0" w:line="197" w:lineRule="exact"/>
              <w:rPr>
                <w:sz w:val="20"/>
                <w:szCs w:val="20"/>
                <w:color w:val="auto"/>
              </w:rPr>
            </w:pPr>
            <w:r>
              <w:rPr>
                <w:rFonts w:ascii="Arial" w:cs="Arial" w:eastAsia="Arial" w:hAnsi="Arial"/>
                <w:sz w:val="18"/>
                <w:szCs w:val="18"/>
                <w:color w:val="auto"/>
              </w:rPr>
              <w:t>June 30, 2018</w:t>
            </w:r>
          </w:p>
        </w:tc>
        <w:tc>
          <w:tcPr>
            <w:tcW w:w="2380" w:type="dxa"/>
            <w:vAlign w:val="bottom"/>
            <w:gridSpan w:val="2"/>
          </w:tcPr>
          <w:p>
            <w:pPr>
              <w:jc w:val="right"/>
              <w:ind w:right="779"/>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50"/>
              <w:spacing w:after="0"/>
              <w:rPr>
                <w:sz w:val="20"/>
                <w:szCs w:val="20"/>
                <w:color w:val="auto"/>
              </w:rPr>
            </w:pPr>
            <w:r>
              <w:rPr>
                <w:rFonts w:ascii="Arial" w:cs="Arial" w:eastAsia="Arial" w:hAnsi="Arial"/>
                <w:sz w:val="18"/>
                <w:szCs w:val="18"/>
                <w:color w:val="auto"/>
                <w:w w:val="93"/>
              </w:rPr>
              <w:t>122</w:t>
            </w:r>
          </w:p>
        </w:tc>
        <w:tc>
          <w:tcPr>
            <w:tcW w:w="1280" w:type="dxa"/>
            <w:vAlign w:val="bottom"/>
            <w:gridSpan w:val="2"/>
          </w:tcPr>
          <w:p>
            <w:pPr>
              <w:jc w:val="right"/>
              <w:ind w:right="759"/>
              <w:spacing w:after="0"/>
              <w:rPr>
                <w:sz w:val="20"/>
                <w:szCs w:val="20"/>
                <w:color w:val="auto"/>
              </w:rPr>
            </w:pPr>
            <w:r>
              <w:rPr>
                <w:rFonts w:ascii="Arial" w:cs="Arial" w:eastAsia="Arial" w:hAnsi="Arial"/>
                <w:sz w:val="18"/>
                <w:szCs w:val="18"/>
                <w:color w:val="auto"/>
              </w:rPr>
              <w:t>$</w:t>
            </w:r>
          </w:p>
        </w:tc>
        <w:tc>
          <w:tcPr>
            <w:tcW w:w="420" w:type="dxa"/>
            <w:vAlign w:val="bottom"/>
          </w:tcPr>
          <w:p>
            <w:pPr>
              <w:jc w:val="right"/>
              <w:ind w:right="30"/>
              <w:spacing w:after="0"/>
              <w:rPr>
                <w:sz w:val="20"/>
                <w:szCs w:val="20"/>
                <w:color w:val="auto"/>
              </w:rPr>
            </w:pPr>
            <w:r>
              <w:rPr>
                <w:rFonts w:ascii="Arial" w:cs="Arial" w:eastAsia="Arial" w:hAnsi="Arial"/>
                <w:sz w:val="18"/>
                <w:szCs w:val="18"/>
                <w:color w:val="auto"/>
                <w:w w:val="93"/>
              </w:rPr>
              <w:t>311</w:t>
            </w:r>
          </w:p>
        </w:tc>
        <w:tc>
          <w:tcPr>
            <w:tcW w:w="6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433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420" w:type="dxa"/>
            <w:vAlign w:val="bottom"/>
            <w:vMerge w:val="restart"/>
          </w:tcPr>
          <w:p>
            <w:pPr>
              <w:jc w:val="right"/>
              <w:ind w:right="730"/>
              <w:spacing w:after="0"/>
              <w:rPr>
                <w:sz w:val="20"/>
                <w:szCs w:val="20"/>
                <w:color w:val="auto"/>
              </w:rPr>
            </w:pPr>
            <w:r>
              <w:rPr>
                <w:rFonts w:ascii="Arial" w:cs="Arial" w:eastAsia="Arial" w:hAnsi="Arial"/>
                <w:sz w:val="18"/>
                <w:szCs w:val="18"/>
                <w:color w:val="auto"/>
              </w:rPr>
              <w:t>23</w:t>
            </w:r>
          </w:p>
        </w:tc>
        <w:tc>
          <w:tcPr>
            <w:tcW w:w="9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2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420" w:type="dxa"/>
            <w:vAlign w:val="bottom"/>
            <w:vMerge w:val="continue"/>
          </w:tcPr>
          <w:p>
            <w:pPr>
              <w:spacing w:after="0"/>
              <w:rPr>
                <w:sz w:val="24"/>
                <w:szCs w:val="24"/>
                <w:color w:val="auto"/>
              </w:rPr>
            </w:pPr>
          </w:p>
        </w:tc>
        <w:tc>
          <w:tcPr>
            <w:tcW w:w="9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700" w:type="dxa"/>
            <w:vAlign w:val="bottom"/>
            <w:tcBorders>
              <w:bottom w:val="single" w:sz="8" w:color="C0C0C0"/>
            </w:tcBorders>
          </w:tcPr>
          <w:p>
            <w:pPr>
              <w:spacing w:after="0"/>
              <w:rPr>
                <w:sz w:val="20"/>
                <w:szCs w:val="20"/>
                <w:color w:val="auto"/>
              </w:rPr>
            </w:pPr>
          </w:p>
        </w:tc>
        <w:tc>
          <w:tcPr>
            <w:tcW w:w="1500" w:type="dxa"/>
            <w:vAlign w:val="bottom"/>
            <w:tcBorders>
              <w:bottom w:val="single" w:sz="8" w:color="C0C0C0"/>
            </w:tcBorders>
          </w:tcPr>
          <w:p>
            <w:pPr>
              <w:spacing w:after="0"/>
              <w:rPr>
                <w:sz w:val="20"/>
                <w:szCs w:val="20"/>
                <w:color w:val="auto"/>
              </w:rPr>
            </w:pPr>
          </w:p>
        </w:tc>
        <w:tc>
          <w:tcPr>
            <w:tcW w:w="1420" w:type="dxa"/>
            <w:vAlign w:val="bottom"/>
            <w:tcBorders>
              <w:bottom w:val="single" w:sz="8" w:color="C0C0C0"/>
            </w:tcBorders>
          </w:tcPr>
          <w:p>
            <w:pPr>
              <w:spacing w:after="0"/>
              <w:rPr>
                <w:sz w:val="20"/>
                <w:szCs w:val="20"/>
                <w:color w:val="auto"/>
              </w:rPr>
            </w:pPr>
          </w:p>
        </w:tc>
        <w:tc>
          <w:tcPr>
            <w:tcW w:w="960" w:type="dxa"/>
            <w:vAlign w:val="bottom"/>
            <w:tcBorders>
              <w:bottom w:val="single" w:sz="8" w:color="C0C0C0"/>
            </w:tcBorders>
          </w:tcPr>
          <w:p>
            <w:pPr>
              <w:spacing w:after="0"/>
              <w:rPr>
                <w:sz w:val="20"/>
                <w:szCs w:val="20"/>
                <w:color w:val="auto"/>
              </w:rPr>
            </w:pPr>
          </w:p>
        </w:tc>
        <w:tc>
          <w:tcPr>
            <w:tcW w:w="440" w:type="dxa"/>
            <w:vAlign w:val="bottom"/>
            <w:tcBorders>
              <w:bottom w:val="single" w:sz="8" w:color="C0C0C0"/>
            </w:tcBorders>
          </w:tcPr>
          <w:p>
            <w:pPr>
              <w:spacing w:after="0"/>
              <w:rPr>
                <w:sz w:val="20"/>
                <w:szCs w:val="20"/>
                <w:color w:val="auto"/>
              </w:rPr>
            </w:pPr>
          </w:p>
        </w:tc>
        <w:tc>
          <w:tcPr>
            <w:tcW w:w="340" w:type="dxa"/>
            <w:vAlign w:val="bottom"/>
            <w:tcBorders>
              <w:bottom w:val="single" w:sz="8" w:color="C0C0C0"/>
            </w:tcBorders>
          </w:tcPr>
          <w:p>
            <w:pPr>
              <w:spacing w:after="0"/>
              <w:rPr>
                <w:sz w:val="20"/>
                <w:szCs w:val="20"/>
                <w:color w:val="auto"/>
              </w:rPr>
            </w:pPr>
          </w:p>
        </w:tc>
        <w:tc>
          <w:tcPr>
            <w:tcW w:w="940" w:type="dxa"/>
            <w:vAlign w:val="bottom"/>
            <w:tcBorders>
              <w:bottom w:val="single" w:sz="8" w:color="C0C0C0"/>
            </w:tcBorders>
          </w:tcPr>
          <w:p>
            <w:pPr>
              <w:spacing w:after="0"/>
              <w:rPr>
                <w:sz w:val="20"/>
                <w:szCs w:val="20"/>
                <w:color w:val="auto"/>
              </w:rPr>
            </w:pPr>
          </w:p>
        </w:tc>
        <w:tc>
          <w:tcPr>
            <w:tcW w:w="420" w:type="dxa"/>
            <w:vAlign w:val="bottom"/>
            <w:tcBorders>
              <w:bottom w:val="single" w:sz="8" w:color="C0C0C0"/>
            </w:tcBorders>
          </w:tcPr>
          <w:p>
            <w:pPr>
              <w:spacing w:after="0"/>
              <w:rPr>
                <w:sz w:val="20"/>
                <w:szCs w:val="20"/>
                <w:color w:val="auto"/>
              </w:rPr>
            </w:pPr>
          </w:p>
        </w:tc>
        <w:tc>
          <w:tcPr>
            <w:tcW w:w="320" w:type="dxa"/>
            <w:vAlign w:val="bottom"/>
            <w:tcBorders>
              <w:bottom w:val="single" w:sz="8" w:color="C0C0C0"/>
            </w:tcBorders>
          </w:tcPr>
          <w:p>
            <w:pPr>
              <w:spacing w:after="0"/>
              <w:rPr>
                <w:sz w:val="20"/>
                <w:szCs w:val="20"/>
                <w:color w:val="auto"/>
              </w:rPr>
            </w:pPr>
          </w:p>
        </w:tc>
        <w:tc>
          <w:tcPr>
            <w:tcW w:w="320" w:type="dxa"/>
            <w:vAlign w:val="bottom"/>
            <w:tcBorders>
              <w:bottom w:val="single" w:sz="8" w:color="C0C0C0"/>
            </w:tcBorders>
          </w:tcPr>
          <w:p>
            <w:pPr>
              <w:spacing w:after="0"/>
              <w:rPr>
                <w:sz w:val="20"/>
                <w:szCs w:val="20"/>
                <w:color w:val="auto"/>
              </w:rPr>
            </w:pPr>
          </w:p>
        </w:tc>
        <w:tc>
          <w:tcPr>
            <w:tcW w:w="1040" w:type="dxa"/>
            <w:vAlign w:val="bottom"/>
            <w:tcBorders>
              <w:bottom w:val="single" w:sz="8" w:color="C0C0C0"/>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-1251585</wp:posOffset>
            </wp:positionV>
            <wp:extent cx="7246620" cy="2571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257175"/>
                    </a:xfrm>
                    <a:prstGeom prst="rect">
                      <a:avLst/>
                    </a:prstGeom>
                    <a:noFill/>
                  </pic:spPr>
                </pic:pic>
              </a:graphicData>
            </a:graphic>
          </wp:anchor>
        </w:drawing>
      </w:r>
    </w:p>
    <w:p>
      <w:pPr>
        <w:sectPr>
          <w:pgSz w:w="11900" w:h="16838" w:orient="portrait"/>
          <w:cols w:equalWidth="0" w:num="1">
            <w:col w:w="11420"/>
          </w:cols>
          <w:pgMar w:left="240" w:top="400" w:right="239" w:bottom="1440" w:gutter="0" w:footer="0" w:header="0"/>
        </w:sectPr>
      </w:pPr>
    </w:p>
    <w:bookmarkStart w:id="23" w:name="page24"/>
    <w:bookmarkEnd w:id="23"/>
    <w:p>
      <w:pPr>
        <w:jc w:val="center"/>
        <w:spacing w:after="0"/>
        <w:rPr>
          <w:sz w:val="20"/>
          <w:szCs w:val="20"/>
          <w:color w:val="auto"/>
        </w:rPr>
      </w:pPr>
      <w:r>
        <w:rPr>
          <w:rFonts w:ascii="Arial" w:cs="Arial" w:eastAsia="Arial" w:hAnsi="Arial"/>
          <w:sz w:val="18"/>
          <w:szCs w:val="18"/>
          <w:b w:val="1"/>
          <w:bCs w:val="1"/>
          <w:color w:val="auto"/>
        </w:rPr>
        <w:t>Honeywell International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jc w:val="center"/>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NARCO and Bendix asbestos related balances are included in the following balance sheet accounts: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20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6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30,</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jc w:val="right"/>
              <w:ind w:right="114"/>
              <w:spacing w:after="0"/>
              <w:rPr>
                <w:sz w:val="20"/>
                <w:szCs w:val="20"/>
                <w:color w:val="auto"/>
              </w:rPr>
            </w:pPr>
            <w:r>
              <w:rPr>
                <w:rFonts w:ascii="Arial" w:cs="Arial" w:eastAsia="Arial" w:hAnsi="Arial"/>
                <w:sz w:val="14"/>
                <w:szCs w:val="14"/>
                <w:b w:val="1"/>
                <w:bCs w:val="1"/>
                <w:color w:val="auto"/>
              </w:rPr>
              <w:t>December 31,</w:t>
            </w:r>
          </w:p>
        </w:tc>
      </w:tr>
      <w:tr>
        <w:trPr>
          <w:trHeight w:val="175"/>
        </w:trPr>
        <w:tc>
          <w:tcPr>
            <w:tcW w:w="6200" w:type="dxa"/>
            <w:vAlign w:val="bottom"/>
            <w:tcBorders>
              <w:bottom w:val="single" w:sz="8" w:color="E5FFFF"/>
            </w:tcBorders>
          </w:tcPr>
          <w:p>
            <w:pPr>
              <w:spacing w:after="0"/>
              <w:rPr>
                <w:sz w:val="15"/>
                <w:szCs w:val="15"/>
                <w:color w:val="auto"/>
              </w:rPr>
            </w:pPr>
          </w:p>
        </w:tc>
        <w:tc>
          <w:tcPr>
            <w:tcW w:w="2160" w:type="dxa"/>
            <w:vAlign w:val="bottom"/>
            <w:tcBorders>
              <w:bottom w:val="single" w:sz="8" w:color="E5FF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2018</w:t>
            </w:r>
          </w:p>
        </w:tc>
        <w:tc>
          <w:tcPr>
            <w:tcW w:w="320" w:type="dxa"/>
            <w:vAlign w:val="bottom"/>
            <w:tcBorders>
              <w:bottom w:val="single" w:sz="8" w:color="E5FFFF"/>
            </w:tcBorders>
          </w:tcPr>
          <w:p>
            <w:pPr>
              <w:spacing w:after="0"/>
              <w:rPr>
                <w:sz w:val="15"/>
                <w:szCs w:val="15"/>
                <w:color w:val="auto"/>
              </w:rPr>
            </w:pPr>
          </w:p>
        </w:tc>
        <w:tc>
          <w:tcPr>
            <w:tcW w:w="20" w:type="dxa"/>
            <w:vAlign w:val="bottom"/>
            <w:tcBorders>
              <w:bottom w:val="single" w:sz="8" w:color="E5FF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2017</w:t>
            </w:r>
          </w:p>
        </w:tc>
      </w:tr>
      <w:tr>
        <w:trPr>
          <w:trHeight w:val="196"/>
        </w:trPr>
        <w:tc>
          <w:tcPr>
            <w:tcW w:w="6200" w:type="dxa"/>
            <w:vAlign w:val="bottom"/>
            <w:shd w:val="clear" w:color="auto" w:fill="E5FFFF"/>
          </w:tcPr>
          <w:p>
            <w:pPr>
              <w:spacing w:after="0" w:line="196" w:lineRule="exact"/>
              <w:rPr>
                <w:sz w:val="20"/>
                <w:szCs w:val="20"/>
                <w:color w:val="auto"/>
              </w:rPr>
            </w:pPr>
            <w:r>
              <w:rPr>
                <w:rFonts w:ascii="Arial" w:cs="Arial" w:eastAsia="Arial" w:hAnsi="Arial"/>
                <w:sz w:val="18"/>
                <w:szCs w:val="18"/>
                <w:color w:val="auto"/>
              </w:rPr>
              <w:t>Other current assets</w:t>
            </w:r>
          </w:p>
        </w:tc>
        <w:tc>
          <w:tcPr>
            <w:tcW w:w="2160" w:type="dxa"/>
            <w:vAlign w:val="bottom"/>
            <w:shd w:val="clear" w:color="auto" w:fill="E5FFFF"/>
          </w:tcPr>
          <w:p>
            <w:pPr>
              <w:spacing w:after="0"/>
              <w:rPr>
                <w:sz w:val="17"/>
                <w:szCs w:val="17"/>
                <w:color w:val="auto"/>
              </w:rPr>
            </w:pPr>
          </w:p>
        </w:tc>
        <w:tc>
          <w:tcPr>
            <w:tcW w:w="240" w:type="dxa"/>
            <w:vAlign w:val="bottom"/>
            <w:shd w:val="clear" w:color="auto" w:fill="E5FF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shd w:val="clear" w:color="auto" w:fill="E5FFFF"/>
          </w:tcPr>
          <w:p>
            <w:pPr>
              <w:jc w:val="right"/>
              <w:ind w:right="34"/>
              <w:spacing w:after="0" w:line="196" w:lineRule="exact"/>
              <w:rPr>
                <w:sz w:val="20"/>
                <w:szCs w:val="20"/>
                <w:color w:val="auto"/>
              </w:rPr>
            </w:pPr>
            <w:r>
              <w:rPr>
                <w:rFonts w:ascii="Arial" w:cs="Arial" w:eastAsia="Arial" w:hAnsi="Arial"/>
                <w:sz w:val="18"/>
                <w:szCs w:val="18"/>
                <w:color w:val="auto"/>
              </w:rPr>
              <w:t>24</w:t>
            </w:r>
          </w:p>
        </w:tc>
        <w:tc>
          <w:tcPr>
            <w:tcW w:w="32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140" w:type="dxa"/>
            <w:vAlign w:val="bottom"/>
            <w:shd w:val="clear" w:color="auto" w:fill="E5FF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E5FFFF"/>
          </w:tcPr>
          <w:p>
            <w:pPr>
              <w:jc w:val="right"/>
              <w:ind w:right="14"/>
              <w:spacing w:after="0" w:line="196" w:lineRule="exact"/>
              <w:rPr>
                <w:sz w:val="20"/>
                <w:szCs w:val="20"/>
                <w:color w:val="auto"/>
              </w:rPr>
            </w:pPr>
            <w:r>
              <w:rPr>
                <w:rFonts w:ascii="Arial" w:cs="Arial" w:eastAsia="Arial" w:hAnsi="Arial"/>
                <w:sz w:val="18"/>
                <w:szCs w:val="18"/>
                <w:color w:val="auto"/>
              </w:rPr>
              <w:t>24</w:t>
            </w:r>
          </w:p>
        </w:tc>
      </w:tr>
      <w:tr>
        <w:trPr>
          <w:trHeight w:val="216"/>
        </w:trPr>
        <w:tc>
          <w:tcPr>
            <w:tcW w:w="6200" w:type="dxa"/>
            <w:vAlign w:val="bottom"/>
            <w:tcBorders>
              <w:bottom w:val="single" w:sz="8" w:color="E5FFFF"/>
            </w:tcBorders>
          </w:tcPr>
          <w:p>
            <w:pPr>
              <w:spacing w:after="0"/>
              <w:rPr>
                <w:sz w:val="20"/>
                <w:szCs w:val="20"/>
                <w:color w:val="auto"/>
              </w:rPr>
            </w:pPr>
            <w:r>
              <w:rPr>
                <w:rFonts w:ascii="Arial" w:cs="Arial" w:eastAsia="Arial" w:hAnsi="Arial"/>
                <w:sz w:val="18"/>
                <w:szCs w:val="18"/>
                <w:color w:val="auto"/>
              </w:rPr>
              <w:t>Insurance recoveries for asbestos related liabilities</w:t>
            </w:r>
          </w:p>
        </w:tc>
        <w:tc>
          <w:tcPr>
            <w:tcW w:w="2160" w:type="dxa"/>
            <w:vAlign w:val="bottom"/>
            <w:tcBorders>
              <w:bottom w:val="single" w:sz="8" w:color="E5FF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409</w:t>
            </w:r>
          </w:p>
        </w:tc>
        <w:tc>
          <w:tcPr>
            <w:tcW w:w="320" w:type="dxa"/>
            <w:vAlign w:val="bottom"/>
            <w:tcBorders>
              <w:bottom w:val="single" w:sz="8" w:color="E5FFFF"/>
            </w:tcBorders>
          </w:tcPr>
          <w:p>
            <w:pPr>
              <w:spacing w:after="0"/>
              <w:rPr>
                <w:sz w:val="18"/>
                <w:szCs w:val="18"/>
                <w:color w:val="auto"/>
              </w:rPr>
            </w:pPr>
          </w:p>
        </w:tc>
        <w:tc>
          <w:tcPr>
            <w:tcW w:w="20" w:type="dxa"/>
            <w:vAlign w:val="bottom"/>
            <w:tcBorders>
              <w:bottom w:val="single" w:sz="8" w:color="E5FF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411</w:t>
            </w:r>
          </w:p>
        </w:tc>
      </w:tr>
      <w:tr>
        <w:trPr>
          <w:trHeight w:val="210"/>
        </w:trPr>
        <w:tc>
          <w:tcPr>
            <w:tcW w:w="6200" w:type="dxa"/>
            <w:vAlign w:val="bottom"/>
            <w:shd w:val="clear" w:color="auto" w:fill="E5FFFF"/>
          </w:tcPr>
          <w:p>
            <w:pPr>
              <w:spacing w:after="0"/>
              <w:rPr>
                <w:sz w:val="18"/>
                <w:szCs w:val="18"/>
                <w:color w:val="auto"/>
              </w:rPr>
            </w:pPr>
          </w:p>
        </w:tc>
        <w:tc>
          <w:tcPr>
            <w:tcW w:w="2400" w:type="dxa"/>
            <w:vAlign w:val="bottom"/>
            <w:gridSpan w:val="2"/>
            <w:shd w:val="clear" w:color="auto" w:fill="E5FFFF"/>
          </w:tcPr>
          <w:p>
            <w:pPr>
              <w:jc w:val="right"/>
              <w:ind w:right="50"/>
              <w:spacing w:after="0"/>
              <w:rPr>
                <w:sz w:val="20"/>
                <w:szCs w:val="20"/>
                <w:color w:val="auto"/>
              </w:rPr>
            </w:pPr>
            <w:r>
              <w:rPr>
                <w:rFonts w:ascii="Arial" w:cs="Arial" w:eastAsia="Arial" w:hAnsi="Arial"/>
                <w:sz w:val="18"/>
                <w:szCs w:val="18"/>
                <w:color w:val="auto"/>
              </w:rPr>
              <w:t>$</w:t>
            </w:r>
          </w:p>
        </w:tc>
        <w:tc>
          <w:tcPr>
            <w:tcW w:w="1140" w:type="dxa"/>
            <w:vAlign w:val="bottom"/>
            <w:shd w:val="clear" w:color="auto" w:fill="E5FFFF"/>
          </w:tcPr>
          <w:p>
            <w:pPr>
              <w:jc w:val="right"/>
              <w:ind w:right="34"/>
              <w:spacing w:after="0"/>
              <w:rPr>
                <w:sz w:val="20"/>
                <w:szCs w:val="20"/>
                <w:color w:val="auto"/>
              </w:rPr>
            </w:pPr>
            <w:r>
              <w:rPr>
                <w:rFonts w:ascii="Arial" w:cs="Arial" w:eastAsia="Arial" w:hAnsi="Arial"/>
                <w:sz w:val="18"/>
                <w:szCs w:val="18"/>
                <w:color w:val="auto"/>
              </w:rPr>
              <w:t>433</w:t>
            </w:r>
          </w:p>
        </w:tc>
        <w:tc>
          <w:tcPr>
            <w:tcW w:w="320" w:type="dxa"/>
            <w:vAlign w:val="bottom"/>
            <w:shd w:val="clear" w:color="auto" w:fill="E5FFFF"/>
          </w:tcPr>
          <w:p>
            <w:pPr>
              <w:spacing w:after="0"/>
              <w:rPr>
                <w:sz w:val="18"/>
                <w:szCs w:val="18"/>
                <w:color w:val="auto"/>
              </w:rPr>
            </w:pPr>
          </w:p>
        </w:tc>
        <w:tc>
          <w:tcPr>
            <w:tcW w:w="16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E5FFFF"/>
          </w:tcPr>
          <w:p>
            <w:pPr>
              <w:jc w:val="right"/>
              <w:ind w:right="14"/>
              <w:spacing w:after="0"/>
              <w:rPr>
                <w:sz w:val="20"/>
                <w:szCs w:val="20"/>
                <w:color w:val="auto"/>
              </w:rPr>
            </w:pPr>
            <w:r>
              <w:rPr>
                <w:rFonts w:ascii="Arial" w:cs="Arial" w:eastAsia="Arial" w:hAnsi="Arial"/>
                <w:sz w:val="18"/>
                <w:szCs w:val="18"/>
                <w:color w:val="auto"/>
              </w:rPr>
              <w:t>435</w:t>
            </w:r>
          </w:p>
        </w:tc>
      </w:tr>
      <w:tr>
        <w:trPr>
          <w:trHeight w:val="20"/>
        </w:trPr>
        <w:tc>
          <w:tcPr>
            <w:tcW w:w="6200" w:type="dxa"/>
            <w:vAlign w:val="bottom"/>
            <w:tcBorders>
              <w:top w:val="single" w:sz="8" w:color="E5FFFF"/>
            </w:tcBorders>
          </w:tcPr>
          <w:p>
            <w:pPr>
              <w:spacing w:after="0" w:line="20" w:lineRule="exact"/>
              <w:rPr>
                <w:sz w:val="1"/>
                <w:szCs w:val="1"/>
                <w:color w:val="auto"/>
              </w:rPr>
            </w:pPr>
          </w:p>
        </w:tc>
        <w:tc>
          <w:tcPr>
            <w:tcW w:w="2160" w:type="dxa"/>
            <w:vAlign w:val="bottom"/>
            <w:tcBorders>
              <w:top w:val="single" w:sz="8" w:color="E5FF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E5FFFF"/>
            </w:tcBorders>
          </w:tcPr>
          <w:p>
            <w:pPr>
              <w:spacing w:after="0" w:line="20" w:lineRule="exact"/>
              <w:rPr>
                <w:sz w:val="1"/>
                <w:szCs w:val="1"/>
                <w:color w:val="auto"/>
              </w:rPr>
            </w:pPr>
          </w:p>
        </w:tc>
        <w:tc>
          <w:tcPr>
            <w:tcW w:w="20" w:type="dxa"/>
            <w:vAlign w:val="bottom"/>
            <w:tcBorders>
              <w:top w:val="single" w:sz="8" w:color="E5FF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r>
        <w:trPr>
          <w:trHeight w:val="386"/>
        </w:trPr>
        <w:tc>
          <w:tcPr>
            <w:tcW w:w="6200" w:type="dxa"/>
            <w:vAlign w:val="bottom"/>
          </w:tcPr>
          <w:p>
            <w:pPr>
              <w:spacing w:after="0"/>
              <w:rPr>
                <w:sz w:val="20"/>
                <w:szCs w:val="20"/>
                <w:color w:val="auto"/>
              </w:rPr>
            </w:pPr>
            <w:r>
              <w:rPr>
                <w:rFonts w:ascii="Arial" w:cs="Arial" w:eastAsia="Arial" w:hAnsi="Arial"/>
                <w:sz w:val="18"/>
                <w:szCs w:val="18"/>
                <w:color w:val="auto"/>
              </w:rPr>
              <w:t>Accrued liabilities</w:t>
            </w:r>
          </w:p>
        </w:tc>
        <w:tc>
          <w:tcPr>
            <w:tcW w:w="24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350</w:t>
            </w:r>
          </w:p>
        </w:tc>
        <w:tc>
          <w:tcPr>
            <w:tcW w:w="320" w:type="dxa"/>
            <w:vAlign w:val="bottom"/>
          </w:tcPr>
          <w:p>
            <w:pPr>
              <w:spacing w:after="0"/>
              <w:rPr>
                <w:sz w:val="24"/>
                <w:szCs w:val="24"/>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350</w:t>
            </w:r>
          </w:p>
        </w:tc>
      </w:tr>
      <w:tr>
        <w:trPr>
          <w:trHeight w:val="216"/>
        </w:trPr>
        <w:tc>
          <w:tcPr>
            <w:tcW w:w="6200" w:type="dxa"/>
            <w:vAlign w:val="bottom"/>
            <w:shd w:val="clear" w:color="auto" w:fill="E5FFFF"/>
          </w:tcPr>
          <w:p>
            <w:pPr>
              <w:spacing w:after="0"/>
              <w:rPr>
                <w:sz w:val="20"/>
                <w:szCs w:val="20"/>
                <w:color w:val="auto"/>
              </w:rPr>
            </w:pPr>
            <w:r>
              <w:rPr>
                <w:rFonts w:ascii="Arial" w:cs="Arial" w:eastAsia="Arial" w:hAnsi="Arial"/>
                <w:sz w:val="18"/>
                <w:szCs w:val="18"/>
                <w:color w:val="auto"/>
              </w:rPr>
              <w:t>Asbestos related liabilities</w:t>
            </w:r>
          </w:p>
        </w:tc>
        <w:tc>
          <w:tcPr>
            <w:tcW w:w="2160" w:type="dxa"/>
            <w:vAlign w:val="bottom"/>
            <w:shd w:val="clear" w:color="auto" w:fill="E5FFFF"/>
          </w:tcPr>
          <w:p>
            <w:pPr>
              <w:spacing w:after="0"/>
              <w:rPr>
                <w:sz w:val="18"/>
                <w:szCs w:val="18"/>
                <w:color w:val="auto"/>
              </w:rPr>
            </w:pPr>
          </w:p>
        </w:tc>
        <w:tc>
          <w:tcPr>
            <w:tcW w:w="240" w:type="dxa"/>
            <w:vAlign w:val="bottom"/>
            <w:tcBorders>
              <w:bottom w:val="single" w:sz="8" w:color="auto"/>
            </w:tcBorders>
            <w:shd w:val="clear" w:color="auto" w:fill="E5FFFF"/>
          </w:tcPr>
          <w:p>
            <w:pPr>
              <w:spacing w:after="0"/>
              <w:rPr>
                <w:sz w:val="18"/>
                <w:szCs w:val="18"/>
                <w:color w:val="auto"/>
              </w:rPr>
            </w:pPr>
          </w:p>
        </w:tc>
        <w:tc>
          <w:tcPr>
            <w:tcW w:w="1140" w:type="dxa"/>
            <w:vAlign w:val="bottom"/>
            <w:tcBorders>
              <w:bottom w:val="single" w:sz="8" w:color="auto"/>
            </w:tcBorders>
            <w:shd w:val="clear" w:color="auto" w:fill="E5FFFF"/>
          </w:tcPr>
          <w:p>
            <w:pPr>
              <w:jc w:val="right"/>
              <w:ind w:right="34"/>
              <w:spacing w:after="0"/>
              <w:rPr>
                <w:sz w:val="20"/>
                <w:szCs w:val="20"/>
                <w:color w:val="auto"/>
              </w:rPr>
            </w:pPr>
            <w:r>
              <w:rPr>
                <w:rFonts w:ascii="Arial" w:cs="Arial" w:eastAsia="Arial" w:hAnsi="Arial"/>
                <w:sz w:val="18"/>
                <w:szCs w:val="18"/>
                <w:color w:val="auto"/>
              </w:rPr>
              <w:t>1,178</w:t>
            </w:r>
          </w:p>
        </w:tc>
        <w:tc>
          <w:tcPr>
            <w:tcW w:w="32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140" w:type="dxa"/>
            <w:vAlign w:val="bottom"/>
            <w:tcBorders>
              <w:bottom w:val="single" w:sz="8" w:color="auto"/>
            </w:tcBorders>
            <w:shd w:val="clear" w:color="auto" w:fill="E5FFFF"/>
          </w:tcPr>
          <w:p>
            <w:pPr>
              <w:spacing w:after="0"/>
              <w:rPr>
                <w:sz w:val="18"/>
                <w:szCs w:val="18"/>
                <w:color w:val="auto"/>
              </w:rPr>
            </w:pPr>
          </w:p>
        </w:tc>
        <w:tc>
          <w:tcPr>
            <w:tcW w:w="1200" w:type="dxa"/>
            <w:vAlign w:val="bottom"/>
            <w:tcBorders>
              <w:bottom w:val="single" w:sz="8" w:color="auto"/>
            </w:tcBorders>
            <w:shd w:val="clear" w:color="auto" w:fill="E5FFFF"/>
          </w:tcPr>
          <w:p>
            <w:pPr>
              <w:jc w:val="right"/>
              <w:ind w:right="14"/>
              <w:spacing w:after="0"/>
              <w:rPr>
                <w:sz w:val="20"/>
                <w:szCs w:val="20"/>
                <w:color w:val="auto"/>
              </w:rPr>
            </w:pPr>
            <w:r>
              <w:rPr>
                <w:rFonts w:ascii="Arial" w:cs="Arial" w:eastAsia="Arial" w:hAnsi="Arial"/>
                <w:sz w:val="18"/>
                <w:szCs w:val="18"/>
                <w:color w:val="auto"/>
              </w:rPr>
              <w:t>1,173</w:t>
            </w:r>
          </w:p>
        </w:tc>
      </w:tr>
      <w:tr>
        <w:trPr>
          <w:trHeight w:val="210"/>
        </w:trPr>
        <w:tc>
          <w:tcPr>
            <w:tcW w:w="6200" w:type="dxa"/>
            <w:vAlign w:val="bottom"/>
          </w:tcPr>
          <w:p>
            <w:pPr>
              <w:spacing w:after="0"/>
              <w:rPr>
                <w:sz w:val="18"/>
                <w:szCs w:val="18"/>
                <w:color w:val="auto"/>
              </w:rPr>
            </w:pPr>
          </w:p>
        </w:tc>
        <w:tc>
          <w:tcPr>
            <w:tcW w:w="24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1,528</w:t>
            </w:r>
          </w:p>
        </w:tc>
        <w:tc>
          <w:tcPr>
            <w:tcW w:w="32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1,523</w:t>
            </w:r>
          </w:p>
        </w:tc>
      </w:tr>
      <w:tr>
        <w:trPr>
          <w:trHeight w:val="20"/>
        </w:trPr>
        <w:tc>
          <w:tcPr>
            <w:tcW w:w="62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b w:val="1"/>
          <w:bCs w:val="1"/>
          <w:i w:val="1"/>
          <w:iCs w:val="1"/>
          <w:color w:val="auto"/>
        </w:rPr>
        <w:t xml:space="preserve">NARCO Products </w:t>
      </w:r>
      <w:r>
        <w:rPr>
          <w:rFonts w:ascii="Arial" w:cs="Arial" w:eastAsia="Arial" w:hAnsi="Arial"/>
          <w:sz w:val="18"/>
          <w:szCs w:val="18"/>
          <w:color w:val="auto"/>
        </w:rPr>
        <w:t>–In connection with NARCO’s emergence from bankruptcy on April 30, 2013, a federally authorized 524(g) trust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(NARCO Trust) was established for the evaluation and resolution of all existing and future NARCO asbestos claims. Both Honeywell and NARCO are protected by a permanent channeling injunction barring all present and future individual actions in state or federal courts and requiring all asbestos related claims based on exposure to NARCO asbestos-containing products to be made against the NARCO Trust. The NARCO Trust reviews submitted claims and determines award amounts in accordance with established Trust Distribution Procedures approved by the Bankruptcy Court which set forth the criteria claimants must meet to qualify for compensation including, among other things, exposure and medical criteria that determine the award amount. In addition, Honeywell provided, and continues to provide, input to the design of control procedures for processing NARCO claims, and has on-going audit rights to review and monitor the claims processor’s adherence to the established requirements of the Trust Distribution Procedures.</w:t>
      </w:r>
    </w:p>
    <w:p>
      <w:pPr>
        <w:spacing w:after="0" w:line="193"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Honeywell is obligated to fund NARCO asbestos claims submitted to the NARCO Trust which qualify for payment under the Trust Distribution Procedures (Annual Contribution Claims), subject to annual caps of $140 million in 2018 and $145 million for each year thereafter. However, the initial $100 million of claims processed through the NARCO Trust (the Initial Claims Amount) will not count against the annual cap and any unused portion of the Initial Claims Amount will roll over to subsequent years until fully utilized. In 2015, Honeywell filed suit against the NARCO Trust in Bankruptcy Court alleging breach of certain provisions of the Trust Agreement and Trust Distribution Procedures. The parties agreed to dismiss the proceeding without prejudice pursuant to an 18 month Standstill Agreement. Claims processing continued during this period as the parties attempted to resolve disputed issues. The Standstill Agreement expired on October 12, 2017. Notwithstanding its expiration, claims processing continues, and Honeywell continues to negotiate and attempt to resolve remaining disputed issues (that is instances where Honeywell believes the Trust is not processing claims in accordance with established Trust Distribution Procedures). Honeywell reserves its right to seek judicial intervention should negotiations fail or prove futile. As of June 30, 2018, Honeywell has not made any payments to the NARCO Trust for Annual Contribution Claims.</w:t>
      </w:r>
    </w:p>
    <w:p>
      <w:pPr>
        <w:spacing w:after="0" w:line="192"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Honeywell is also responsible for payments due to claimants pursuant to settlement agreements reached during the pendency of the NARCO bankruptcy proceedings that provide for the right to submit claims to the NARCO Trust subject to qualification under the terms of the settlement agreements and Trust Distribution Procedures criteria (Pre-established Unliquidated Claims), which amounts are estimated at $ 150 million and are expected to be paid during the initial years of trust operations ($5 million of which has been paid since the effective date of the NARCO Trust). Such payments are not subject to the annual cap described above.</w:t>
      </w:r>
    </w:p>
    <w:p>
      <w:pPr>
        <w:spacing w:after="0" w:line="189"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Our consolidated financial statements reflect an estimated liability for Pre-established Unliquidated Claims ($145 million), as well as unsettled claims pending as of the time NARCO filed for bankruptcy protection and operating and legal costs related to the Trust (collectively $30 million) and for the estimated value of future NARCO asbestos claims expected to be asserted against the NARCO Trust ($743 million). The estimate of future NARCO claims was prepared in 2002, in the same year NARCO filed for bankruptcy protection, using NARCO tort system litigation experience based on a commonly accepted methodology used by numerous bankruptcy courts addressing 524(g) trusts. Accordingly, the estimated value of future NARCO asbestos claims was prepared before there was data on claims filings and payment rates in the NARCO Trust under the Trust Distribution Procedures and also prepared when the stay of all NARCO asbestos claims was in effect (which remained in effect until NARCO emerged from Bankruptcy protection). Some critical assumptions underlying this commonly accepted methodology included claims filing rates, disease criteria and payment values contained in the Trust Distribution Procedures, estimated</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0" w:right="239"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b w:val="1"/>
          <w:bCs w:val="1"/>
          <w:color w:val="auto"/>
        </w:rPr>
        <w:t>Honeywell International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jc w:val="center"/>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19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approval rates of claims submitted to the NARCO Trust and epidemiological studies estimating disease instances. The estimated value of the future NARCO liability reflects claims expected to be asserted against NARCO over a fifteen year period. This projection resulted in a range of estimated liability of $ 743 million to $961 million. We believe that no amount within this range is a better estimate than any other amount and accordingly, we have recorded the minimum amount in the range. Given the Trust’s lack of sufficient claims processing experience since NARCO emerged from bankruptcy protection, it is not yet possible to reliably estimate future claim costs based on actual Trust experience.</w:t>
      </w:r>
    </w:p>
    <w:p>
      <w:pPr>
        <w:spacing w:after="0" w:line="189"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Our insurance receivable corresponding to the estimated liability for pending and future NARCO asbestos claims reflects coverage which reimburses Honeywell for portions of NARCO-related indemnity and defense costs and is provided by a large number of insurance policies written by dozens of insurance companies in both the domestic insurance market and the London excess market. We conduct analyses to estimate the probable amount of insurance that is recoverable for asbestos claims. While the substantial majority of our insurance carriers are solvent, some of our individual carriers are insolvent, which has been considered in our analysis of probable recoveries. We made judgments concerning insurance coverage that we believe are reasonable and consistent with our historical dealings and our knowledge of any pertinent solvency issues surrounding insurers.</w:t>
      </w:r>
    </w:p>
    <w:p>
      <w:pPr>
        <w:spacing w:after="0" w:line="190"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Projecting future events is subject to many uncertainties that could cause the NARCO-related asbestos liabilities or assets to be higher or lower than those projected and recorded. Given the uncertainties, we review our estimates periodically, and update them based on our experience and other relevant factors. Similarly, we will reevaluate our projections concerning our probable insurance recoveries in light of any changes to the projected liability or other developments that may impact insurance recoveries.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Bendix Products</w:t>
      </w:r>
      <w:r>
        <w:rPr>
          <w:rFonts w:ascii="Arial" w:cs="Arial" w:eastAsia="Arial" w:hAnsi="Arial"/>
          <w:sz w:val="18"/>
          <w:szCs w:val="18"/>
          <w:color w:val="auto"/>
        </w:rPr>
        <w:t>—The following tables present information regarding Bendix related asbestos claims activity:</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30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Six Months</w:t>
            </w:r>
          </w:p>
        </w:tc>
        <w:tc>
          <w:tcPr>
            <w:tcW w:w="1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0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Ended</w:t>
            </w:r>
          </w:p>
        </w:tc>
        <w:tc>
          <w:tcPr>
            <w:tcW w:w="1800" w:type="dxa"/>
            <w:vAlign w:val="bottom"/>
            <w:gridSpan w:val="3"/>
          </w:tcPr>
          <w:p>
            <w:pPr>
              <w:jc w:val="center"/>
              <w:ind w:left="697"/>
              <w:spacing w:after="0"/>
              <w:rPr>
                <w:sz w:val="20"/>
                <w:szCs w:val="20"/>
                <w:color w:val="auto"/>
              </w:rPr>
            </w:pPr>
            <w:r>
              <w:rPr>
                <w:rFonts w:ascii="Arial" w:cs="Arial" w:eastAsia="Arial" w:hAnsi="Arial"/>
                <w:sz w:val="14"/>
                <w:szCs w:val="14"/>
                <w:b w:val="1"/>
                <w:bCs w:val="1"/>
                <w:color w:val="auto"/>
              </w:rPr>
              <w:t>Years Ended</w:t>
            </w: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738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Claims Activity</w:t>
            </w:r>
          </w:p>
        </w:tc>
        <w:tc>
          <w:tcPr>
            <w:tcW w:w="14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June 30,</w:t>
            </w:r>
          </w:p>
        </w:tc>
        <w:tc>
          <w:tcPr>
            <w:tcW w:w="1800" w:type="dxa"/>
            <w:vAlign w:val="bottom"/>
            <w:gridSpan w:val="3"/>
          </w:tcPr>
          <w:p>
            <w:pPr>
              <w:jc w:val="center"/>
              <w:ind w:left="697"/>
              <w:spacing w:after="0"/>
              <w:rPr>
                <w:sz w:val="20"/>
                <w:szCs w:val="20"/>
                <w:color w:val="auto"/>
              </w:rPr>
            </w:pPr>
            <w:r>
              <w:rPr>
                <w:rFonts w:ascii="Arial" w:cs="Arial" w:eastAsia="Arial" w:hAnsi="Arial"/>
                <w:sz w:val="14"/>
                <w:szCs w:val="14"/>
                <w:b w:val="1"/>
                <w:bCs w:val="1"/>
                <w:color w:val="auto"/>
              </w:rPr>
              <w:t>December 31,</w:t>
            </w: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7380" w:type="dxa"/>
            <w:vAlign w:val="bottom"/>
            <w:gridSpan w:val="3"/>
            <w:vMerge w:val="continue"/>
          </w:tcPr>
          <w:p>
            <w:pPr>
              <w:spacing w:after="0"/>
              <w:rPr>
                <w:sz w:val="13"/>
                <w:szCs w:val="13"/>
                <w:color w:val="auto"/>
              </w:rPr>
            </w:pPr>
          </w:p>
        </w:tc>
        <w:tc>
          <w:tcPr>
            <w:tcW w:w="11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2018</w:t>
            </w:r>
          </w:p>
        </w:tc>
        <w:tc>
          <w:tcPr>
            <w:tcW w:w="340" w:type="dxa"/>
            <w:vAlign w:val="bottom"/>
          </w:tcPr>
          <w:p>
            <w:pPr>
              <w:spacing w:after="0"/>
              <w:rPr>
                <w:sz w:val="13"/>
                <w:szCs w:val="13"/>
                <w:color w:val="auto"/>
              </w:rPr>
            </w:pPr>
          </w:p>
        </w:tc>
        <w:tc>
          <w:tcPr>
            <w:tcW w:w="1120" w:type="dxa"/>
            <w:vAlign w:val="bottom"/>
            <w:tcBorders>
              <w:top w:val="single" w:sz="8" w:color="auto"/>
            </w:tcBorders>
          </w:tcPr>
          <w:p>
            <w:pPr>
              <w:jc w:val="right"/>
              <w:ind w:right="317"/>
              <w:spacing w:after="0" w:line="142" w:lineRule="exact"/>
              <w:rPr>
                <w:sz w:val="20"/>
                <w:szCs w:val="20"/>
                <w:color w:val="auto"/>
              </w:rPr>
            </w:pPr>
            <w:r>
              <w:rPr>
                <w:rFonts w:ascii="Arial" w:cs="Arial" w:eastAsia="Arial" w:hAnsi="Arial"/>
                <w:sz w:val="14"/>
                <w:szCs w:val="14"/>
                <w:b w:val="1"/>
                <w:bCs w:val="1"/>
                <w:color w:val="auto"/>
              </w:rPr>
              <w:t>2017</w:t>
            </w:r>
          </w:p>
        </w:tc>
        <w:tc>
          <w:tcPr>
            <w:tcW w:w="34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jc w:val="right"/>
              <w:ind w:right="314"/>
              <w:spacing w:after="0" w:line="142" w:lineRule="exact"/>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0"/>
        </w:trPr>
        <w:tc>
          <w:tcPr>
            <w:tcW w:w="1300" w:type="dxa"/>
            <w:vAlign w:val="bottom"/>
            <w:tcBorders>
              <w:top w:val="single" w:sz="8" w:color="auto"/>
              <w:bottom w:val="single" w:sz="8" w:color="E5FFFF"/>
            </w:tcBorders>
          </w:tcPr>
          <w:p>
            <w:pPr>
              <w:spacing w:after="0" w:line="20" w:lineRule="exact"/>
              <w:rPr>
                <w:sz w:val="1"/>
                <w:szCs w:val="1"/>
                <w:color w:val="auto"/>
              </w:rPr>
            </w:pPr>
          </w:p>
        </w:tc>
        <w:tc>
          <w:tcPr>
            <w:tcW w:w="2340" w:type="dxa"/>
            <w:vAlign w:val="bottom"/>
            <w:tcBorders>
              <w:bottom w:val="single" w:sz="8" w:color="E5FFFF"/>
            </w:tcBorders>
          </w:tcPr>
          <w:p>
            <w:pPr>
              <w:spacing w:after="0" w:line="20" w:lineRule="exact"/>
              <w:rPr>
                <w:sz w:val="1"/>
                <w:szCs w:val="1"/>
                <w:color w:val="auto"/>
              </w:rPr>
            </w:pPr>
          </w:p>
        </w:tc>
        <w:tc>
          <w:tcPr>
            <w:tcW w:w="3740" w:type="dxa"/>
            <w:vAlign w:val="bottom"/>
            <w:tcBorders>
              <w:bottom w:val="single" w:sz="8" w:color="E5FF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E5FF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E5FF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380" w:type="dxa"/>
            <w:vAlign w:val="bottom"/>
            <w:gridSpan w:val="3"/>
            <w:shd w:val="clear" w:color="auto" w:fill="E5FFFF"/>
          </w:tcPr>
          <w:p>
            <w:pPr>
              <w:spacing w:after="0" w:line="183" w:lineRule="exact"/>
              <w:rPr>
                <w:sz w:val="20"/>
                <w:szCs w:val="20"/>
                <w:color w:val="auto"/>
              </w:rPr>
            </w:pPr>
            <w:r>
              <w:rPr>
                <w:rFonts w:ascii="Arial" w:cs="Arial" w:eastAsia="Arial" w:hAnsi="Arial"/>
                <w:sz w:val="18"/>
                <w:szCs w:val="18"/>
                <w:color w:val="auto"/>
              </w:rPr>
              <w:t>Claims unresolved at the beginning of period</w:t>
            </w:r>
          </w:p>
        </w:tc>
        <w:tc>
          <w:tcPr>
            <w:tcW w:w="1120" w:type="dxa"/>
            <w:vAlign w:val="bottom"/>
            <w:shd w:val="clear" w:color="auto" w:fill="E5FFFF"/>
          </w:tcPr>
          <w:p>
            <w:pPr>
              <w:jc w:val="right"/>
              <w:ind w:right="18"/>
              <w:spacing w:after="0" w:line="183" w:lineRule="exact"/>
              <w:rPr>
                <w:sz w:val="20"/>
                <w:szCs w:val="20"/>
                <w:color w:val="auto"/>
              </w:rPr>
            </w:pPr>
            <w:r>
              <w:rPr>
                <w:rFonts w:ascii="Arial" w:cs="Arial" w:eastAsia="Arial" w:hAnsi="Arial"/>
                <w:sz w:val="18"/>
                <w:szCs w:val="18"/>
                <w:color w:val="auto"/>
              </w:rPr>
              <w:t>6,280</w:t>
            </w:r>
          </w:p>
        </w:tc>
        <w:tc>
          <w:tcPr>
            <w:tcW w:w="340" w:type="dxa"/>
            <w:vAlign w:val="bottom"/>
            <w:shd w:val="clear" w:color="auto" w:fill="E5FFFF"/>
          </w:tcPr>
          <w:p>
            <w:pPr>
              <w:spacing w:after="0"/>
              <w:rPr>
                <w:sz w:val="15"/>
                <w:szCs w:val="15"/>
                <w:color w:val="auto"/>
              </w:rPr>
            </w:pPr>
          </w:p>
        </w:tc>
        <w:tc>
          <w:tcPr>
            <w:tcW w:w="1120" w:type="dxa"/>
            <w:vAlign w:val="bottom"/>
            <w:shd w:val="clear" w:color="auto" w:fill="E5FFFF"/>
          </w:tcPr>
          <w:p>
            <w:pPr>
              <w:jc w:val="right"/>
              <w:ind w:right="17"/>
              <w:spacing w:after="0" w:line="183" w:lineRule="exact"/>
              <w:rPr>
                <w:sz w:val="20"/>
                <w:szCs w:val="20"/>
                <w:color w:val="auto"/>
              </w:rPr>
            </w:pPr>
            <w:r>
              <w:rPr>
                <w:rFonts w:ascii="Arial" w:cs="Arial" w:eastAsia="Arial" w:hAnsi="Arial"/>
                <w:sz w:val="18"/>
                <w:szCs w:val="18"/>
                <w:color w:val="auto"/>
              </w:rPr>
              <w:t>7,724</w:t>
            </w:r>
          </w:p>
        </w:tc>
        <w:tc>
          <w:tcPr>
            <w:tcW w:w="340" w:type="dxa"/>
            <w:vAlign w:val="bottom"/>
            <w:shd w:val="clear" w:color="auto" w:fill="E5FFFF"/>
          </w:tcPr>
          <w:p>
            <w:pPr>
              <w:spacing w:after="0"/>
              <w:rPr>
                <w:sz w:val="15"/>
                <w:szCs w:val="15"/>
                <w:color w:val="auto"/>
              </w:rPr>
            </w:pPr>
          </w:p>
        </w:tc>
        <w:tc>
          <w:tcPr>
            <w:tcW w:w="340" w:type="dxa"/>
            <w:vAlign w:val="bottom"/>
            <w:shd w:val="clear" w:color="auto" w:fill="E5FFFF"/>
          </w:tcPr>
          <w:p>
            <w:pPr>
              <w:spacing w:after="0"/>
              <w:rPr>
                <w:sz w:val="15"/>
                <w:szCs w:val="15"/>
                <w:color w:val="auto"/>
              </w:rPr>
            </w:pPr>
          </w:p>
        </w:tc>
        <w:tc>
          <w:tcPr>
            <w:tcW w:w="780" w:type="dxa"/>
            <w:vAlign w:val="bottom"/>
            <w:shd w:val="clear" w:color="auto" w:fill="E5FFFF"/>
          </w:tcPr>
          <w:p>
            <w:pPr>
              <w:jc w:val="right"/>
              <w:ind w:right="14"/>
              <w:spacing w:after="0" w:line="183" w:lineRule="exact"/>
              <w:rPr>
                <w:sz w:val="20"/>
                <w:szCs w:val="20"/>
                <w:color w:val="auto"/>
              </w:rPr>
            </w:pPr>
            <w:r>
              <w:rPr>
                <w:rFonts w:ascii="Arial" w:cs="Arial" w:eastAsia="Arial" w:hAnsi="Arial"/>
                <w:sz w:val="18"/>
                <w:szCs w:val="18"/>
                <w:color w:val="auto"/>
              </w:rPr>
              <w:t>7,779</w:t>
            </w:r>
          </w:p>
        </w:tc>
        <w:tc>
          <w:tcPr>
            <w:tcW w:w="0" w:type="dxa"/>
            <w:vAlign w:val="bottom"/>
          </w:tcPr>
          <w:p>
            <w:pPr>
              <w:spacing w:after="0"/>
              <w:rPr>
                <w:sz w:val="1"/>
                <w:szCs w:val="1"/>
                <w:color w:val="auto"/>
              </w:rPr>
            </w:pPr>
          </w:p>
        </w:tc>
      </w:tr>
      <w:tr>
        <w:trPr>
          <w:trHeight w:val="203"/>
        </w:trPr>
        <w:tc>
          <w:tcPr>
            <w:tcW w:w="7380" w:type="dxa"/>
            <w:vAlign w:val="bottom"/>
            <w:gridSpan w:val="3"/>
          </w:tcPr>
          <w:p>
            <w:pPr>
              <w:spacing w:after="0" w:line="202" w:lineRule="exact"/>
              <w:rPr>
                <w:sz w:val="20"/>
                <w:szCs w:val="20"/>
                <w:color w:val="auto"/>
              </w:rPr>
            </w:pPr>
            <w:r>
              <w:rPr>
                <w:rFonts w:ascii="Arial" w:cs="Arial" w:eastAsia="Arial" w:hAnsi="Arial"/>
                <w:sz w:val="18"/>
                <w:szCs w:val="18"/>
                <w:color w:val="auto"/>
              </w:rPr>
              <w:t>Claims filed</w:t>
            </w:r>
          </w:p>
        </w:tc>
        <w:tc>
          <w:tcPr>
            <w:tcW w:w="1120" w:type="dxa"/>
            <w:vAlign w:val="bottom"/>
          </w:tcPr>
          <w:p>
            <w:pPr>
              <w:jc w:val="right"/>
              <w:ind w:right="18"/>
              <w:spacing w:after="0" w:line="202" w:lineRule="exact"/>
              <w:rPr>
                <w:sz w:val="20"/>
                <w:szCs w:val="20"/>
                <w:color w:val="auto"/>
              </w:rPr>
            </w:pPr>
            <w:r>
              <w:rPr>
                <w:rFonts w:ascii="Arial" w:cs="Arial" w:eastAsia="Arial" w:hAnsi="Arial"/>
                <w:sz w:val="18"/>
                <w:szCs w:val="18"/>
                <w:color w:val="auto"/>
              </w:rPr>
              <w:t>1,210</w:t>
            </w:r>
          </w:p>
        </w:tc>
        <w:tc>
          <w:tcPr>
            <w:tcW w:w="340" w:type="dxa"/>
            <w:vAlign w:val="bottom"/>
          </w:tcPr>
          <w:p>
            <w:pPr>
              <w:spacing w:after="0"/>
              <w:rPr>
                <w:sz w:val="17"/>
                <w:szCs w:val="17"/>
                <w:color w:val="auto"/>
              </w:rPr>
            </w:pPr>
          </w:p>
        </w:tc>
        <w:tc>
          <w:tcPr>
            <w:tcW w:w="1120" w:type="dxa"/>
            <w:vAlign w:val="bottom"/>
          </w:tcPr>
          <w:p>
            <w:pPr>
              <w:jc w:val="right"/>
              <w:ind w:right="17"/>
              <w:spacing w:after="0" w:line="202" w:lineRule="exact"/>
              <w:rPr>
                <w:sz w:val="20"/>
                <w:szCs w:val="20"/>
                <w:color w:val="auto"/>
              </w:rPr>
            </w:pPr>
            <w:r>
              <w:rPr>
                <w:rFonts w:ascii="Arial" w:cs="Arial" w:eastAsia="Arial" w:hAnsi="Arial"/>
                <w:sz w:val="18"/>
                <w:szCs w:val="18"/>
                <w:color w:val="auto"/>
              </w:rPr>
              <w:t>2,645</w:t>
            </w: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2,830</w:t>
            </w:r>
          </w:p>
        </w:tc>
        <w:tc>
          <w:tcPr>
            <w:tcW w:w="0" w:type="dxa"/>
            <w:vAlign w:val="bottom"/>
          </w:tcPr>
          <w:p>
            <w:pPr>
              <w:spacing w:after="0"/>
              <w:rPr>
                <w:sz w:val="1"/>
                <w:szCs w:val="1"/>
                <w:color w:val="auto"/>
              </w:rPr>
            </w:pPr>
          </w:p>
        </w:tc>
      </w:tr>
      <w:tr>
        <w:trPr>
          <w:trHeight w:val="216"/>
        </w:trPr>
        <w:tc>
          <w:tcPr>
            <w:tcW w:w="7380" w:type="dxa"/>
            <w:vAlign w:val="bottom"/>
            <w:gridSpan w:val="3"/>
            <w:shd w:val="clear" w:color="auto" w:fill="E5FFFF"/>
          </w:tcPr>
          <w:p>
            <w:pPr>
              <w:spacing w:after="0"/>
              <w:rPr>
                <w:sz w:val="20"/>
                <w:szCs w:val="20"/>
                <w:color w:val="auto"/>
              </w:rPr>
            </w:pPr>
            <w:r>
              <w:rPr>
                <w:rFonts w:ascii="Arial" w:cs="Arial" w:eastAsia="Arial" w:hAnsi="Arial"/>
                <w:sz w:val="18"/>
                <w:szCs w:val="18"/>
                <w:color w:val="auto"/>
              </w:rPr>
              <w:t>Claims resolved</w:t>
            </w:r>
          </w:p>
        </w:tc>
        <w:tc>
          <w:tcPr>
            <w:tcW w:w="11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(1,377)</w:t>
            </w:r>
          </w:p>
        </w:tc>
        <w:tc>
          <w:tcPr>
            <w:tcW w:w="340" w:type="dxa"/>
            <w:vAlign w:val="bottom"/>
            <w:shd w:val="clear" w:color="auto" w:fill="E5FFFF"/>
          </w:tcPr>
          <w:p>
            <w:pPr>
              <w:spacing w:after="0"/>
              <w:rPr>
                <w:sz w:val="18"/>
                <w:szCs w:val="18"/>
                <w:color w:val="auto"/>
              </w:rPr>
            </w:pPr>
          </w:p>
        </w:tc>
        <w:tc>
          <w:tcPr>
            <w:tcW w:w="11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(4,089)</w:t>
            </w:r>
          </w:p>
        </w:tc>
        <w:tc>
          <w:tcPr>
            <w:tcW w:w="340" w:type="dxa"/>
            <w:vAlign w:val="bottom"/>
            <w:shd w:val="clear" w:color="auto" w:fill="E5FFFF"/>
          </w:tcPr>
          <w:p>
            <w:pPr>
              <w:spacing w:after="0"/>
              <w:rPr>
                <w:sz w:val="18"/>
                <w:szCs w:val="18"/>
                <w:color w:val="auto"/>
              </w:rPr>
            </w:pPr>
          </w:p>
        </w:tc>
        <w:tc>
          <w:tcPr>
            <w:tcW w:w="340" w:type="dxa"/>
            <w:vAlign w:val="bottom"/>
            <w:tcBorders>
              <w:bottom w:val="single" w:sz="8" w:color="auto"/>
            </w:tcBorders>
            <w:shd w:val="clear" w:color="auto" w:fill="E5FFFF"/>
          </w:tcPr>
          <w:p>
            <w:pPr>
              <w:spacing w:after="0"/>
              <w:rPr>
                <w:sz w:val="18"/>
                <w:szCs w:val="18"/>
                <w:color w:val="auto"/>
              </w:rPr>
            </w:pPr>
          </w:p>
        </w:tc>
        <w:tc>
          <w:tcPr>
            <w:tcW w:w="7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(2,885)</w:t>
            </w:r>
          </w:p>
        </w:tc>
        <w:tc>
          <w:tcPr>
            <w:tcW w:w="0" w:type="dxa"/>
            <w:vAlign w:val="bottom"/>
          </w:tcPr>
          <w:p>
            <w:pPr>
              <w:spacing w:after="0"/>
              <w:rPr>
                <w:sz w:val="1"/>
                <w:szCs w:val="1"/>
                <w:color w:val="auto"/>
              </w:rPr>
            </w:pPr>
          </w:p>
        </w:tc>
      </w:tr>
      <w:tr>
        <w:trPr>
          <w:trHeight w:val="210"/>
        </w:trPr>
        <w:tc>
          <w:tcPr>
            <w:tcW w:w="7380" w:type="dxa"/>
            <w:vAlign w:val="bottom"/>
            <w:gridSpan w:val="3"/>
          </w:tcPr>
          <w:p>
            <w:pPr>
              <w:spacing w:after="0" w:line="197" w:lineRule="exact"/>
              <w:rPr>
                <w:sz w:val="20"/>
                <w:szCs w:val="20"/>
                <w:color w:val="auto"/>
              </w:rPr>
            </w:pPr>
            <w:r>
              <w:rPr>
                <w:rFonts w:ascii="Arial" w:cs="Arial" w:eastAsia="Arial" w:hAnsi="Arial"/>
                <w:sz w:val="18"/>
                <w:szCs w:val="18"/>
                <w:color w:val="auto"/>
              </w:rPr>
              <w:t>Claims unresolved at the end of period</w:t>
            </w:r>
          </w:p>
        </w:tc>
        <w:tc>
          <w:tcPr>
            <w:tcW w:w="1120" w:type="dxa"/>
            <w:vAlign w:val="bottom"/>
            <w:tcBorders>
              <w:bottom w:val="single" w:sz="8" w:color="auto"/>
            </w:tcBorders>
          </w:tcPr>
          <w:p>
            <w:pPr>
              <w:jc w:val="right"/>
              <w:ind w:right="18"/>
              <w:spacing w:after="0"/>
              <w:rPr>
                <w:sz w:val="20"/>
                <w:szCs w:val="20"/>
                <w:color w:val="auto"/>
              </w:rPr>
            </w:pPr>
            <w:r>
              <w:rPr>
                <w:rFonts w:ascii="Arial" w:cs="Arial" w:eastAsia="Arial" w:hAnsi="Arial"/>
                <w:sz w:val="18"/>
                <w:szCs w:val="18"/>
                <w:color w:val="auto"/>
              </w:rPr>
              <w:t>6,113</w:t>
            </w:r>
          </w:p>
        </w:tc>
        <w:tc>
          <w:tcPr>
            <w:tcW w:w="340" w:type="dxa"/>
            <w:vAlign w:val="bottom"/>
          </w:tcPr>
          <w:p>
            <w:pPr>
              <w:spacing w:after="0"/>
              <w:rPr>
                <w:sz w:val="18"/>
                <w:szCs w:val="18"/>
                <w:color w:val="auto"/>
              </w:rPr>
            </w:pPr>
          </w:p>
        </w:tc>
        <w:tc>
          <w:tcPr>
            <w:tcW w:w="112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6,280</w:t>
            </w:r>
          </w:p>
        </w:tc>
        <w:tc>
          <w:tcPr>
            <w:tcW w:w="3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7,724</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30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37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300" w:type="dxa"/>
            <w:vAlign w:val="bottom"/>
            <w:shd w:val="clear" w:color="auto" w:fill="E5FFFF"/>
          </w:tcPr>
          <w:p>
            <w:pPr>
              <w:spacing w:after="0"/>
              <w:rPr>
                <w:sz w:val="18"/>
                <w:szCs w:val="18"/>
                <w:color w:val="auto"/>
              </w:rPr>
            </w:pPr>
          </w:p>
        </w:tc>
        <w:tc>
          <w:tcPr>
            <w:tcW w:w="2340" w:type="dxa"/>
            <w:vAlign w:val="bottom"/>
            <w:shd w:val="clear" w:color="auto" w:fill="E5FFFF"/>
          </w:tcPr>
          <w:p>
            <w:pPr>
              <w:spacing w:after="0"/>
              <w:rPr>
                <w:sz w:val="18"/>
                <w:szCs w:val="18"/>
                <w:color w:val="auto"/>
              </w:rPr>
            </w:pPr>
          </w:p>
        </w:tc>
        <w:tc>
          <w:tcPr>
            <w:tcW w:w="3740" w:type="dxa"/>
            <w:vAlign w:val="bottom"/>
            <w:shd w:val="clear" w:color="auto" w:fill="E5FFFF"/>
          </w:tcPr>
          <w:p>
            <w:pPr>
              <w:spacing w:after="0"/>
              <w:rPr>
                <w:sz w:val="18"/>
                <w:szCs w:val="18"/>
                <w:color w:val="auto"/>
              </w:rPr>
            </w:pPr>
          </w:p>
        </w:tc>
        <w:tc>
          <w:tcPr>
            <w:tcW w:w="1460" w:type="dxa"/>
            <w:vAlign w:val="bottom"/>
            <w:gridSpan w:val="2"/>
            <w:shd w:val="clear" w:color="auto" w:fill="E5FFFF"/>
          </w:tcPr>
          <w:p>
            <w:pPr>
              <w:jc w:val="center"/>
              <w:ind w:right="320"/>
              <w:spacing w:after="0"/>
              <w:rPr>
                <w:sz w:val="20"/>
                <w:szCs w:val="20"/>
                <w:color w:val="auto"/>
              </w:rPr>
            </w:pPr>
            <w:r>
              <w:rPr>
                <w:rFonts w:ascii="Arial" w:cs="Arial" w:eastAsia="Arial" w:hAnsi="Arial"/>
                <w:sz w:val="14"/>
                <w:szCs w:val="14"/>
                <w:b w:val="1"/>
                <w:bCs w:val="1"/>
                <w:color w:val="auto"/>
              </w:rPr>
              <w:t>June 30,</w:t>
            </w:r>
          </w:p>
        </w:tc>
        <w:tc>
          <w:tcPr>
            <w:tcW w:w="1800" w:type="dxa"/>
            <w:vAlign w:val="bottom"/>
            <w:gridSpan w:val="3"/>
            <w:shd w:val="clear" w:color="auto" w:fill="E5FFFF"/>
          </w:tcPr>
          <w:p>
            <w:pPr>
              <w:jc w:val="center"/>
              <w:ind w:left="697"/>
              <w:spacing w:after="0"/>
              <w:rPr>
                <w:sz w:val="20"/>
                <w:szCs w:val="20"/>
                <w:color w:val="auto"/>
              </w:rPr>
            </w:pPr>
            <w:r>
              <w:rPr>
                <w:rFonts w:ascii="Arial" w:cs="Arial" w:eastAsia="Arial" w:hAnsi="Arial"/>
                <w:sz w:val="14"/>
                <w:szCs w:val="14"/>
                <w:b w:val="1"/>
                <w:bCs w:val="1"/>
                <w:color w:val="auto"/>
              </w:rPr>
              <w:t>December 31,</w:t>
            </w:r>
          </w:p>
        </w:tc>
        <w:tc>
          <w:tcPr>
            <w:tcW w:w="78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3640" w:type="dxa"/>
            <w:vAlign w:val="bottom"/>
            <w:tcBorders>
              <w:bottom w:val="single" w:sz="8" w:color="auto"/>
            </w:tcBorders>
            <w:gridSpan w:val="2"/>
          </w:tcPr>
          <w:p>
            <w:pPr>
              <w:spacing w:after="0" w:line="136" w:lineRule="exact"/>
              <w:rPr>
                <w:sz w:val="20"/>
                <w:szCs w:val="20"/>
                <w:color w:val="auto"/>
              </w:rPr>
            </w:pPr>
            <w:r>
              <w:rPr>
                <w:rFonts w:ascii="Arial" w:cs="Arial" w:eastAsia="Arial" w:hAnsi="Arial"/>
                <w:sz w:val="15"/>
                <w:szCs w:val="15"/>
                <w:b w:val="1"/>
                <w:bCs w:val="1"/>
                <w:color w:val="auto"/>
              </w:rPr>
              <w:t>Disease Distribution of Unresolved Claims</w:t>
            </w:r>
          </w:p>
        </w:tc>
        <w:tc>
          <w:tcPr>
            <w:tcW w:w="3740" w:type="dxa"/>
            <w:vAlign w:val="bottom"/>
          </w:tcPr>
          <w:p>
            <w:pPr>
              <w:spacing w:after="0"/>
              <w:rPr>
                <w:sz w:val="13"/>
                <w:szCs w:val="13"/>
                <w:color w:val="auto"/>
              </w:rPr>
            </w:pPr>
          </w:p>
        </w:tc>
        <w:tc>
          <w:tcPr>
            <w:tcW w:w="1120" w:type="dxa"/>
            <w:vAlign w:val="bottom"/>
            <w:tcBorders>
              <w:top w:val="single" w:sz="8" w:color="auto"/>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2018</w:t>
            </w:r>
          </w:p>
        </w:tc>
        <w:tc>
          <w:tcPr>
            <w:tcW w:w="340" w:type="dxa"/>
            <w:vAlign w:val="bottom"/>
          </w:tcPr>
          <w:p>
            <w:pPr>
              <w:spacing w:after="0"/>
              <w:rPr>
                <w:sz w:val="13"/>
                <w:szCs w:val="13"/>
                <w:color w:val="auto"/>
              </w:rPr>
            </w:pPr>
          </w:p>
        </w:tc>
        <w:tc>
          <w:tcPr>
            <w:tcW w:w="1120" w:type="dxa"/>
            <w:vAlign w:val="bottom"/>
            <w:tcBorders>
              <w:top w:val="single" w:sz="8" w:color="auto"/>
              <w:bottom w:val="single" w:sz="8" w:color="auto"/>
            </w:tcBorders>
          </w:tcPr>
          <w:p>
            <w:pPr>
              <w:jc w:val="right"/>
              <w:ind w:right="317"/>
              <w:spacing w:after="0" w:line="155" w:lineRule="exact"/>
              <w:rPr>
                <w:sz w:val="20"/>
                <w:szCs w:val="20"/>
                <w:color w:val="auto"/>
              </w:rPr>
            </w:pPr>
            <w:r>
              <w:rPr>
                <w:rFonts w:ascii="Arial" w:cs="Arial" w:eastAsia="Arial" w:hAnsi="Arial"/>
                <w:sz w:val="14"/>
                <w:szCs w:val="14"/>
                <w:b w:val="1"/>
                <w:bCs w:val="1"/>
                <w:color w:val="auto"/>
              </w:rPr>
              <w:t>2017</w:t>
            </w:r>
          </w:p>
        </w:tc>
        <w:tc>
          <w:tcPr>
            <w:tcW w:w="34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jc w:val="right"/>
              <w:ind w:right="314"/>
              <w:spacing w:after="0" w:line="155" w:lineRule="exact"/>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1"/>
        </w:trPr>
        <w:tc>
          <w:tcPr>
            <w:tcW w:w="1300" w:type="dxa"/>
            <w:vAlign w:val="bottom"/>
            <w:tcBorders>
              <w:bottom w:val="single" w:sz="8" w:color="E5FFFF"/>
            </w:tcBorders>
          </w:tcPr>
          <w:p>
            <w:pPr>
              <w:spacing w:after="0" w:line="20" w:lineRule="exact"/>
              <w:rPr>
                <w:sz w:val="1"/>
                <w:szCs w:val="1"/>
                <w:color w:val="auto"/>
              </w:rPr>
            </w:pPr>
          </w:p>
        </w:tc>
        <w:tc>
          <w:tcPr>
            <w:tcW w:w="2340" w:type="dxa"/>
            <w:vAlign w:val="bottom"/>
            <w:tcBorders>
              <w:bottom w:val="single" w:sz="8" w:color="E5FFFF"/>
            </w:tcBorders>
          </w:tcPr>
          <w:p>
            <w:pPr>
              <w:spacing w:after="0" w:line="20" w:lineRule="exact"/>
              <w:rPr>
                <w:sz w:val="1"/>
                <w:szCs w:val="1"/>
                <w:color w:val="auto"/>
              </w:rPr>
            </w:pPr>
          </w:p>
        </w:tc>
        <w:tc>
          <w:tcPr>
            <w:tcW w:w="3740" w:type="dxa"/>
            <w:vAlign w:val="bottom"/>
            <w:tcBorders>
              <w:bottom w:val="single" w:sz="8" w:color="E5FF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E5FF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E5FF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7380" w:type="dxa"/>
            <w:vAlign w:val="bottom"/>
            <w:gridSpan w:val="3"/>
            <w:shd w:val="clear" w:color="auto" w:fill="E5FFFF"/>
          </w:tcPr>
          <w:p>
            <w:pPr>
              <w:spacing w:after="0" w:line="196" w:lineRule="exact"/>
              <w:rPr>
                <w:sz w:val="20"/>
                <w:szCs w:val="20"/>
                <w:color w:val="auto"/>
              </w:rPr>
            </w:pPr>
            <w:r>
              <w:rPr>
                <w:rFonts w:ascii="Arial" w:cs="Arial" w:eastAsia="Arial" w:hAnsi="Arial"/>
                <w:sz w:val="18"/>
                <w:szCs w:val="18"/>
                <w:color w:val="auto"/>
              </w:rPr>
              <w:t>Mesothelioma and other cancer claims</w:t>
            </w:r>
          </w:p>
        </w:tc>
        <w:tc>
          <w:tcPr>
            <w:tcW w:w="1120" w:type="dxa"/>
            <w:vAlign w:val="bottom"/>
            <w:shd w:val="clear" w:color="auto" w:fill="E5FFFF"/>
          </w:tcPr>
          <w:p>
            <w:pPr>
              <w:jc w:val="right"/>
              <w:ind w:right="18"/>
              <w:spacing w:after="0" w:line="196" w:lineRule="exact"/>
              <w:rPr>
                <w:sz w:val="20"/>
                <w:szCs w:val="20"/>
                <w:color w:val="auto"/>
              </w:rPr>
            </w:pPr>
            <w:r>
              <w:rPr>
                <w:rFonts w:ascii="Arial" w:cs="Arial" w:eastAsia="Arial" w:hAnsi="Arial"/>
                <w:sz w:val="18"/>
                <w:szCs w:val="18"/>
                <w:color w:val="auto"/>
              </w:rPr>
              <w:t>2,876</w:t>
            </w:r>
          </w:p>
        </w:tc>
        <w:tc>
          <w:tcPr>
            <w:tcW w:w="340" w:type="dxa"/>
            <w:vAlign w:val="bottom"/>
            <w:shd w:val="clear" w:color="auto" w:fill="E5FFFF"/>
          </w:tcPr>
          <w:p>
            <w:pPr>
              <w:spacing w:after="0"/>
              <w:rPr>
                <w:sz w:val="17"/>
                <w:szCs w:val="17"/>
                <w:color w:val="auto"/>
              </w:rPr>
            </w:pPr>
          </w:p>
        </w:tc>
        <w:tc>
          <w:tcPr>
            <w:tcW w:w="1120" w:type="dxa"/>
            <w:vAlign w:val="bottom"/>
            <w:shd w:val="clear" w:color="auto" w:fill="E5FFFF"/>
          </w:tcPr>
          <w:p>
            <w:pPr>
              <w:jc w:val="right"/>
              <w:ind w:right="17"/>
              <w:spacing w:after="0" w:line="196" w:lineRule="exact"/>
              <w:rPr>
                <w:sz w:val="20"/>
                <w:szCs w:val="20"/>
                <w:color w:val="auto"/>
              </w:rPr>
            </w:pPr>
            <w:r>
              <w:rPr>
                <w:rFonts w:ascii="Arial" w:cs="Arial" w:eastAsia="Arial" w:hAnsi="Arial"/>
                <w:sz w:val="18"/>
                <w:szCs w:val="18"/>
                <w:color w:val="auto"/>
              </w:rPr>
              <w:t>3,062</w:t>
            </w:r>
          </w:p>
        </w:tc>
        <w:tc>
          <w:tcPr>
            <w:tcW w:w="340" w:type="dxa"/>
            <w:vAlign w:val="bottom"/>
            <w:shd w:val="clear" w:color="auto" w:fill="E5FFFF"/>
          </w:tcPr>
          <w:p>
            <w:pPr>
              <w:spacing w:after="0"/>
              <w:rPr>
                <w:sz w:val="17"/>
                <w:szCs w:val="17"/>
                <w:color w:val="auto"/>
              </w:rPr>
            </w:pPr>
          </w:p>
        </w:tc>
        <w:tc>
          <w:tcPr>
            <w:tcW w:w="340" w:type="dxa"/>
            <w:vAlign w:val="bottom"/>
            <w:shd w:val="clear" w:color="auto" w:fill="E5FFFF"/>
          </w:tcPr>
          <w:p>
            <w:pPr>
              <w:spacing w:after="0"/>
              <w:rPr>
                <w:sz w:val="17"/>
                <w:szCs w:val="17"/>
                <w:color w:val="auto"/>
              </w:rPr>
            </w:pPr>
          </w:p>
        </w:tc>
        <w:tc>
          <w:tcPr>
            <w:tcW w:w="780" w:type="dxa"/>
            <w:vAlign w:val="bottom"/>
            <w:shd w:val="clear" w:color="auto" w:fill="E5FFFF"/>
          </w:tcPr>
          <w:p>
            <w:pPr>
              <w:jc w:val="right"/>
              <w:ind w:right="14"/>
              <w:spacing w:after="0" w:line="196" w:lineRule="exact"/>
              <w:rPr>
                <w:sz w:val="20"/>
                <w:szCs w:val="20"/>
                <w:color w:val="auto"/>
              </w:rPr>
            </w:pPr>
            <w:r>
              <w:rPr>
                <w:rFonts w:ascii="Arial" w:cs="Arial" w:eastAsia="Arial" w:hAnsi="Arial"/>
                <w:sz w:val="18"/>
                <w:szCs w:val="18"/>
                <w:color w:val="auto"/>
              </w:rPr>
              <w:t>3,490</w:t>
            </w:r>
          </w:p>
        </w:tc>
        <w:tc>
          <w:tcPr>
            <w:tcW w:w="0" w:type="dxa"/>
            <w:vAlign w:val="bottom"/>
          </w:tcPr>
          <w:p>
            <w:pPr>
              <w:spacing w:after="0"/>
              <w:rPr>
                <w:sz w:val="1"/>
                <w:szCs w:val="1"/>
                <w:color w:val="auto"/>
              </w:rPr>
            </w:pPr>
          </w:p>
        </w:tc>
      </w:tr>
      <w:tr>
        <w:trPr>
          <w:trHeight w:val="216"/>
        </w:trPr>
        <w:tc>
          <w:tcPr>
            <w:tcW w:w="7380" w:type="dxa"/>
            <w:vAlign w:val="bottom"/>
            <w:tcBorders>
              <w:bottom w:val="single" w:sz="8" w:color="E5FFFF"/>
            </w:tcBorders>
            <w:gridSpan w:val="3"/>
          </w:tcPr>
          <w:p>
            <w:pPr>
              <w:spacing w:after="0"/>
              <w:rPr>
                <w:sz w:val="20"/>
                <w:szCs w:val="20"/>
                <w:color w:val="auto"/>
              </w:rPr>
            </w:pPr>
            <w:r>
              <w:rPr>
                <w:rFonts w:ascii="Arial" w:cs="Arial" w:eastAsia="Arial" w:hAnsi="Arial"/>
                <w:sz w:val="18"/>
                <w:szCs w:val="18"/>
                <w:color w:val="auto"/>
              </w:rPr>
              <w:t>Nonmalignant claims</w:t>
            </w:r>
          </w:p>
        </w:tc>
        <w:tc>
          <w:tcPr>
            <w:tcW w:w="1120" w:type="dxa"/>
            <w:vAlign w:val="bottom"/>
            <w:tcBorders>
              <w:bottom w:val="single" w:sz="8" w:color="auto"/>
            </w:tcBorders>
          </w:tcPr>
          <w:p>
            <w:pPr>
              <w:jc w:val="right"/>
              <w:ind w:right="18"/>
              <w:spacing w:after="0"/>
              <w:rPr>
                <w:sz w:val="20"/>
                <w:szCs w:val="20"/>
                <w:color w:val="auto"/>
              </w:rPr>
            </w:pPr>
            <w:r>
              <w:rPr>
                <w:rFonts w:ascii="Arial" w:cs="Arial" w:eastAsia="Arial" w:hAnsi="Arial"/>
                <w:sz w:val="18"/>
                <w:szCs w:val="18"/>
                <w:color w:val="auto"/>
              </w:rPr>
              <w:t>3,237</w:t>
            </w:r>
          </w:p>
        </w:tc>
        <w:tc>
          <w:tcPr>
            <w:tcW w:w="340" w:type="dxa"/>
            <w:vAlign w:val="bottom"/>
            <w:tcBorders>
              <w:bottom w:val="single" w:sz="8" w:color="E5FFFF"/>
            </w:tcBorders>
          </w:tcPr>
          <w:p>
            <w:pPr>
              <w:spacing w:after="0"/>
              <w:rPr>
                <w:sz w:val="18"/>
                <w:szCs w:val="18"/>
                <w:color w:val="auto"/>
              </w:rPr>
            </w:pPr>
          </w:p>
        </w:tc>
        <w:tc>
          <w:tcPr>
            <w:tcW w:w="112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3,218</w:t>
            </w:r>
          </w:p>
        </w:tc>
        <w:tc>
          <w:tcPr>
            <w:tcW w:w="340" w:type="dxa"/>
            <w:vAlign w:val="bottom"/>
            <w:tcBorders>
              <w:bottom w:val="single" w:sz="8" w:color="E5FF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4,234</w:t>
            </w:r>
          </w:p>
        </w:tc>
        <w:tc>
          <w:tcPr>
            <w:tcW w:w="0" w:type="dxa"/>
            <w:vAlign w:val="bottom"/>
          </w:tcPr>
          <w:p>
            <w:pPr>
              <w:spacing w:after="0"/>
              <w:rPr>
                <w:sz w:val="1"/>
                <w:szCs w:val="1"/>
                <w:color w:val="auto"/>
              </w:rPr>
            </w:pPr>
          </w:p>
        </w:tc>
      </w:tr>
      <w:tr>
        <w:trPr>
          <w:trHeight w:val="210"/>
        </w:trPr>
        <w:tc>
          <w:tcPr>
            <w:tcW w:w="7380" w:type="dxa"/>
            <w:vAlign w:val="bottom"/>
            <w:tcBorders>
              <w:bottom w:val="single" w:sz="8" w:color="E5FFFF"/>
            </w:tcBorders>
            <w:gridSpan w:val="3"/>
            <w:shd w:val="clear" w:color="auto" w:fill="E5FFFF"/>
          </w:tcPr>
          <w:p>
            <w:pPr>
              <w:ind w:left="180"/>
              <w:spacing w:after="0" w:line="197" w:lineRule="exact"/>
              <w:rPr>
                <w:sz w:val="20"/>
                <w:szCs w:val="20"/>
                <w:color w:val="auto"/>
              </w:rPr>
            </w:pPr>
            <w:r>
              <w:rPr>
                <w:rFonts w:ascii="Arial" w:cs="Arial" w:eastAsia="Arial" w:hAnsi="Arial"/>
                <w:sz w:val="18"/>
                <w:szCs w:val="18"/>
                <w:color w:val="auto"/>
              </w:rPr>
              <w:t>Total claims</w:t>
            </w:r>
          </w:p>
        </w:tc>
        <w:tc>
          <w:tcPr>
            <w:tcW w:w="1120" w:type="dxa"/>
            <w:vAlign w:val="bottom"/>
            <w:tcBorders>
              <w:bottom w:val="single" w:sz="8" w:color="auto"/>
            </w:tcBorders>
            <w:shd w:val="clear" w:color="auto" w:fill="E5FFFF"/>
          </w:tcPr>
          <w:p>
            <w:pPr>
              <w:jc w:val="right"/>
              <w:ind w:right="18"/>
              <w:spacing w:after="0"/>
              <w:rPr>
                <w:sz w:val="20"/>
                <w:szCs w:val="20"/>
                <w:color w:val="auto"/>
              </w:rPr>
            </w:pPr>
            <w:r>
              <w:rPr>
                <w:rFonts w:ascii="Arial" w:cs="Arial" w:eastAsia="Arial" w:hAnsi="Arial"/>
                <w:sz w:val="18"/>
                <w:szCs w:val="18"/>
                <w:color w:val="auto"/>
              </w:rPr>
              <w:t>6,113</w:t>
            </w:r>
          </w:p>
        </w:tc>
        <w:tc>
          <w:tcPr>
            <w:tcW w:w="340" w:type="dxa"/>
            <w:vAlign w:val="bottom"/>
            <w:tcBorders>
              <w:bottom w:val="single" w:sz="8" w:color="E5FFFF"/>
            </w:tcBorders>
            <w:shd w:val="clear" w:color="auto" w:fill="E5FFFF"/>
          </w:tcPr>
          <w:p>
            <w:pPr>
              <w:spacing w:after="0"/>
              <w:rPr>
                <w:sz w:val="18"/>
                <w:szCs w:val="18"/>
                <w:color w:val="auto"/>
              </w:rPr>
            </w:pPr>
          </w:p>
        </w:tc>
        <w:tc>
          <w:tcPr>
            <w:tcW w:w="1120" w:type="dxa"/>
            <w:vAlign w:val="bottom"/>
            <w:tcBorders>
              <w:bottom w:val="single" w:sz="8" w:color="auto"/>
            </w:tcBorders>
            <w:shd w:val="clear" w:color="auto" w:fill="E5FFFF"/>
          </w:tcPr>
          <w:p>
            <w:pPr>
              <w:jc w:val="right"/>
              <w:ind w:right="17"/>
              <w:spacing w:after="0"/>
              <w:rPr>
                <w:sz w:val="20"/>
                <w:szCs w:val="20"/>
                <w:color w:val="auto"/>
              </w:rPr>
            </w:pPr>
            <w:r>
              <w:rPr>
                <w:rFonts w:ascii="Arial" w:cs="Arial" w:eastAsia="Arial" w:hAnsi="Arial"/>
                <w:sz w:val="18"/>
                <w:szCs w:val="18"/>
                <w:color w:val="auto"/>
              </w:rPr>
              <w:t>6,280</w:t>
            </w:r>
          </w:p>
        </w:tc>
        <w:tc>
          <w:tcPr>
            <w:tcW w:w="340" w:type="dxa"/>
            <w:vAlign w:val="bottom"/>
            <w:tcBorders>
              <w:bottom w:val="single" w:sz="8" w:color="E5FFFF"/>
            </w:tcBorders>
            <w:shd w:val="clear" w:color="auto" w:fill="E5FFFF"/>
          </w:tcPr>
          <w:p>
            <w:pPr>
              <w:spacing w:after="0"/>
              <w:rPr>
                <w:sz w:val="18"/>
                <w:szCs w:val="18"/>
                <w:color w:val="auto"/>
              </w:rPr>
            </w:pPr>
          </w:p>
        </w:tc>
        <w:tc>
          <w:tcPr>
            <w:tcW w:w="340" w:type="dxa"/>
            <w:vAlign w:val="bottom"/>
            <w:tcBorders>
              <w:bottom w:val="single" w:sz="8" w:color="auto"/>
            </w:tcBorders>
            <w:shd w:val="clear" w:color="auto" w:fill="E5FFFF"/>
          </w:tcPr>
          <w:p>
            <w:pPr>
              <w:spacing w:after="0"/>
              <w:rPr>
                <w:sz w:val="18"/>
                <w:szCs w:val="18"/>
                <w:color w:val="auto"/>
              </w:rPr>
            </w:pPr>
          </w:p>
        </w:tc>
        <w:tc>
          <w:tcPr>
            <w:tcW w:w="780" w:type="dxa"/>
            <w:vAlign w:val="bottom"/>
            <w:tcBorders>
              <w:bottom w:val="single" w:sz="8" w:color="auto"/>
            </w:tcBorders>
            <w:shd w:val="clear" w:color="auto" w:fill="E5FFFF"/>
          </w:tcPr>
          <w:p>
            <w:pPr>
              <w:jc w:val="right"/>
              <w:ind w:right="14"/>
              <w:spacing w:after="0"/>
              <w:rPr>
                <w:sz w:val="20"/>
                <w:szCs w:val="20"/>
                <w:color w:val="auto"/>
              </w:rPr>
            </w:pPr>
            <w:r>
              <w:rPr>
                <w:rFonts w:ascii="Arial" w:cs="Arial" w:eastAsia="Arial" w:hAnsi="Arial"/>
                <w:sz w:val="18"/>
                <w:szCs w:val="18"/>
                <w:color w:val="auto"/>
              </w:rPr>
              <w:t>7,724</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-719455</wp:posOffset>
            </wp:positionV>
            <wp:extent cx="7246620" cy="2743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Honeywell has experienced average resolution values per claim excluding legal costs as follows: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3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Years Ended December 31,</w:t>
            </w: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r>
      <w:tr>
        <w:trPr>
          <w:trHeight w:val="156"/>
        </w:trPr>
        <w:tc>
          <w:tcPr>
            <w:tcW w:w="436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56"/>
              <w:spacing w:after="0" w:line="155" w:lineRule="exact"/>
              <w:rPr>
                <w:sz w:val="20"/>
                <w:szCs w:val="20"/>
                <w:color w:val="auto"/>
              </w:rPr>
            </w:pPr>
            <w:r>
              <w:rPr>
                <w:rFonts w:ascii="Arial" w:cs="Arial" w:eastAsia="Arial" w:hAnsi="Arial"/>
                <w:sz w:val="14"/>
                <w:szCs w:val="14"/>
                <w:b w:val="1"/>
                <w:bCs w:val="1"/>
                <w:color w:val="auto"/>
              </w:rPr>
              <w:t>2017</w:t>
            </w:r>
          </w:p>
        </w:tc>
        <w:tc>
          <w:tcPr>
            <w:tcW w:w="4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36"/>
              <w:spacing w:after="0" w:line="155" w:lineRule="exact"/>
              <w:rPr>
                <w:sz w:val="20"/>
                <w:szCs w:val="20"/>
                <w:color w:val="auto"/>
              </w:rPr>
            </w:pPr>
            <w:r>
              <w:rPr>
                <w:rFonts w:ascii="Arial" w:cs="Arial" w:eastAsia="Arial" w:hAnsi="Arial"/>
                <w:sz w:val="14"/>
                <w:szCs w:val="14"/>
                <w:b w:val="1"/>
                <w:bCs w:val="1"/>
                <w:color w:val="auto"/>
              </w:rPr>
              <w:t>2016</w:t>
            </w:r>
          </w:p>
        </w:tc>
        <w:tc>
          <w:tcPr>
            <w:tcW w:w="70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636"/>
              <w:spacing w:after="0" w:line="155" w:lineRule="exact"/>
              <w:rPr>
                <w:sz w:val="20"/>
                <w:szCs w:val="20"/>
                <w:color w:val="auto"/>
              </w:rPr>
            </w:pPr>
            <w:r>
              <w:rPr>
                <w:rFonts w:ascii="Arial" w:cs="Arial" w:eastAsia="Arial" w:hAnsi="Arial"/>
                <w:sz w:val="14"/>
                <w:szCs w:val="14"/>
                <w:b w:val="1"/>
                <w:bCs w:val="1"/>
                <w:color w:val="auto"/>
              </w:rPr>
              <w:t>2015</w:t>
            </w:r>
          </w:p>
        </w:tc>
        <w:tc>
          <w:tcPr>
            <w:tcW w:w="2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436"/>
              <w:spacing w:after="0" w:line="155" w:lineRule="exact"/>
              <w:rPr>
                <w:sz w:val="20"/>
                <w:szCs w:val="20"/>
                <w:color w:val="auto"/>
              </w:rPr>
            </w:pPr>
            <w:r>
              <w:rPr>
                <w:rFonts w:ascii="Arial" w:cs="Arial" w:eastAsia="Arial" w:hAnsi="Arial"/>
                <w:sz w:val="14"/>
                <w:szCs w:val="14"/>
                <w:b w:val="1"/>
                <w:bCs w:val="1"/>
                <w:color w:val="auto"/>
              </w:rPr>
              <w:t>2014</w:t>
            </w:r>
          </w:p>
        </w:tc>
        <w:tc>
          <w:tcPr>
            <w:tcW w:w="4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16"/>
              <w:spacing w:after="0" w:line="155" w:lineRule="exact"/>
              <w:rPr>
                <w:sz w:val="20"/>
                <w:szCs w:val="20"/>
                <w:color w:val="auto"/>
              </w:rPr>
            </w:pPr>
            <w:r>
              <w:rPr>
                <w:rFonts w:ascii="Arial" w:cs="Arial" w:eastAsia="Arial" w:hAnsi="Arial"/>
                <w:sz w:val="14"/>
                <w:szCs w:val="14"/>
                <w:b w:val="1"/>
                <w:bCs w:val="1"/>
                <w:color w:val="auto"/>
              </w:rPr>
              <w:t>2013</w:t>
            </w:r>
          </w:p>
        </w:tc>
      </w:tr>
      <w:tr>
        <w:trPr>
          <w:trHeight w:val="155"/>
        </w:trPr>
        <w:tc>
          <w:tcPr>
            <w:tcW w:w="43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880" w:type="dxa"/>
            <w:vAlign w:val="bottom"/>
            <w:gridSpan w:val="2"/>
          </w:tcPr>
          <w:p>
            <w:pPr>
              <w:jc w:val="right"/>
              <w:ind w:right="256"/>
              <w:spacing w:after="0" w:line="155" w:lineRule="exact"/>
              <w:rPr>
                <w:sz w:val="20"/>
                <w:szCs w:val="20"/>
                <w:color w:val="auto"/>
              </w:rPr>
            </w:pPr>
            <w:r>
              <w:rPr>
                <w:rFonts w:ascii="Arial" w:cs="Arial" w:eastAsia="Arial" w:hAnsi="Arial"/>
                <w:sz w:val="14"/>
                <w:szCs w:val="14"/>
                <w:b w:val="1"/>
                <w:bCs w:val="1"/>
                <w:color w:val="auto"/>
              </w:rPr>
              <w:t>(in whole dollars)</w:t>
            </w:r>
          </w:p>
        </w:tc>
        <w:tc>
          <w:tcPr>
            <w:tcW w:w="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203"/>
        </w:trPr>
        <w:tc>
          <w:tcPr>
            <w:tcW w:w="4360" w:type="dxa"/>
            <w:vAlign w:val="bottom"/>
          </w:tcPr>
          <w:p>
            <w:pPr>
              <w:spacing w:after="0" w:line="202" w:lineRule="exact"/>
              <w:rPr>
                <w:sz w:val="20"/>
                <w:szCs w:val="20"/>
                <w:color w:val="auto"/>
              </w:rPr>
            </w:pPr>
            <w:r>
              <w:rPr>
                <w:rFonts w:ascii="Arial" w:cs="Arial" w:eastAsia="Arial" w:hAnsi="Arial"/>
                <w:sz w:val="18"/>
                <w:szCs w:val="18"/>
                <w:color w:val="auto"/>
              </w:rPr>
              <w:t>Malignant claims</w:t>
            </w:r>
          </w:p>
        </w:tc>
        <w:tc>
          <w:tcPr>
            <w:tcW w:w="260" w:type="dxa"/>
            <w:vAlign w:val="bottom"/>
          </w:tcPr>
          <w:p>
            <w:pPr>
              <w:jc w:val="right"/>
              <w:ind w:right="70"/>
              <w:spacing w:after="0" w:line="202" w:lineRule="exact"/>
              <w:rPr>
                <w:sz w:val="20"/>
                <w:szCs w:val="20"/>
                <w:color w:val="auto"/>
              </w:rPr>
            </w:pPr>
            <w:r>
              <w:rPr>
                <w:rFonts w:ascii="Arial" w:cs="Arial" w:eastAsia="Arial" w:hAnsi="Arial"/>
                <w:sz w:val="18"/>
                <w:szCs w:val="18"/>
                <w:color w:val="auto"/>
                <w:w w:val="79"/>
              </w:rPr>
              <w:t>$</w:t>
            </w:r>
          </w:p>
        </w:tc>
        <w:tc>
          <w:tcPr>
            <w:tcW w:w="1020" w:type="dxa"/>
            <w:vAlign w:val="bottom"/>
          </w:tcPr>
          <w:p>
            <w:pPr>
              <w:jc w:val="right"/>
              <w:ind w:right="156"/>
              <w:spacing w:after="0" w:line="202" w:lineRule="exact"/>
              <w:rPr>
                <w:sz w:val="20"/>
                <w:szCs w:val="20"/>
                <w:color w:val="auto"/>
              </w:rPr>
            </w:pPr>
            <w:r>
              <w:rPr>
                <w:rFonts w:ascii="Arial" w:cs="Arial" w:eastAsia="Arial" w:hAnsi="Arial"/>
                <w:sz w:val="18"/>
                <w:szCs w:val="18"/>
                <w:color w:val="auto"/>
              </w:rPr>
              <w:t>56,000</w:t>
            </w:r>
          </w:p>
        </w:tc>
        <w:tc>
          <w:tcPr>
            <w:tcW w:w="480" w:type="dxa"/>
            <w:vAlign w:val="bottom"/>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44,000</w:t>
            </w:r>
          </w:p>
        </w:tc>
        <w:tc>
          <w:tcPr>
            <w:tcW w:w="700" w:type="dxa"/>
            <w:vAlign w:val="bottom"/>
          </w:tcPr>
          <w:p>
            <w:pPr>
              <w:jc w:val="right"/>
              <w:ind w:right="79"/>
              <w:spacing w:after="0" w:line="202" w:lineRule="exact"/>
              <w:rPr>
                <w:sz w:val="20"/>
                <w:szCs w:val="20"/>
                <w:color w:val="auto"/>
              </w:rPr>
            </w:pPr>
            <w:r>
              <w:rPr>
                <w:rFonts w:ascii="Arial" w:cs="Arial" w:eastAsia="Arial" w:hAnsi="Arial"/>
                <w:sz w:val="18"/>
                <w:szCs w:val="18"/>
                <w:color w:val="auto"/>
              </w:rPr>
              <w:t>$</w:t>
            </w:r>
          </w:p>
        </w:tc>
        <w:tc>
          <w:tcPr>
            <w:tcW w:w="1180" w:type="dxa"/>
            <w:vAlign w:val="bottom"/>
          </w:tcPr>
          <w:p>
            <w:pPr>
              <w:jc w:val="right"/>
              <w:ind w:right="336"/>
              <w:spacing w:after="0" w:line="202" w:lineRule="exact"/>
              <w:rPr>
                <w:sz w:val="20"/>
                <w:szCs w:val="20"/>
                <w:color w:val="auto"/>
              </w:rPr>
            </w:pPr>
            <w:r>
              <w:rPr>
                <w:rFonts w:ascii="Arial" w:cs="Arial" w:eastAsia="Arial" w:hAnsi="Arial"/>
                <w:sz w:val="18"/>
                <w:szCs w:val="18"/>
                <w:color w:val="auto"/>
              </w:rPr>
              <w:t>44,000</w:t>
            </w:r>
          </w:p>
        </w:tc>
        <w:tc>
          <w:tcPr>
            <w:tcW w:w="280" w:type="dxa"/>
            <w:vAlign w:val="bottom"/>
          </w:tcPr>
          <w:p>
            <w:pPr>
              <w:jc w:val="right"/>
              <w:ind w:right="70"/>
              <w:spacing w:after="0" w:line="202" w:lineRule="exact"/>
              <w:rPr>
                <w:sz w:val="20"/>
                <w:szCs w:val="20"/>
                <w:color w:val="auto"/>
              </w:rPr>
            </w:pPr>
            <w:r>
              <w:rPr>
                <w:rFonts w:ascii="Arial" w:cs="Arial" w:eastAsia="Arial" w:hAnsi="Arial"/>
                <w:sz w:val="18"/>
                <w:szCs w:val="18"/>
                <w:color w:val="auto"/>
                <w:w w:val="99"/>
              </w:rPr>
              <w:t>$</w:t>
            </w:r>
          </w:p>
        </w:tc>
        <w:tc>
          <w:tcPr>
            <w:tcW w:w="980" w:type="dxa"/>
            <w:vAlign w:val="bottom"/>
          </w:tcPr>
          <w:p>
            <w:pPr>
              <w:jc w:val="right"/>
              <w:ind w:right="136"/>
              <w:spacing w:after="0" w:line="202" w:lineRule="exact"/>
              <w:rPr>
                <w:sz w:val="20"/>
                <w:szCs w:val="20"/>
                <w:color w:val="auto"/>
              </w:rPr>
            </w:pPr>
            <w:r>
              <w:rPr>
                <w:rFonts w:ascii="Arial" w:cs="Arial" w:eastAsia="Arial" w:hAnsi="Arial"/>
                <w:sz w:val="18"/>
                <w:szCs w:val="18"/>
                <w:color w:val="auto"/>
              </w:rPr>
              <w:t>53,500</w:t>
            </w:r>
          </w:p>
        </w:tc>
        <w:tc>
          <w:tcPr>
            <w:tcW w:w="460" w:type="dxa"/>
            <w:vAlign w:val="bottom"/>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880" w:type="dxa"/>
            <w:vAlign w:val="bottom"/>
          </w:tcPr>
          <w:p>
            <w:pPr>
              <w:jc w:val="right"/>
              <w:ind w:right="16"/>
              <w:spacing w:after="0" w:line="202" w:lineRule="exact"/>
              <w:rPr>
                <w:sz w:val="20"/>
                <w:szCs w:val="20"/>
                <w:color w:val="auto"/>
              </w:rPr>
            </w:pPr>
            <w:r>
              <w:rPr>
                <w:rFonts w:ascii="Arial" w:cs="Arial" w:eastAsia="Arial" w:hAnsi="Arial"/>
                <w:sz w:val="18"/>
                <w:szCs w:val="18"/>
                <w:color w:val="auto"/>
              </w:rPr>
              <w:t>51,000</w:t>
            </w:r>
          </w:p>
        </w:tc>
      </w:tr>
      <w:tr>
        <w:trPr>
          <w:trHeight w:val="217"/>
        </w:trPr>
        <w:tc>
          <w:tcPr>
            <w:tcW w:w="4360" w:type="dxa"/>
            <w:vAlign w:val="bottom"/>
          </w:tcPr>
          <w:p>
            <w:pPr>
              <w:spacing w:after="0"/>
              <w:rPr>
                <w:sz w:val="20"/>
                <w:szCs w:val="20"/>
                <w:color w:val="auto"/>
              </w:rPr>
            </w:pPr>
            <w:r>
              <w:rPr>
                <w:rFonts w:ascii="Arial" w:cs="Arial" w:eastAsia="Arial" w:hAnsi="Arial"/>
                <w:sz w:val="18"/>
                <w:szCs w:val="18"/>
                <w:color w:val="auto"/>
              </w:rPr>
              <w:t>Nonmalignant claims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156"/>
              <w:spacing w:after="0"/>
              <w:rPr>
                <w:sz w:val="20"/>
                <w:szCs w:val="20"/>
                <w:color w:val="auto"/>
              </w:rPr>
            </w:pPr>
            <w:r>
              <w:rPr>
                <w:rFonts w:ascii="Arial" w:cs="Arial" w:eastAsia="Arial" w:hAnsi="Arial"/>
                <w:sz w:val="18"/>
                <w:szCs w:val="18"/>
                <w:color w:val="auto"/>
              </w:rPr>
              <w:t>2,800</w:t>
            </w:r>
          </w:p>
        </w:tc>
        <w:tc>
          <w:tcPr>
            <w:tcW w:w="4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4,485</w:t>
            </w:r>
          </w:p>
        </w:tc>
        <w:tc>
          <w:tcPr>
            <w:tcW w:w="700" w:type="dxa"/>
            <w:vAlign w:val="bottom"/>
          </w:tcPr>
          <w:p>
            <w:pPr>
              <w:jc w:val="right"/>
              <w:ind w:right="79"/>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36"/>
              <w:spacing w:after="0"/>
              <w:rPr>
                <w:sz w:val="20"/>
                <w:szCs w:val="20"/>
                <w:color w:val="auto"/>
              </w:rPr>
            </w:pPr>
            <w:r>
              <w:rPr>
                <w:rFonts w:ascii="Arial" w:cs="Arial" w:eastAsia="Arial" w:hAnsi="Arial"/>
                <w:sz w:val="18"/>
                <w:szCs w:val="18"/>
                <w:color w:val="auto"/>
              </w:rPr>
              <w:t>100</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36"/>
              <w:spacing w:after="0"/>
              <w:rPr>
                <w:sz w:val="20"/>
                <w:szCs w:val="20"/>
                <w:color w:val="auto"/>
              </w:rPr>
            </w:pPr>
            <w:r>
              <w:rPr>
                <w:rFonts w:ascii="Arial" w:cs="Arial" w:eastAsia="Arial" w:hAnsi="Arial"/>
                <w:sz w:val="18"/>
                <w:szCs w:val="18"/>
                <w:color w:val="auto"/>
              </w:rPr>
              <w:t>120</w:t>
            </w:r>
          </w:p>
        </w:tc>
        <w:tc>
          <w:tcPr>
            <w:tcW w:w="4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6"/>
              <w:spacing w:after="0"/>
              <w:rPr>
                <w:sz w:val="20"/>
                <w:szCs w:val="20"/>
                <w:color w:val="auto"/>
              </w:rPr>
            </w:pPr>
            <w:r>
              <w:rPr>
                <w:rFonts w:ascii="Arial" w:cs="Arial" w:eastAsia="Arial" w:hAnsi="Arial"/>
                <w:sz w:val="18"/>
                <w:szCs w:val="18"/>
                <w:color w:val="auto"/>
              </w:rPr>
              <w:t>850</w:t>
            </w:r>
          </w:p>
        </w:tc>
      </w:tr>
    </w:tbl>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It is not possible to predict whether resolution values for Bendix-related asbestos claims will increase, decrease or stabilize in the</w:t>
      </w:r>
    </w:p>
    <w:p>
      <w:pPr>
        <w:spacing w:after="0"/>
        <w:rPr>
          <w:sz w:val="20"/>
          <w:szCs w:val="20"/>
          <w:color w:val="auto"/>
        </w:rPr>
      </w:pPr>
      <w:r>
        <w:rPr>
          <w:rFonts w:ascii="Arial" w:cs="Arial" w:eastAsia="Arial" w:hAnsi="Arial"/>
          <w:sz w:val="18"/>
          <w:szCs w:val="18"/>
          <w:color w:val="auto"/>
        </w:rPr>
        <w:t>future.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0" w:right="239"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t>Honeywell International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jc w:val="center"/>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198"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Our consolidated financial statements reflect an estimated liability for resolution of pending (claims actually filed as of the financial statement date) and future Bendix-related asbestos claims. We have valued Bendix pending and future claims using average resolution values for the previous five years. We update the resolution values used to estimate the cost of Bendix pending and future claims during the fourth quarter each year.</w:t>
      </w:r>
    </w:p>
    <w:p>
      <w:pPr>
        <w:spacing w:after="0" w:line="188"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The liability for future claims represents the estimated value of future asbestos related bodily injury claims expected to be asserted against Bendix over the next five years. Such estimated cost of future Bendix-related asbestos claims is based on historic claims filing experience and dismissal rates, disease classifications, and resolution values in the tort system for the previous five years. In light of the uncertainties inherent in making long-term projections, as well as certain factors unique to friction product asbestos claims, we do not believe that we have a reasonable basis for estimating asbestos claims beyond the next five years. The methodology used to estimate the liability for future claims is similar to that used to estimate the liability for future NARCO-related asbestos claims.</w:t>
      </w:r>
    </w:p>
    <w:p>
      <w:pPr>
        <w:spacing w:after="0" w:line="192"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Our insurance receivable corresponding to the liability for settlement of pending and future Bendix asbestos claims reflects coverage which is provided by a large number of insurance policies written by dozens of insurance companies in both the domestic insurance market and the London excess market. Based on our ongoing analysis of the probable insurance recovery, insurance receivables are recorded in the financial statements simultaneous with the recording of the estimated liability for the underlying asbestos claims. This determination is based on our analysis of the underlying insurance policies, our historical experience with our insurers, our ongoing review of the solvency of our insurers, judicial determinations relevant to our insurance programs, and our consideration of the impacts of any settlements reached with our insurers.</w:t>
      </w:r>
    </w:p>
    <w:p>
      <w:pPr>
        <w:spacing w:after="0" w:line="379"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Honeywell believes it has sufficient insurance coverage and reserves to cover all pending Bendix-related asbestos claims and Bendix-related asbestos claims estimated to be filed within the next five years. Although it is impossible to predict the outcome of either pending or future Bendix-related asbestos claims, we do not believe that such claims would have a material adverse effect on our consolidated financial position in light of our insurance coverage and our prior experience in resolving such claims. If the rate and types of claims filed, the average resolution value of such claims and the period of time over which claim settlements are paid (collectively, the Variable Claims Factors) do not substantially change, Honeywell would not expect future Bendix-related asbestos claims to have a material adverse effect on our results of operations or operating cash flows in any fiscal year. No assurances can be given, however, that the Variable Claims Factors will not change.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220"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We are subject to a number of other lawsuits, investigations and disputes (some of which involve substantial amounts claimed) arising out of the conduct of our business, including matters relating to commercial transactions, government contracts, product liability, prior acquisitions and divestitures, employee benefit plans, intellectual property, and environmental, health and safety matters. We recognize a liability for any contingency that is probable of occurrence and reasonably estimable. We continually assess the likelihood of adverse judgments of outcomes in these matters, as well as potential ranges of possible losses (taking into consideration any insurance recoveries), based on a careful analysis of each matter with the assistance of outside legal counsel and, if applicable, other experts. Included in these other matters are the following:</w:t>
      </w:r>
    </w:p>
    <w:p>
      <w:pPr>
        <w:spacing w:after="0" w:line="168"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8"/>
          <w:szCs w:val="18"/>
          <w:b w:val="1"/>
          <w:bCs w:val="1"/>
          <w:i w:val="1"/>
          <w:iCs w:val="1"/>
          <w:color w:val="auto"/>
        </w:rPr>
        <w:t>Honeywell v. United Auto Workers (UAW) et. al</w:t>
      </w:r>
      <w:r>
        <w:rPr>
          <w:rFonts w:ascii="Arial" w:cs="Arial" w:eastAsia="Arial" w:hAnsi="Arial"/>
          <w:sz w:val="18"/>
          <w:szCs w:val="18"/>
          <w:color w:val="auto"/>
        </w:rPr>
        <w:t>—In September 2011, the UAW and certain Honeywell retirees (Plaintiffs) filed a suit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the Eastern District of Michigan (the District Court) alleging that a series of Master Collective Bargaining Agreements (MCBAs) between Honeywell and the UAW provided the retirees with rights to lifetime, vested healthcare benefits that could never be changed or reduced. Plaintiffs alleged that Honeywell had violated those vested rights by implementing express limitations (CAPS) on the amount Honeywell contributed toward healthcare coverage for the retirees. Honeywell subsequently answered the UAW’s complaint and asserted counterclaims, including for breach of implied warranty.</w:t>
      </w:r>
    </w:p>
    <w:p>
      <w:pPr>
        <w:spacing w:after="0" w:line="188"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Between 2014 and 2015, Honeywell began enforcing the CAPS against former employees. In response, the UAW and certain of the Plaintiffs filed a motion seeking a ruling that the MCBAs do not limit Honeywell’s obligation to contribute to healthcare coverage for those retirees.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0" w:right="239" w:bottom="1440" w:gutter="0" w:footer="0" w:header="0"/>
        </w:sectPr>
      </w:pPr>
    </w:p>
    <w:bookmarkStart w:id="26" w:name="page27"/>
    <w:bookmarkEnd w:id="26"/>
    <w:p>
      <w:pPr>
        <w:jc w:val="center"/>
        <w:spacing w:after="0"/>
        <w:rPr>
          <w:sz w:val="20"/>
          <w:szCs w:val="20"/>
          <w:color w:val="auto"/>
        </w:rPr>
      </w:pPr>
      <w:r>
        <w:rPr>
          <w:rFonts w:ascii="Arial" w:cs="Arial" w:eastAsia="Arial" w:hAnsi="Arial"/>
          <w:sz w:val="18"/>
          <w:szCs w:val="18"/>
          <w:b w:val="1"/>
          <w:bCs w:val="1"/>
          <w:color w:val="auto"/>
        </w:rPr>
        <w:t>Honeywell International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jc w:val="center"/>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198"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8"/>
          <w:szCs w:val="18"/>
          <w:color w:val="auto"/>
        </w:rPr>
        <w:t>On March 29, 2018, the District Court issued its opinion resolving all pending summary judgment motions, except for Honeywell’s counterclaim for breach of implied warranty which remains outstanding.</w:t>
      </w:r>
    </w:p>
    <w:p>
      <w:pPr>
        <w:spacing w:after="0" w:line="183"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In the opinion, the District Court held that the MCBAs do not promise retirees vested, lifetime benefits that survive expiration of the MCBAs. Based on this ruling, Honeywell has informed the UAW and the retirees that it intends to terminate their healthcare coverage benefits altogether as of July 31, 2018. However, the UAW has filed a motion to enjoin Honeywell from completely terminating coverage as of July 31, 2018, arguing that the CAPS themselves are vested and that Honeywell must continue to provide retiree medical benefits at the capped level. That issue has been fully briefed and is currently pending with the District Court. Honeywell’s post retirement benefit obligation will continue to reflect the UAW retiree medical benefits at the capped level until the resolution of this matter.</w:t>
      </w:r>
    </w:p>
    <w:p>
      <w:pPr>
        <w:spacing w:after="0" w:line="192"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In the March 2018 opinion, the District Court also held that Honeywell is obligated under the MCBAs to pay the “full premium” for retiree healthcare rather than the capped amount. Based on this ruling, Honeywell would be required to pay monetary damages to retirees for any past years in which Honeywell paid less than the “full premium” of their healthcare coverage. Such damages would be limited, depending on the retiree group, to a two to three-year period ending when the 2016 MCBA expired, and Honeywell would have no ongoing obligation to continue funding healthcare coverage for subsequent periods. Honeywell has appealed the District Court’s ruling on this “full premium” damages issue, and it is confident that the Sixth Circuit Court of Appeals will reverse the District Court on that issue. In the event the Sixth Circuit were to sustain the District Court’s ruling on this issue, Honeywell would be liable for damages of at least $12 million.</w:t>
      </w:r>
    </w:p>
    <w:p>
      <w:pPr>
        <w:spacing w:after="0" w:line="190"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Given the uncertainty inherent in litigation and investigations (including the specific matter referenced above), we do not believe it is possible to develop estimates of reasonably possible loss in excess of current accruals for these matters (other than as specifically set forth above). Considering our past experience and existing accruals, we do not expect the outcome of these matters, either individually or in the aggregate, to have a material adverse effect on our consolidated financial position. Because most contingencies are resolved over long periods of time, potential liabilities are subject to change due to new developments, changes in settlement strategy or the impact of evidentiary requirements, which could cause us to pay damage awards or settlements (or become subject to equitable remedies) that could have a material adverse effect on our results of operations or operating cash flows in the periods recognized or paid.</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0" w:right="23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16"/>
        </w:trPr>
        <w:tc>
          <w:tcPr>
            <w:tcW w:w="2920" w:type="dxa"/>
            <w:vAlign w:val="bottom"/>
          </w:tcPr>
          <w:p>
            <w:pPr>
              <w:spacing w:after="0"/>
              <w:rPr>
                <w:sz w:val="20"/>
                <w:szCs w:val="20"/>
                <w:color w:val="auto"/>
              </w:rPr>
            </w:pPr>
            <w:r>
              <w:rPr>
                <w:rFonts w:ascii="Arial" w:cs="Arial" w:eastAsia="Arial" w:hAnsi="Arial"/>
                <w:sz w:val="18"/>
                <w:szCs w:val="18"/>
                <w:b w:val="1"/>
                <w:bCs w:val="1"/>
                <w:color w:val="auto"/>
              </w:rPr>
              <w:t>ITEM 2.</w:t>
            </w:r>
          </w:p>
        </w:tc>
        <w:tc>
          <w:tcPr>
            <w:tcW w:w="5600" w:type="dxa"/>
            <w:vAlign w:val="bottom"/>
          </w:tcPr>
          <w:p>
            <w:pPr>
              <w:jc w:val="center"/>
              <w:spacing w:after="0"/>
              <w:rPr>
                <w:sz w:val="20"/>
                <w:szCs w:val="20"/>
                <w:color w:val="auto"/>
              </w:rPr>
            </w:pPr>
            <w:r>
              <w:rPr>
                <w:rFonts w:ascii="Arial" w:cs="Arial" w:eastAsia="Arial" w:hAnsi="Arial"/>
                <w:sz w:val="18"/>
                <w:szCs w:val="18"/>
                <w:b w:val="1"/>
                <w:bCs w:val="1"/>
                <w:color w:val="auto"/>
                <w:w w:val="99"/>
              </w:rPr>
              <w:t>MANAGEMENT’S DISCUSSION AND ANALYSIS OF</w:t>
            </w:r>
          </w:p>
        </w:tc>
      </w:tr>
      <w:tr>
        <w:trPr>
          <w:trHeight w:val="198"/>
        </w:trPr>
        <w:tc>
          <w:tcPr>
            <w:tcW w:w="2920" w:type="dxa"/>
            <w:vAlign w:val="bottom"/>
          </w:tcPr>
          <w:p>
            <w:pPr>
              <w:spacing w:after="0"/>
              <w:rPr>
                <w:sz w:val="17"/>
                <w:szCs w:val="17"/>
                <w:color w:val="auto"/>
              </w:rPr>
            </w:pPr>
          </w:p>
        </w:tc>
        <w:tc>
          <w:tcPr>
            <w:tcW w:w="5600" w:type="dxa"/>
            <w:vAlign w:val="bottom"/>
            <w:tcBorders>
              <w:bottom w:val="single" w:sz="8" w:color="auto"/>
            </w:tcBorders>
          </w:tcPr>
          <w:p>
            <w:pPr>
              <w:jc w:val="center"/>
              <w:spacing w:after="0" w:line="199" w:lineRule="exact"/>
              <w:rPr>
                <w:sz w:val="20"/>
                <w:szCs w:val="20"/>
                <w:color w:val="auto"/>
              </w:rPr>
            </w:pPr>
            <w:r>
              <w:rPr>
                <w:rFonts w:ascii="Arial" w:cs="Arial" w:eastAsia="Arial" w:hAnsi="Arial"/>
                <w:sz w:val="18"/>
                <w:szCs w:val="18"/>
                <w:b w:val="1"/>
                <w:bCs w:val="1"/>
                <w:color w:val="auto"/>
                <w:w w:val="99"/>
              </w:rPr>
              <w:t>FINANCIAL CONDITION AND RESULTS OF OPERATIONS (MD&amp;A)</w:t>
            </w:r>
          </w:p>
        </w:tc>
      </w:tr>
      <w:tr>
        <w:trPr>
          <w:trHeight w:val="237"/>
        </w:trPr>
        <w:tc>
          <w:tcPr>
            <w:tcW w:w="2920" w:type="dxa"/>
            <w:vAlign w:val="bottom"/>
          </w:tcPr>
          <w:p>
            <w:pPr>
              <w:spacing w:after="0"/>
              <w:rPr>
                <w:sz w:val="20"/>
                <w:szCs w:val="20"/>
                <w:color w:val="auto"/>
              </w:rPr>
            </w:pPr>
          </w:p>
        </w:tc>
        <w:tc>
          <w:tcPr>
            <w:tcW w:w="5600" w:type="dxa"/>
            <w:vAlign w:val="bottom"/>
          </w:tcPr>
          <w:p>
            <w:pPr>
              <w:jc w:val="center"/>
              <w:spacing w:after="0"/>
              <w:rPr>
                <w:sz w:val="20"/>
                <w:szCs w:val="20"/>
                <w:color w:val="auto"/>
              </w:rPr>
            </w:pPr>
            <w:r>
              <w:rPr>
                <w:rFonts w:ascii="Arial" w:cs="Arial" w:eastAsia="Arial" w:hAnsi="Arial"/>
                <w:sz w:val="18"/>
                <w:szCs w:val="18"/>
                <w:b w:val="1"/>
                <w:bCs w:val="1"/>
                <w:color w:val="auto"/>
                <w:w w:val="99"/>
              </w:rPr>
              <w:t>(Dollars in millions, except per share amounts)</w:t>
            </w:r>
          </w:p>
        </w:tc>
      </w:tr>
    </w:tbl>
    <w:p>
      <w:pPr>
        <w:spacing w:after="0" w:line="188"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The following MD&amp;A is intended to help the reader understand the results of operations and financial condition of Honeywell International Inc. and its consolidated subsidiaries (“Honeywell” or “the Company”) for the three months (quarter) and six months ended June 30, 2018. The financial information as of June 30, 2018 should be read in conjunction with the consolidated financial statements for the year ended December 31, 2017 contained in our 2017 Annual Report on Form 10-K.</w:t>
      </w:r>
    </w:p>
    <w:p>
      <w:pPr>
        <w:spacing w:after="0" w:line="188"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 xml:space="preserve">On January 1, 2018, the Company adopted a new accounting standard that resulted in the components of net periodic pension cost and net periodic postretirement benefit cost other than service costs to no longer be presented in Cost of products and services sold and Selling, general and administrative expenses, but to be presented instead within Other (income) expense. See Note 2 </w:t>
      </w:r>
      <w:r>
        <w:rPr>
          <w:rFonts w:ascii="Arial" w:cs="Arial" w:eastAsia="Arial" w:hAnsi="Arial"/>
          <w:sz w:val="18"/>
          <w:szCs w:val="18"/>
          <w:i w:val="1"/>
          <w:iCs w:val="1"/>
          <w:color w:val="auto"/>
        </w:rPr>
        <w:t>Summary of Significant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Accounting Policies </w:t>
      </w:r>
      <w:r>
        <w:rPr>
          <w:rFonts w:ascii="Arial" w:cs="Arial" w:eastAsia="Arial" w:hAnsi="Arial"/>
          <w:sz w:val="18"/>
          <w:szCs w:val="18"/>
          <w:color w:val="auto"/>
        </w:rPr>
        <w:t>and Note 4</w:t>
      </w:r>
      <w:r>
        <w:rPr>
          <w:rFonts w:ascii="Arial" w:cs="Arial" w:eastAsia="Arial" w:hAnsi="Arial"/>
          <w:sz w:val="18"/>
          <w:szCs w:val="18"/>
          <w:i w:val="1"/>
          <w:iCs w:val="1"/>
          <w:color w:val="auto"/>
        </w:rPr>
        <w:t xml:space="preserve"> Other (Income) Expense </w:t>
      </w:r>
      <w:r>
        <w:rPr>
          <w:rFonts w:ascii="Arial" w:cs="Arial" w:eastAsia="Arial" w:hAnsi="Arial"/>
          <w:sz w:val="18"/>
          <w:szCs w:val="18"/>
          <w:color w:val="auto"/>
        </w:rPr>
        <w:t>of Notes to Consolidated Financial Statements for further details.</w:t>
      </w:r>
    </w:p>
    <w:p>
      <w:pPr>
        <w:spacing w:after="0" w:line="188"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 xml:space="preserve">On January 1, 2018, the Company adopted new accounting guidance on revenue from contracts with customers, using the modified retrospective method applied to contracts that were not completed as of January 1, 2018. Results for reporting periods beginning after January 1, 2018 are presented under that guidance, while prior period amounts are not adjusted and continue to be reported in accordance with the previous guidance. See Note 7 </w:t>
      </w:r>
      <w:r>
        <w:rPr>
          <w:rFonts w:ascii="Arial" w:cs="Arial" w:eastAsia="Arial" w:hAnsi="Arial"/>
          <w:sz w:val="18"/>
          <w:szCs w:val="18"/>
          <w:i w:val="1"/>
          <w:iCs w:val="1"/>
          <w:color w:val="auto"/>
        </w:rPr>
        <w:t>Revenue Recognition and Contracts with Customers</w:t>
      </w:r>
      <w:r>
        <w:rPr>
          <w:rFonts w:ascii="Arial" w:cs="Arial" w:eastAsia="Arial" w:hAnsi="Arial"/>
          <w:sz w:val="18"/>
          <w:szCs w:val="18"/>
          <w:color w:val="auto"/>
        </w:rPr>
        <w:t xml:space="preserve"> of Notes to Consolidated Financial Statements for further details.</w:t>
      </w:r>
    </w:p>
    <w:p>
      <w:pPr>
        <w:spacing w:after="0" w:line="167" w:lineRule="exact"/>
        <w:rPr>
          <w:sz w:val="20"/>
          <w:szCs w:val="20"/>
          <w:color w:val="auto"/>
        </w:rPr>
      </w:pPr>
    </w:p>
    <w:p>
      <w:pPr>
        <w:ind w:right="100" w:firstLine="8"/>
        <w:spacing w:after="0" w:line="475" w:lineRule="auto"/>
        <w:tabs>
          <w:tab w:leader="none" w:pos="324"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 xml:space="preserve">Results of Operations – three and six months ended June 30, 2018 compared with the three and six months ended June 30, 2017 </w:t>
      </w:r>
      <w:r>
        <w:rPr>
          <w:rFonts w:ascii="Arial" w:cs="Arial" w:eastAsia="Arial" w:hAnsi="Arial"/>
          <w:sz w:val="18"/>
          <w:szCs w:val="18"/>
          <w:b w:val="1"/>
          <w:bCs w:val="1"/>
          <w:color w:val="auto"/>
        </w:rPr>
        <w:t>Net Sales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9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940" w:type="dxa"/>
            <w:vAlign w:val="bottom"/>
            <w:gridSpan w:val="4"/>
          </w:tcPr>
          <w:p>
            <w:pPr>
              <w:jc w:val="center"/>
              <w:ind w:left="439"/>
              <w:spacing w:after="0"/>
              <w:rPr>
                <w:sz w:val="20"/>
                <w:szCs w:val="20"/>
                <w:color w:val="auto"/>
              </w:rPr>
            </w:pPr>
            <w:r>
              <w:rPr>
                <w:rFonts w:ascii="Arial" w:cs="Arial" w:eastAsia="Arial" w:hAnsi="Arial"/>
                <w:sz w:val="14"/>
                <w:szCs w:val="14"/>
                <w:b w:val="1"/>
                <w:bCs w:val="1"/>
                <w:color w:val="auto"/>
              </w:rPr>
              <w:t>Three Months Ended</w:t>
            </w: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960" w:type="dxa"/>
            <w:vAlign w:val="bottom"/>
            <w:gridSpan w:val="6"/>
          </w:tcPr>
          <w:p>
            <w:pPr>
              <w:jc w:val="center"/>
              <w:ind w:right="35"/>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5"/>
        </w:trPr>
        <w:tc>
          <w:tcPr>
            <w:tcW w:w="49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3"/>
          </w:tcPr>
          <w:p>
            <w:pPr>
              <w:jc w:val="center"/>
              <w:ind w:right="310"/>
              <w:spacing w:after="0"/>
              <w:rPr>
                <w:sz w:val="20"/>
                <w:szCs w:val="20"/>
                <w:color w:val="auto"/>
              </w:rPr>
            </w:pPr>
            <w:r>
              <w:rPr>
                <w:rFonts w:ascii="Arial" w:cs="Arial" w:eastAsia="Arial" w:hAnsi="Arial"/>
                <w:sz w:val="14"/>
                <w:szCs w:val="14"/>
                <w:b w:val="1"/>
                <w:bCs w:val="1"/>
                <w:color w:val="auto"/>
              </w:rPr>
              <w:t>June 30,</w:t>
            </w:r>
          </w:p>
        </w:tc>
        <w:tc>
          <w:tcPr>
            <w:tcW w:w="82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5"/>
          </w:tcPr>
          <w:p>
            <w:pPr>
              <w:jc w:val="center"/>
              <w:ind w:left="957"/>
              <w:spacing w:after="0"/>
              <w:rPr>
                <w:sz w:val="20"/>
                <w:szCs w:val="20"/>
                <w:color w:val="auto"/>
              </w:rPr>
            </w:pPr>
            <w:r>
              <w:rPr>
                <w:rFonts w:ascii="Arial" w:cs="Arial" w:eastAsia="Arial" w:hAnsi="Arial"/>
                <w:sz w:val="14"/>
                <w:szCs w:val="14"/>
                <w:b w:val="1"/>
                <w:bCs w:val="1"/>
                <w:color w:val="auto"/>
              </w:rPr>
              <w:t>June 30,</w:t>
            </w:r>
          </w:p>
        </w:tc>
        <w:tc>
          <w:tcPr>
            <w:tcW w:w="11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4900" w:type="dxa"/>
            <w:vAlign w:val="bottom"/>
            <w:vMerge w:val="restart"/>
          </w:tcPr>
          <w:p>
            <w:pPr>
              <w:spacing w:after="0"/>
              <w:rPr>
                <w:sz w:val="20"/>
                <w:szCs w:val="20"/>
                <w:color w:val="auto"/>
              </w:rPr>
            </w:pPr>
            <w:r>
              <w:rPr>
                <w:rFonts w:ascii="Arial" w:cs="Arial" w:eastAsia="Arial" w:hAnsi="Arial"/>
                <w:sz w:val="18"/>
                <w:szCs w:val="18"/>
                <w:color w:val="auto"/>
              </w:rPr>
              <w:t>Net sales</w:t>
            </w:r>
          </w:p>
        </w:tc>
        <w:tc>
          <w:tcPr>
            <w:tcW w:w="3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299"/>
              <w:spacing w:after="0" w:line="155"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419"/>
              <w:spacing w:after="0" w:line="155" w:lineRule="exact"/>
              <w:rPr>
                <w:sz w:val="20"/>
                <w:szCs w:val="20"/>
                <w:color w:val="auto"/>
              </w:rPr>
            </w:pPr>
            <w:r>
              <w:rPr>
                <w:rFonts w:ascii="Arial" w:cs="Arial" w:eastAsia="Arial" w:hAnsi="Arial"/>
                <w:sz w:val="14"/>
                <w:szCs w:val="14"/>
                <w:b w:val="1"/>
                <w:bCs w:val="1"/>
                <w:color w:val="auto"/>
                <w:w w:val="96"/>
              </w:rPr>
              <w:t>2017</w:t>
            </w: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417"/>
              <w:spacing w:after="0" w:line="155" w:lineRule="exact"/>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435"/>
              <w:spacing w:after="0" w:line="155" w:lineRule="exact"/>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196"/>
        </w:trPr>
        <w:tc>
          <w:tcPr>
            <w:tcW w:w="4900" w:type="dxa"/>
            <w:vAlign w:val="bottom"/>
            <w:vMerge w:val="continue"/>
          </w:tcPr>
          <w:p>
            <w:pPr>
              <w:spacing w:after="0"/>
              <w:rPr>
                <w:sz w:val="17"/>
                <w:szCs w:val="17"/>
                <w:color w:val="auto"/>
              </w:rPr>
            </w:pPr>
          </w:p>
        </w:tc>
        <w:tc>
          <w:tcPr>
            <w:tcW w:w="320" w:type="dxa"/>
            <w:vAlign w:val="bottom"/>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10,919</w:t>
            </w: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20" w:type="dxa"/>
            <w:vAlign w:val="bottom"/>
          </w:tcPr>
          <w:p>
            <w:pPr>
              <w:jc w:val="right"/>
              <w:ind w:right="330"/>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Pr>
          <w:p>
            <w:pPr>
              <w:jc w:val="right"/>
              <w:ind w:right="19"/>
              <w:spacing w:after="0" w:line="196" w:lineRule="exact"/>
              <w:rPr>
                <w:sz w:val="20"/>
                <w:szCs w:val="20"/>
                <w:color w:val="auto"/>
              </w:rPr>
            </w:pPr>
            <w:r>
              <w:rPr>
                <w:rFonts w:ascii="Arial" w:cs="Arial" w:eastAsia="Arial" w:hAnsi="Arial"/>
                <w:sz w:val="18"/>
                <w:szCs w:val="18"/>
                <w:color w:val="auto"/>
              </w:rPr>
              <w:t>10,078</w:t>
            </w: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7"/>
              <w:spacing w:after="0" w:line="196" w:lineRule="exact"/>
              <w:rPr>
                <w:sz w:val="20"/>
                <w:szCs w:val="20"/>
                <w:color w:val="auto"/>
              </w:rPr>
            </w:pPr>
            <w:r>
              <w:rPr>
                <w:rFonts w:ascii="Arial" w:cs="Arial" w:eastAsia="Arial" w:hAnsi="Arial"/>
                <w:sz w:val="18"/>
                <w:szCs w:val="18"/>
                <w:color w:val="auto"/>
              </w:rPr>
              <w:t>21,311</w:t>
            </w: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5"/>
              <w:spacing w:after="0" w:line="196" w:lineRule="exact"/>
              <w:rPr>
                <w:sz w:val="20"/>
                <w:szCs w:val="20"/>
                <w:color w:val="auto"/>
              </w:rPr>
            </w:pPr>
            <w:r>
              <w:rPr>
                <w:rFonts w:ascii="Arial" w:cs="Arial" w:eastAsia="Arial" w:hAnsi="Arial"/>
                <w:sz w:val="18"/>
                <w:szCs w:val="18"/>
                <w:color w:val="auto"/>
              </w:rPr>
              <w:t>19,570</w:t>
            </w:r>
          </w:p>
        </w:tc>
        <w:tc>
          <w:tcPr>
            <w:tcW w:w="0" w:type="dxa"/>
            <w:vAlign w:val="bottom"/>
          </w:tcPr>
          <w:p>
            <w:pPr>
              <w:spacing w:after="0"/>
              <w:rPr>
                <w:sz w:val="1"/>
                <w:szCs w:val="1"/>
                <w:color w:val="auto"/>
              </w:rPr>
            </w:pPr>
          </w:p>
        </w:tc>
      </w:tr>
      <w:tr>
        <w:trPr>
          <w:trHeight w:val="216"/>
        </w:trPr>
        <w:tc>
          <w:tcPr>
            <w:tcW w:w="4900" w:type="dxa"/>
            <w:vAlign w:val="bottom"/>
            <w:shd w:val="clear" w:color="auto" w:fill="E5FFFF"/>
          </w:tcPr>
          <w:p>
            <w:pPr>
              <w:spacing w:after="0"/>
              <w:rPr>
                <w:sz w:val="20"/>
                <w:szCs w:val="20"/>
                <w:color w:val="auto"/>
              </w:rPr>
            </w:pPr>
            <w:r>
              <w:rPr>
                <w:rFonts w:ascii="Arial" w:cs="Arial" w:eastAsia="Arial" w:hAnsi="Arial"/>
                <w:sz w:val="18"/>
                <w:szCs w:val="18"/>
                <w:color w:val="auto"/>
              </w:rPr>
              <w:t>% change compared with prior period</w:t>
            </w:r>
          </w:p>
        </w:tc>
        <w:tc>
          <w:tcPr>
            <w:tcW w:w="320" w:type="dxa"/>
            <w:vAlign w:val="bottom"/>
            <w:shd w:val="clear" w:color="auto" w:fill="E5FFFF"/>
          </w:tcPr>
          <w:p>
            <w:pPr>
              <w:spacing w:after="0"/>
              <w:rPr>
                <w:sz w:val="18"/>
                <w:szCs w:val="18"/>
                <w:color w:val="auto"/>
              </w:rPr>
            </w:pPr>
          </w:p>
        </w:tc>
        <w:tc>
          <w:tcPr>
            <w:tcW w:w="108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8%</w:t>
            </w:r>
          </w:p>
        </w:tc>
        <w:tc>
          <w:tcPr>
            <w:tcW w:w="340" w:type="dxa"/>
            <w:vAlign w:val="bottom"/>
            <w:shd w:val="clear" w:color="auto" w:fill="E5FFFF"/>
          </w:tcPr>
          <w:p>
            <w:pPr>
              <w:spacing w:after="0"/>
              <w:rPr>
                <w:sz w:val="18"/>
                <w:szCs w:val="18"/>
                <w:color w:val="auto"/>
              </w:rPr>
            </w:pPr>
          </w:p>
        </w:tc>
        <w:tc>
          <w:tcPr>
            <w:tcW w:w="520" w:type="dxa"/>
            <w:vAlign w:val="bottom"/>
            <w:shd w:val="clear" w:color="auto" w:fill="E5FFFF"/>
          </w:tcPr>
          <w:p>
            <w:pPr>
              <w:spacing w:after="0"/>
              <w:rPr>
                <w:sz w:val="18"/>
                <w:szCs w:val="18"/>
                <w:color w:val="auto"/>
              </w:rPr>
            </w:pPr>
          </w:p>
        </w:tc>
        <w:tc>
          <w:tcPr>
            <w:tcW w:w="820" w:type="dxa"/>
            <w:vAlign w:val="bottom"/>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4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1280" w:type="dxa"/>
            <w:vAlign w:val="bottom"/>
            <w:gridSpan w:val="2"/>
            <w:shd w:val="clear" w:color="auto" w:fill="E5FFFF"/>
          </w:tcPr>
          <w:p>
            <w:pPr>
              <w:jc w:val="right"/>
              <w:ind w:right="20"/>
              <w:spacing w:after="0"/>
              <w:rPr>
                <w:sz w:val="20"/>
                <w:szCs w:val="20"/>
                <w:color w:val="auto"/>
              </w:rPr>
            </w:pPr>
            <w:r>
              <w:rPr>
                <w:rFonts w:ascii="Arial" w:cs="Arial" w:eastAsia="Arial" w:hAnsi="Arial"/>
                <w:sz w:val="18"/>
                <w:szCs w:val="18"/>
                <w:color w:val="auto"/>
              </w:rPr>
              <w:t>9%</w:t>
            </w:r>
          </w:p>
        </w:tc>
        <w:tc>
          <w:tcPr>
            <w:tcW w:w="280" w:type="dxa"/>
            <w:vAlign w:val="bottom"/>
            <w:shd w:val="clear" w:color="auto" w:fill="E5FFFF"/>
          </w:tcPr>
          <w:p>
            <w:pPr>
              <w:spacing w:after="0"/>
              <w:rPr>
                <w:sz w:val="18"/>
                <w:szCs w:val="18"/>
                <w:color w:val="auto"/>
              </w:rPr>
            </w:pPr>
          </w:p>
        </w:tc>
        <w:tc>
          <w:tcPr>
            <w:tcW w:w="40" w:type="dxa"/>
            <w:vAlign w:val="bottom"/>
            <w:shd w:val="clear" w:color="auto" w:fill="E5FFFF"/>
          </w:tcPr>
          <w:p>
            <w:pPr>
              <w:spacing w:after="0"/>
              <w:rPr>
                <w:sz w:val="18"/>
                <w:szCs w:val="18"/>
                <w:color w:val="auto"/>
              </w:rPr>
            </w:pPr>
          </w:p>
        </w:tc>
        <w:tc>
          <w:tcPr>
            <w:tcW w:w="180" w:type="dxa"/>
            <w:vAlign w:val="bottom"/>
            <w:shd w:val="clear" w:color="auto" w:fill="E5FFFF"/>
          </w:tcPr>
          <w:p>
            <w:pPr>
              <w:spacing w:after="0"/>
              <w:rPr>
                <w:sz w:val="18"/>
                <w:szCs w:val="18"/>
                <w:color w:val="auto"/>
              </w:rPr>
            </w:pPr>
          </w:p>
        </w:tc>
        <w:tc>
          <w:tcPr>
            <w:tcW w:w="118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419"/>
        </w:trPr>
        <w:tc>
          <w:tcPr>
            <w:tcW w:w="7980" w:type="dxa"/>
            <w:vAlign w:val="bottom"/>
            <w:gridSpan w:val="7"/>
          </w:tcPr>
          <w:p>
            <w:pPr>
              <w:ind w:left="660"/>
              <w:spacing w:after="0"/>
              <w:rPr>
                <w:sz w:val="20"/>
                <w:szCs w:val="20"/>
                <w:color w:val="auto"/>
              </w:rPr>
            </w:pPr>
            <w:r>
              <w:rPr>
                <w:rFonts w:ascii="Arial" w:cs="Arial" w:eastAsia="Arial" w:hAnsi="Arial"/>
                <w:sz w:val="18"/>
                <w:szCs w:val="18"/>
                <w:color w:val="auto"/>
              </w:rPr>
              <w:t>The change in net sales compared to the prior year period is attributable to the following:</w:t>
            </w: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4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Three Months</w:t>
            </w: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jc w:val="right"/>
              <w:ind w:right="195"/>
              <w:spacing w:after="0"/>
              <w:rPr>
                <w:sz w:val="20"/>
                <w:szCs w:val="20"/>
                <w:color w:val="auto"/>
              </w:rPr>
            </w:pPr>
            <w:r>
              <w:rPr>
                <w:rFonts w:ascii="Arial" w:cs="Arial" w:eastAsia="Arial" w:hAnsi="Arial"/>
                <w:sz w:val="14"/>
                <w:szCs w:val="14"/>
                <w:b w:val="1"/>
                <w:bCs w:val="1"/>
                <w:color w:val="auto"/>
              </w:rPr>
              <w:t>Year to Date</w:t>
            </w:r>
          </w:p>
        </w:tc>
        <w:tc>
          <w:tcPr>
            <w:tcW w:w="0" w:type="dxa"/>
            <w:vAlign w:val="bottom"/>
          </w:tcPr>
          <w:p>
            <w:pPr>
              <w:spacing w:after="0"/>
              <w:rPr>
                <w:sz w:val="1"/>
                <w:szCs w:val="1"/>
                <w:color w:val="auto"/>
              </w:rPr>
            </w:pPr>
          </w:p>
        </w:tc>
      </w:tr>
      <w:tr>
        <w:trPr>
          <w:trHeight w:val="196"/>
        </w:trPr>
        <w:tc>
          <w:tcPr>
            <w:tcW w:w="4900" w:type="dxa"/>
            <w:vAlign w:val="bottom"/>
            <w:tcBorders>
              <w:top w:val="single" w:sz="8" w:color="E5FFFF"/>
            </w:tcBorders>
            <w:shd w:val="clear" w:color="auto" w:fill="E5FFFF"/>
          </w:tcPr>
          <w:p>
            <w:pPr>
              <w:spacing w:after="0" w:line="196" w:lineRule="exact"/>
              <w:rPr>
                <w:sz w:val="20"/>
                <w:szCs w:val="20"/>
                <w:color w:val="auto"/>
              </w:rPr>
            </w:pPr>
            <w:r>
              <w:rPr>
                <w:rFonts w:ascii="Arial" w:cs="Arial" w:eastAsia="Arial" w:hAnsi="Arial"/>
                <w:sz w:val="18"/>
                <w:szCs w:val="18"/>
                <w:color w:val="auto"/>
              </w:rPr>
              <w:t>Volume</w:t>
            </w:r>
          </w:p>
        </w:tc>
        <w:tc>
          <w:tcPr>
            <w:tcW w:w="320" w:type="dxa"/>
            <w:vAlign w:val="bottom"/>
            <w:tcBorders>
              <w:top w:val="single" w:sz="8" w:color="E5FFFF"/>
            </w:tcBorders>
            <w:shd w:val="clear" w:color="auto" w:fill="E5FFFF"/>
          </w:tcPr>
          <w:p>
            <w:pPr>
              <w:spacing w:after="0"/>
              <w:rPr>
                <w:sz w:val="17"/>
                <w:szCs w:val="17"/>
                <w:color w:val="auto"/>
              </w:rPr>
            </w:pPr>
          </w:p>
        </w:tc>
        <w:tc>
          <w:tcPr>
            <w:tcW w:w="920" w:type="dxa"/>
            <w:vAlign w:val="bottom"/>
            <w:tcBorders>
              <w:top w:val="single" w:sz="8" w:color="E5FFFF"/>
            </w:tcBorders>
            <w:shd w:val="clear" w:color="auto" w:fill="E5FFFF"/>
          </w:tcPr>
          <w:p>
            <w:pPr>
              <w:spacing w:after="0"/>
              <w:rPr>
                <w:sz w:val="17"/>
                <w:szCs w:val="17"/>
                <w:color w:val="auto"/>
              </w:rPr>
            </w:pPr>
          </w:p>
        </w:tc>
        <w:tc>
          <w:tcPr>
            <w:tcW w:w="160" w:type="dxa"/>
            <w:vAlign w:val="bottom"/>
            <w:tcBorders>
              <w:top w:val="single" w:sz="8" w:color="E5FFFF"/>
            </w:tcBorders>
            <w:shd w:val="clear" w:color="auto" w:fill="E5FFFF"/>
          </w:tcPr>
          <w:p>
            <w:pPr>
              <w:spacing w:after="0"/>
              <w:rPr>
                <w:sz w:val="17"/>
                <w:szCs w:val="17"/>
                <w:color w:val="auto"/>
              </w:rPr>
            </w:pPr>
          </w:p>
        </w:tc>
        <w:tc>
          <w:tcPr>
            <w:tcW w:w="340" w:type="dxa"/>
            <w:vAlign w:val="bottom"/>
            <w:tcBorders>
              <w:top w:val="single" w:sz="8" w:color="E5FFFF"/>
            </w:tcBorders>
            <w:shd w:val="clear" w:color="auto" w:fill="E5FFFF"/>
          </w:tcPr>
          <w:p>
            <w:pPr>
              <w:spacing w:after="0"/>
              <w:rPr>
                <w:sz w:val="17"/>
                <w:szCs w:val="17"/>
                <w:color w:val="auto"/>
              </w:rPr>
            </w:pPr>
          </w:p>
        </w:tc>
        <w:tc>
          <w:tcPr>
            <w:tcW w:w="520" w:type="dxa"/>
            <w:vAlign w:val="bottom"/>
            <w:tcBorders>
              <w:top w:val="single" w:sz="8" w:color="E5FFFF"/>
            </w:tcBorders>
            <w:shd w:val="clear" w:color="auto" w:fill="E5FFFF"/>
          </w:tcPr>
          <w:p>
            <w:pPr>
              <w:spacing w:after="0"/>
              <w:rPr>
                <w:sz w:val="17"/>
                <w:szCs w:val="17"/>
                <w:color w:val="auto"/>
              </w:rPr>
            </w:pPr>
          </w:p>
        </w:tc>
        <w:tc>
          <w:tcPr>
            <w:tcW w:w="820" w:type="dxa"/>
            <w:vAlign w:val="bottom"/>
            <w:tcBorders>
              <w:top w:val="single" w:sz="8" w:color="E5FFFF"/>
            </w:tcBorders>
            <w:shd w:val="clear" w:color="auto" w:fill="E5FFFF"/>
          </w:tcPr>
          <w:p>
            <w:pPr>
              <w:spacing w:after="0"/>
              <w:rPr>
                <w:sz w:val="17"/>
                <w:szCs w:val="17"/>
                <w:color w:val="auto"/>
              </w:rPr>
            </w:pPr>
          </w:p>
        </w:tc>
        <w:tc>
          <w:tcPr>
            <w:tcW w:w="300" w:type="dxa"/>
            <w:vAlign w:val="bottom"/>
            <w:tcBorders>
              <w:top w:val="single" w:sz="8" w:color="E5FFFF"/>
            </w:tcBorders>
            <w:shd w:val="clear" w:color="auto" w:fill="E5FFFF"/>
          </w:tcPr>
          <w:p>
            <w:pPr>
              <w:spacing w:after="0"/>
              <w:rPr>
                <w:sz w:val="17"/>
                <w:szCs w:val="17"/>
                <w:color w:val="auto"/>
              </w:rPr>
            </w:pPr>
          </w:p>
        </w:tc>
        <w:tc>
          <w:tcPr>
            <w:tcW w:w="40" w:type="dxa"/>
            <w:vAlign w:val="bottom"/>
            <w:tcBorders>
              <w:top w:val="single" w:sz="8" w:color="auto"/>
            </w:tcBorders>
            <w:shd w:val="clear" w:color="auto" w:fill="E5FFFF"/>
          </w:tcPr>
          <w:p>
            <w:pPr>
              <w:spacing w:after="0"/>
              <w:rPr>
                <w:sz w:val="17"/>
                <w:szCs w:val="17"/>
                <w:color w:val="auto"/>
              </w:rPr>
            </w:pPr>
          </w:p>
        </w:tc>
        <w:tc>
          <w:tcPr>
            <w:tcW w:w="140" w:type="dxa"/>
            <w:vAlign w:val="bottom"/>
            <w:tcBorders>
              <w:top w:val="single" w:sz="8" w:color="auto"/>
            </w:tcBorders>
            <w:shd w:val="clear" w:color="auto" w:fill="E5FFFF"/>
          </w:tcPr>
          <w:p>
            <w:pPr>
              <w:spacing w:after="0"/>
              <w:rPr>
                <w:sz w:val="17"/>
                <w:szCs w:val="17"/>
                <w:color w:val="auto"/>
              </w:rPr>
            </w:pPr>
          </w:p>
        </w:tc>
        <w:tc>
          <w:tcPr>
            <w:tcW w:w="1220" w:type="dxa"/>
            <w:vAlign w:val="bottom"/>
            <w:tcBorders>
              <w:top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4%</w:t>
            </w:r>
          </w:p>
        </w:tc>
        <w:tc>
          <w:tcPr>
            <w:tcW w:w="60" w:type="dxa"/>
            <w:vAlign w:val="bottom"/>
            <w:tcBorders>
              <w:top w:val="single" w:sz="8" w:color="E5FFFF"/>
            </w:tcBorders>
            <w:shd w:val="clear" w:color="auto" w:fill="E5FFFF"/>
          </w:tcPr>
          <w:p>
            <w:pPr>
              <w:spacing w:after="0"/>
              <w:rPr>
                <w:sz w:val="17"/>
                <w:szCs w:val="17"/>
                <w:color w:val="auto"/>
              </w:rPr>
            </w:pPr>
          </w:p>
        </w:tc>
        <w:tc>
          <w:tcPr>
            <w:tcW w:w="280" w:type="dxa"/>
            <w:vAlign w:val="bottom"/>
            <w:tcBorders>
              <w:top w:val="single" w:sz="8" w:color="E5FFFF"/>
            </w:tcBorders>
            <w:shd w:val="clear" w:color="auto" w:fill="E5FFFF"/>
          </w:tcPr>
          <w:p>
            <w:pPr>
              <w:spacing w:after="0"/>
              <w:rPr>
                <w:sz w:val="17"/>
                <w:szCs w:val="17"/>
                <w:color w:val="auto"/>
              </w:rPr>
            </w:pPr>
          </w:p>
        </w:tc>
        <w:tc>
          <w:tcPr>
            <w:tcW w:w="40" w:type="dxa"/>
            <w:vAlign w:val="bottom"/>
            <w:tcBorders>
              <w:top w:val="single" w:sz="8" w:color="auto"/>
            </w:tcBorders>
            <w:shd w:val="clear" w:color="auto" w:fill="E5FFFF"/>
          </w:tcPr>
          <w:p>
            <w:pPr>
              <w:spacing w:after="0"/>
              <w:rPr>
                <w:sz w:val="17"/>
                <w:szCs w:val="17"/>
                <w:color w:val="auto"/>
              </w:rPr>
            </w:pPr>
          </w:p>
        </w:tc>
        <w:tc>
          <w:tcPr>
            <w:tcW w:w="180" w:type="dxa"/>
            <w:vAlign w:val="bottom"/>
            <w:tcBorders>
              <w:top w:val="single" w:sz="8" w:color="auto"/>
            </w:tcBorders>
            <w:shd w:val="clear" w:color="auto" w:fill="E5FFFF"/>
          </w:tcPr>
          <w:p>
            <w:pPr>
              <w:spacing w:after="0"/>
              <w:rPr>
                <w:sz w:val="17"/>
                <w:szCs w:val="17"/>
                <w:color w:val="auto"/>
              </w:rPr>
            </w:pPr>
          </w:p>
        </w:tc>
        <w:tc>
          <w:tcPr>
            <w:tcW w:w="1180" w:type="dxa"/>
            <w:vAlign w:val="bottom"/>
            <w:tcBorders>
              <w:top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3"/>
        </w:trPr>
        <w:tc>
          <w:tcPr>
            <w:tcW w:w="4900" w:type="dxa"/>
            <w:vAlign w:val="bottom"/>
          </w:tcPr>
          <w:p>
            <w:pPr>
              <w:spacing w:after="0" w:line="202" w:lineRule="exact"/>
              <w:rPr>
                <w:sz w:val="20"/>
                <w:szCs w:val="20"/>
                <w:color w:val="auto"/>
              </w:rPr>
            </w:pPr>
            <w:r>
              <w:rPr>
                <w:rFonts w:ascii="Arial" w:cs="Arial" w:eastAsia="Arial" w:hAnsi="Arial"/>
                <w:sz w:val="18"/>
                <w:szCs w:val="18"/>
                <w:color w:val="auto"/>
              </w:rPr>
              <w:t>Price</w:t>
            </w:r>
          </w:p>
        </w:tc>
        <w:tc>
          <w:tcPr>
            <w:tcW w:w="3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2%</w:t>
            </w: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4900" w:type="dxa"/>
            <w:vAlign w:val="bottom"/>
            <w:shd w:val="clear" w:color="auto" w:fill="E5FFFF"/>
          </w:tcPr>
          <w:p>
            <w:pPr>
              <w:spacing w:after="0"/>
              <w:rPr>
                <w:sz w:val="20"/>
                <w:szCs w:val="20"/>
                <w:color w:val="auto"/>
              </w:rPr>
            </w:pPr>
            <w:r>
              <w:rPr>
                <w:rFonts w:ascii="Arial" w:cs="Arial" w:eastAsia="Arial" w:hAnsi="Arial"/>
                <w:sz w:val="18"/>
                <w:szCs w:val="18"/>
                <w:color w:val="auto"/>
              </w:rPr>
              <w:t>Foreign Currency Translation</w:t>
            </w:r>
          </w:p>
        </w:tc>
        <w:tc>
          <w:tcPr>
            <w:tcW w:w="320" w:type="dxa"/>
            <w:vAlign w:val="bottom"/>
            <w:shd w:val="clear" w:color="auto" w:fill="E5FFFF"/>
          </w:tcPr>
          <w:p>
            <w:pPr>
              <w:spacing w:after="0"/>
              <w:rPr>
                <w:sz w:val="18"/>
                <w:szCs w:val="18"/>
                <w:color w:val="auto"/>
              </w:rPr>
            </w:pPr>
          </w:p>
        </w:tc>
        <w:tc>
          <w:tcPr>
            <w:tcW w:w="92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340" w:type="dxa"/>
            <w:vAlign w:val="bottom"/>
            <w:shd w:val="clear" w:color="auto" w:fill="E5FFFF"/>
          </w:tcPr>
          <w:p>
            <w:pPr>
              <w:spacing w:after="0"/>
              <w:rPr>
                <w:sz w:val="18"/>
                <w:szCs w:val="18"/>
                <w:color w:val="auto"/>
              </w:rPr>
            </w:pPr>
          </w:p>
        </w:tc>
        <w:tc>
          <w:tcPr>
            <w:tcW w:w="520" w:type="dxa"/>
            <w:vAlign w:val="bottom"/>
            <w:shd w:val="clear" w:color="auto" w:fill="E5FFFF"/>
          </w:tcPr>
          <w:p>
            <w:pPr>
              <w:spacing w:after="0"/>
              <w:rPr>
                <w:sz w:val="18"/>
                <w:szCs w:val="18"/>
                <w:color w:val="auto"/>
              </w:rPr>
            </w:pPr>
          </w:p>
        </w:tc>
        <w:tc>
          <w:tcPr>
            <w:tcW w:w="820" w:type="dxa"/>
            <w:vAlign w:val="bottom"/>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40" w:type="dxa"/>
            <w:vAlign w:val="bottom"/>
            <w:tcBorders>
              <w:bottom w:val="single" w:sz="8" w:color="auto"/>
            </w:tcBorders>
            <w:shd w:val="clear" w:color="auto" w:fill="E5FFFF"/>
          </w:tcPr>
          <w:p>
            <w:pPr>
              <w:spacing w:after="0"/>
              <w:rPr>
                <w:sz w:val="18"/>
                <w:szCs w:val="18"/>
                <w:color w:val="auto"/>
              </w:rPr>
            </w:pPr>
          </w:p>
        </w:tc>
        <w:tc>
          <w:tcPr>
            <w:tcW w:w="140" w:type="dxa"/>
            <w:vAlign w:val="bottom"/>
            <w:tcBorders>
              <w:bottom w:val="single" w:sz="8" w:color="auto"/>
            </w:tcBorders>
            <w:shd w:val="clear" w:color="auto" w:fill="E5FFFF"/>
          </w:tcPr>
          <w:p>
            <w:pPr>
              <w:spacing w:after="0"/>
              <w:rPr>
                <w:sz w:val="18"/>
                <w:szCs w:val="18"/>
                <w:color w:val="auto"/>
              </w:rPr>
            </w:pPr>
          </w:p>
        </w:tc>
        <w:tc>
          <w:tcPr>
            <w:tcW w:w="12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2%</w:t>
            </w:r>
          </w:p>
        </w:tc>
        <w:tc>
          <w:tcPr>
            <w:tcW w:w="60" w:type="dxa"/>
            <w:vAlign w:val="bottom"/>
            <w:shd w:val="clear" w:color="auto" w:fill="E5FFFF"/>
          </w:tcPr>
          <w:p>
            <w:pPr>
              <w:spacing w:after="0"/>
              <w:rPr>
                <w:sz w:val="18"/>
                <w:szCs w:val="18"/>
                <w:color w:val="auto"/>
              </w:rPr>
            </w:pPr>
          </w:p>
        </w:tc>
        <w:tc>
          <w:tcPr>
            <w:tcW w:w="280" w:type="dxa"/>
            <w:vAlign w:val="bottom"/>
            <w:shd w:val="clear" w:color="auto" w:fill="E5FFFF"/>
          </w:tcPr>
          <w:p>
            <w:pPr>
              <w:spacing w:after="0"/>
              <w:rPr>
                <w:sz w:val="18"/>
                <w:szCs w:val="18"/>
                <w:color w:val="auto"/>
              </w:rPr>
            </w:pPr>
          </w:p>
        </w:tc>
        <w:tc>
          <w:tcPr>
            <w:tcW w:w="40" w:type="dxa"/>
            <w:vAlign w:val="bottom"/>
            <w:tcBorders>
              <w:bottom w:val="single" w:sz="8" w:color="auto"/>
            </w:tcBorders>
            <w:shd w:val="clear" w:color="auto" w:fill="E5FFFF"/>
          </w:tcPr>
          <w:p>
            <w:pPr>
              <w:spacing w:after="0"/>
              <w:rPr>
                <w:sz w:val="18"/>
                <w:szCs w:val="18"/>
                <w:color w:val="auto"/>
              </w:rPr>
            </w:pPr>
          </w:p>
        </w:tc>
        <w:tc>
          <w:tcPr>
            <w:tcW w:w="180" w:type="dxa"/>
            <w:vAlign w:val="bottom"/>
            <w:tcBorders>
              <w:bottom w:val="single" w:sz="8" w:color="auto"/>
            </w:tcBorders>
            <w:shd w:val="clear" w:color="auto" w:fill="E5FFFF"/>
          </w:tcPr>
          <w:p>
            <w:pPr>
              <w:spacing w:after="0"/>
              <w:rPr>
                <w:sz w:val="18"/>
                <w:szCs w:val="18"/>
                <w:color w:val="auto"/>
              </w:rPr>
            </w:pPr>
          </w:p>
        </w:tc>
        <w:tc>
          <w:tcPr>
            <w:tcW w:w="11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3"/>
        </w:trPr>
        <w:tc>
          <w:tcPr>
            <w:tcW w:w="49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60" w:firstLine="648"/>
        <w:spacing w:after="0"/>
        <w:rPr>
          <w:sz w:val="20"/>
          <w:szCs w:val="20"/>
          <w:color w:val="auto"/>
        </w:rPr>
      </w:pPr>
      <w:r>
        <w:rPr>
          <w:rFonts w:ascii="Arial" w:cs="Arial" w:eastAsia="Arial" w:hAnsi="Arial"/>
          <w:sz w:val="18"/>
          <w:szCs w:val="18"/>
          <w:color w:val="auto"/>
        </w:rPr>
        <w:t>A discussion of net sales by segment can be found in the Review of Business Segments section of this MD&amp;A. The foreign currency translation impact in the quarter and six months is primarily driven by the strengthening of the Euro, British Pound and Chinese Renminbi against the U.S. Dollar.</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Products and Services Sold</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0" w:type="dxa"/>
            <w:vAlign w:val="bottom"/>
            <w:gridSpan w:val="4"/>
          </w:tcPr>
          <w:p>
            <w:pPr>
              <w:jc w:val="center"/>
              <w:ind w:right="256"/>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920" w:type="dxa"/>
            <w:vAlign w:val="bottom"/>
            <w:gridSpan w:val="3"/>
          </w:tcPr>
          <w:p>
            <w:pPr>
              <w:jc w:val="center"/>
              <w:ind w:left="499"/>
              <w:spacing w:after="0"/>
              <w:rPr>
                <w:sz w:val="20"/>
                <w:szCs w:val="20"/>
                <w:color w:val="auto"/>
              </w:rPr>
            </w:pPr>
            <w:r>
              <w:rPr>
                <w:rFonts w:ascii="Arial" w:cs="Arial" w:eastAsia="Arial" w:hAnsi="Arial"/>
                <w:sz w:val="14"/>
                <w:szCs w:val="14"/>
                <w:b w:val="1"/>
                <w:bCs w:val="1"/>
                <w:color w:val="auto"/>
              </w:rPr>
              <w:t>Six Months Ended</w:t>
            </w:r>
          </w:p>
        </w:tc>
        <w:tc>
          <w:tcPr>
            <w:tcW w:w="900" w:type="dxa"/>
            <w:vAlign w:val="bottom"/>
          </w:tcPr>
          <w:p>
            <w:pPr>
              <w:spacing w:after="0"/>
              <w:rPr>
                <w:sz w:val="14"/>
                <w:szCs w:val="14"/>
                <w:color w:val="auto"/>
              </w:rPr>
            </w:pPr>
          </w:p>
        </w:tc>
      </w:tr>
      <w:tr>
        <w:trPr>
          <w:trHeight w:val="175"/>
        </w:trPr>
        <w:tc>
          <w:tcPr>
            <w:tcW w:w="48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3"/>
          </w:tcPr>
          <w:p>
            <w:pPr>
              <w:jc w:val="center"/>
              <w:ind w:left="639"/>
              <w:spacing w:after="0"/>
              <w:rPr>
                <w:sz w:val="20"/>
                <w:szCs w:val="20"/>
                <w:color w:val="auto"/>
              </w:rPr>
            </w:pPr>
            <w:r>
              <w:rPr>
                <w:rFonts w:ascii="Arial" w:cs="Arial" w:eastAsia="Arial" w:hAnsi="Arial"/>
                <w:sz w:val="14"/>
                <w:szCs w:val="14"/>
                <w:b w:val="1"/>
                <w:bCs w:val="1"/>
                <w:color w:val="auto"/>
              </w:rPr>
              <w:t>June 30,</w:t>
            </w:r>
          </w:p>
        </w:tc>
        <w:tc>
          <w:tcPr>
            <w:tcW w:w="1060" w:type="dxa"/>
            <w:vAlign w:val="bottom"/>
            <w:tcBorders>
              <w:bottom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gridSpan w:val="3"/>
          </w:tcPr>
          <w:p>
            <w:pPr>
              <w:jc w:val="center"/>
              <w:ind w:left="499"/>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5"/>
                <w:szCs w:val="15"/>
                <w:color w:val="auto"/>
              </w:rPr>
            </w:pPr>
          </w:p>
        </w:tc>
      </w:tr>
      <w:tr>
        <w:trPr>
          <w:trHeight w:val="156"/>
        </w:trPr>
        <w:tc>
          <w:tcPr>
            <w:tcW w:w="4820" w:type="dxa"/>
            <w:vAlign w:val="bottom"/>
            <w:tcBorders>
              <w:bottom w:val="single" w:sz="8" w:color="E5FF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439"/>
              <w:spacing w:after="0" w:line="155" w:lineRule="exact"/>
              <w:rPr>
                <w:sz w:val="20"/>
                <w:szCs w:val="20"/>
                <w:color w:val="auto"/>
              </w:rPr>
            </w:pPr>
            <w:r>
              <w:rPr>
                <w:rFonts w:ascii="Arial" w:cs="Arial" w:eastAsia="Arial" w:hAnsi="Arial"/>
                <w:sz w:val="14"/>
                <w:szCs w:val="14"/>
                <w:b w:val="1"/>
                <w:bCs w:val="1"/>
                <w:color w:val="auto"/>
              </w:rPr>
              <w:t>2018</w:t>
            </w:r>
          </w:p>
        </w:tc>
        <w:tc>
          <w:tcPr>
            <w:tcW w:w="340" w:type="dxa"/>
            <w:vAlign w:val="bottom"/>
            <w:tcBorders>
              <w:bottom w:val="single" w:sz="8" w:color="E5FF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456"/>
              <w:spacing w:after="0" w:line="155" w:lineRule="exact"/>
              <w:rPr>
                <w:sz w:val="20"/>
                <w:szCs w:val="20"/>
                <w:color w:val="auto"/>
              </w:rPr>
            </w:pPr>
            <w:r>
              <w:rPr>
                <w:rFonts w:ascii="Arial" w:cs="Arial" w:eastAsia="Arial" w:hAnsi="Arial"/>
                <w:sz w:val="14"/>
                <w:szCs w:val="14"/>
                <w:b w:val="1"/>
                <w:bCs w:val="1"/>
                <w:color w:val="auto"/>
              </w:rPr>
              <w:t>2017</w:t>
            </w:r>
          </w:p>
        </w:tc>
        <w:tc>
          <w:tcPr>
            <w:tcW w:w="340" w:type="dxa"/>
            <w:vAlign w:val="bottom"/>
            <w:tcBorders>
              <w:bottom w:val="single" w:sz="8" w:color="E5FF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459"/>
              <w:spacing w:after="0" w:line="155" w:lineRule="exact"/>
              <w:rPr>
                <w:sz w:val="20"/>
                <w:szCs w:val="20"/>
                <w:color w:val="auto"/>
              </w:rPr>
            </w:pPr>
            <w:r>
              <w:rPr>
                <w:rFonts w:ascii="Arial" w:cs="Arial" w:eastAsia="Arial" w:hAnsi="Arial"/>
                <w:sz w:val="14"/>
                <w:szCs w:val="14"/>
                <w:b w:val="1"/>
                <w:bCs w:val="1"/>
                <w:color w:val="auto"/>
              </w:rPr>
              <w:t>2018</w:t>
            </w:r>
          </w:p>
        </w:tc>
        <w:tc>
          <w:tcPr>
            <w:tcW w:w="340" w:type="dxa"/>
            <w:vAlign w:val="bottom"/>
            <w:tcBorders>
              <w:bottom w:val="single" w:sz="8" w:color="E5FFFF"/>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456"/>
              <w:spacing w:after="0" w:line="155" w:lineRule="exact"/>
              <w:rPr>
                <w:sz w:val="20"/>
                <w:szCs w:val="20"/>
                <w:color w:val="auto"/>
              </w:rPr>
            </w:pPr>
            <w:r>
              <w:rPr>
                <w:rFonts w:ascii="Arial" w:cs="Arial" w:eastAsia="Arial" w:hAnsi="Arial"/>
                <w:sz w:val="14"/>
                <w:szCs w:val="14"/>
                <w:b w:val="1"/>
                <w:bCs w:val="1"/>
                <w:color w:val="auto"/>
              </w:rPr>
              <w:t>2017</w:t>
            </w:r>
          </w:p>
        </w:tc>
      </w:tr>
      <w:tr>
        <w:trPr>
          <w:trHeight w:val="196"/>
        </w:trPr>
        <w:tc>
          <w:tcPr>
            <w:tcW w:w="4820" w:type="dxa"/>
            <w:vAlign w:val="bottom"/>
            <w:shd w:val="clear" w:color="auto" w:fill="E5FFFF"/>
          </w:tcPr>
          <w:p>
            <w:pPr>
              <w:spacing w:after="0" w:line="196" w:lineRule="exact"/>
              <w:rPr>
                <w:sz w:val="20"/>
                <w:szCs w:val="20"/>
                <w:color w:val="auto"/>
              </w:rPr>
            </w:pPr>
            <w:r>
              <w:rPr>
                <w:rFonts w:ascii="Arial" w:cs="Arial" w:eastAsia="Arial" w:hAnsi="Arial"/>
                <w:sz w:val="18"/>
                <w:szCs w:val="18"/>
                <w:color w:val="auto"/>
              </w:rPr>
              <w:t>Cost of products and services sold</w:t>
            </w:r>
          </w:p>
        </w:tc>
        <w:tc>
          <w:tcPr>
            <w:tcW w:w="320" w:type="dxa"/>
            <w:vAlign w:val="bottom"/>
            <w:shd w:val="clear" w:color="auto" w:fill="E5FFFF"/>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shd w:val="clear" w:color="auto" w:fill="E5FFFF"/>
          </w:tcPr>
          <w:p>
            <w:pPr>
              <w:jc w:val="right"/>
              <w:ind w:right="79"/>
              <w:spacing w:after="0" w:line="196" w:lineRule="exact"/>
              <w:rPr>
                <w:sz w:val="20"/>
                <w:szCs w:val="20"/>
                <w:color w:val="auto"/>
              </w:rPr>
            </w:pPr>
            <w:r>
              <w:rPr>
                <w:rFonts w:ascii="Arial" w:cs="Arial" w:eastAsia="Arial" w:hAnsi="Arial"/>
                <w:sz w:val="18"/>
                <w:szCs w:val="18"/>
                <w:color w:val="auto"/>
              </w:rPr>
              <w:t>7,613</w:t>
            </w:r>
          </w:p>
        </w:tc>
        <w:tc>
          <w:tcPr>
            <w:tcW w:w="340" w:type="dxa"/>
            <w:vAlign w:val="bottom"/>
            <w:shd w:val="clear" w:color="auto" w:fill="E5FFFF"/>
          </w:tcPr>
          <w:p>
            <w:pPr>
              <w:spacing w:after="0"/>
              <w:rPr>
                <w:sz w:val="17"/>
                <w:szCs w:val="17"/>
                <w:color w:val="auto"/>
              </w:rPr>
            </w:pPr>
          </w:p>
        </w:tc>
        <w:tc>
          <w:tcPr>
            <w:tcW w:w="340" w:type="dxa"/>
            <w:vAlign w:val="bottom"/>
            <w:shd w:val="clear" w:color="auto" w:fill="E5FFFF"/>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shd w:val="clear" w:color="auto" w:fill="E5FFFF"/>
          </w:tcPr>
          <w:p>
            <w:pPr>
              <w:jc w:val="right"/>
              <w:ind w:right="76"/>
              <w:spacing w:after="0" w:line="196" w:lineRule="exact"/>
              <w:rPr>
                <w:sz w:val="20"/>
                <w:szCs w:val="20"/>
                <w:color w:val="auto"/>
              </w:rPr>
            </w:pPr>
            <w:r>
              <w:rPr>
                <w:rFonts w:ascii="Arial" w:cs="Arial" w:eastAsia="Arial" w:hAnsi="Arial"/>
                <w:sz w:val="18"/>
                <w:szCs w:val="18"/>
                <w:color w:val="auto"/>
              </w:rPr>
              <w:t>7,024</w:t>
            </w:r>
          </w:p>
        </w:tc>
        <w:tc>
          <w:tcPr>
            <w:tcW w:w="340" w:type="dxa"/>
            <w:vAlign w:val="bottom"/>
            <w:shd w:val="clear" w:color="auto" w:fill="E5FFFF"/>
          </w:tcPr>
          <w:p>
            <w:pPr>
              <w:spacing w:after="0"/>
              <w:rPr>
                <w:sz w:val="17"/>
                <w:szCs w:val="17"/>
                <w:color w:val="auto"/>
              </w:rPr>
            </w:pPr>
          </w:p>
        </w:tc>
        <w:tc>
          <w:tcPr>
            <w:tcW w:w="320" w:type="dxa"/>
            <w:vAlign w:val="bottom"/>
            <w:shd w:val="clear" w:color="auto" w:fill="E5FFFF"/>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shd w:val="clear" w:color="auto" w:fill="E5FFFF"/>
          </w:tcPr>
          <w:p>
            <w:pPr>
              <w:jc w:val="right"/>
              <w:ind w:right="79"/>
              <w:spacing w:after="0" w:line="196" w:lineRule="exact"/>
              <w:rPr>
                <w:sz w:val="20"/>
                <w:szCs w:val="20"/>
                <w:color w:val="auto"/>
              </w:rPr>
            </w:pPr>
            <w:r>
              <w:rPr>
                <w:rFonts w:ascii="Arial" w:cs="Arial" w:eastAsia="Arial" w:hAnsi="Arial"/>
                <w:sz w:val="18"/>
                <w:szCs w:val="18"/>
                <w:color w:val="auto"/>
              </w:rPr>
              <w:t>14,806</w:t>
            </w:r>
          </w:p>
        </w:tc>
        <w:tc>
          <w:tcPr>
            <w:tcW w:w="340" w:type="dxa"/>
            <w:vAlign w:val="bottom"/>
            <w:shd w:val="clear" w:color="auto" w:fill="E5FFFF"/>
          </w:tcPr>
          <w:p>
            <w:pPr>
              <w:spacing w:after="0"/>
              <w:rPr>
                <w:sz w:val="17"/>
                <w:szCs w:val="17"/>
                <w:color w:val="auto"/>
              </w:rPr>
            </w:pPr>
          </w:p>
        </w:tc>
        <w:tc>
          <w:tcPr>
            <w:tcW w:w="500" w:type="dxa"/>
            <w:vAlign w:val="bottom"/>
            <w:shd w:val="clear" w:color="auto" w:fill="E5FFFF"/>
          </w:tcPr>
          <w:p>
            <w:pPr>
              <w:jc w:val="right"/>
              <w:ind w:right="310"/>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E5FFFF"/>
          </w:tcPr>
          <w:p>
            <w:pPr>
              <w:jc w:val="right"/>
              <w:ind w:right="76"/>
              <w:spacing w:after="0" w:line="196" w:lineRule="exact"/>
              <w:rPr>
                <w:sz w:val="20"/>
                <w:szCs w:val="20"/>
                <w:color w:val="auto"/>
              </w:rPr>
            </w:pPr>
            <w:r>
              <w:rPr>
                <w:rFonts w:ascii="Arial" w:cs="Arial" w:eastAsia="Arial" w:hAnsi="Arial"/>
                <w:sz w:val="18"/>
                <w:szCs w:val="18"/>
                <w:color w:val="auto"/>
              </w:rPr>
              <w:t>13,553</w:t>
            </w: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 change compared with prior period</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w:t>
            </w: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03"/>
        </w:trPr>
        <w:tc>
          <w:tcPr>
            <w:tcW w:w="482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Gross margin percentage</w:t>
            </w:r>
          </w:p>
        </w:tc>
        <w:tc>
          <w:tcPr>
            <w:tcW w:w="320" w:type="dxa"/>
            <w:vAlign w:val="bottom"/>
            <w:shd w:val="clear" w:color="auto" w:fill="E5FFFF"/>
          </w:tcPr>
          <w:p>
            <w:pPr>
              <w:spacing w:after="0"/>
              <w:rPr>
                <w:sz w:val="17"/>
                <w:szCs w:val="17"/>
                <w:color w:val="auto"/>
              </w:rPr>
            </w:pPr>
          </w:p>
        </w:tc>
        <w:tc>
          <w:tcPr>
            <w:tcW w:w="106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30.3%</w:t>
            </w:r>
          </w:p>
        </w:tc>
        <w:tc>
          <w:tcPr>
            <w:tcW w:w="340" w:type="dxa"/>
            <w:vAlign w:val="bottom"/>
            <w:shd w:val="clear" w:color="auto" w:fill="E5FFFF"/>
          </w:tcPr>
          <w:p>
            <w:pPr>
              <w:spacing w:after="0"/>
              <w:rPr>
                <w:sz w:val="17"/>
                <w:szCs w:val="17"/>
                <w:color w:val="auto"/>
              </w:rPr>
            </w:pPr>
          </w:p>
        </w:tc>
        <w:tc>
          <w:tcPr>
            <w:tcW w:w="340" w:type="dxa"/>
            <w:vAlign w:val="bottom"/>
            <w:shd w:val="clear" w:color="auto" w:fill="E5FFFF"/>
          </w:tcPr>
          <w:p>
            <w:pPr>
              <w:spacing w:after="0"/>
              <w:rPr>
                <w:sz w:val="17"/>
                <w:szCs w:val="17"/>
                <w:color w:val="auto"/>
              </w:rPr>
            </w:pPr>
          </w:p>
        </w:tc>
        <w:tc>
          <w:tcPr>
            <w:tcW w:w="106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30.3%</w:t>
            </w:r>
          </w:p>
        </w:tc>
        <w:tc>
          <w:tcPr>
            <w:tcW w:w="340" w:type="dxa"/>
            <w:vAlign w:val="bottom"/>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108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30.5%</w:t>
            </w:r>
          </w:p>
        </w:tc>
        <w:tc>
          <w:tcPr>
            <w:tcW w:w="340" w:type="dxa"/>
            <w:vAlign w:val="bottom"/>
            <w:shd w:val="clear" w:color="auto" w:fill="E5FFFF"/>
          </w:tcPr>
          <w:p>
            <w:pPr>
              <w:spacing w:after="0"/>
              <w:rPr>
                <w:sz w:val="17"/>
                <w:szCs w:val="17"/>
                <w:color w:val="auto"/>
              </w:rPr>
            </w:pPr>
          </w:p>
        </w:tc>
        <w:tc>
          <w:tcPr>
            <w:tcW w:w="500" w:type="dxa"/>
            <w:vAlign w:val="bottom"/>
            <w:shd w:val="clear" w:color="auto" w:fill="E5FFFF"/>
          </w:tcPr>
          <w:p>
            <w:pPr>
              <w:spacing w:after="0"/>
              <w:rPr>
                <w:sz w:val="17"/>
                <w:szCs w:val="17"/>
                <w:color w:val="auto"/>
              </w:rPr>
            </w:pPr>
          </w:p>
        </w:tc>
        <w:tc>
          <w:tcPr>
            <w:tcW w:w="90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30.7%</w:t>
            </w:r>
          </w:p>
        </w:tc>
      </w:tr>
    </w:tbl>
    <w:p>
      <w:pPr>
        <w:spacing w:after="0" w:line="202"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Cost of products and services sold increased in the quarter primarily due to higher organic sales volumes that drove higher direct material costs of approximately $490 million, higher labor costs of approximately $68 million and higher repositioning and other charges of approximately $41 million allocated to cost of products and services sold.</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14" w:right="239" w:bottom="1440" w:gutter="0" w:footer="0" w:header="0"/>
        </w:sectPr>
      </w:pPr>
    </w:p>
    <w:bookmarkStart w:id="28" w:name="page29"/>
    <w:bookmarkEnd w:id="28"/>
    <w:p>
      <w:pPr>
        <w:jc w:val="both"/>
        <w:ind w:right="20" w:firstLine="648"/>
        <w:spacing w:after="0" w:line="246" w:lineRule="auto"/>
        <w:rPr>
          <w:sz w:val="20"/>
          <w:szCs w:val="20"/>
          <w:color w:val="auto"/>
        </w:rPr>
      </w:pPr>
      <w:r>
        <w:rPr>
          <w:rFonts w:ascii="Arial" w:cs="Arial" w:eastAsia="Arial" w:hAnsi="Arial"/>
          <w:sz w:val="18"/>
          <w:szCs w:val="18"/>
          <w:color w:val="auto"/>
        </w:rPr>
        <w:t>Cost of products and services sold increased in the six months primarily due to higher organic sales volumes that drove higher direct material costs of approximately $1.1 billion and higher labor costs of approximately of $118 million.</w:t>
      </w:r>
    </w:p>
    <w:p>
      <w:pPr>
        <w:spacing w:after="0" w:line="183"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Gross margin percentage was flat in the quarter due to higher gross margin amongst the segments (approximately 0.4 percentage point impact collectively, primarily attributable to Performance Materials and Technologies), offset by higher repositioning and other charges allocated to cost of products and services sold (approximately 0.4 percentage point impact).</w:t>
      </w:r>
    </w:p>
    <w:p>
      <w:pPr>
        <w:spacing w:after="0" w:line="189"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8"/>
          <w:szCs w:val="18"/>
          <w:color w:val="auto"/>
        </w:rPr>
        <w:t>Gross margin percentage decreased in the six months primarily due to higher repositioning and other charges allocated to cost of products and services sold (approximately 0.2 percentage point impact).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General and Administrative Expenses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0" w:type="dxa"/>
            <w:vAlign w:val="bottom"/>
            <w:gridSpan w:val="5"/>
          </w:tcPr>
          <w:p>
            <w:pPr>
              <w:jc w:val="center"/>
              <w:ind w:right="256"/>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920" w:type="dxa"/>
            <w:vAlign w:val="bottom"/>
            <w:gridSpan w:val="4"/>
          </w:tcPr>
          <w:p>
            <w:pPr>
              <w:jc w:val="center"/>
              <w:ind w:left="499"/>
              <w:spacing w:after="0"/>
              <w:rPr>
                <w:sz w:val="20"/>
                <w:szCs w:val="20"/>
                <w:color w:val="auto"/>
              </w:rPr>
            </w:pPr>
            <w:r>
              <w:rPr>
                <w:rFonts w:ascii="Arial" w:cs="Arial" w:eastAsia="Arial" w:hAnsi="Arial"/>
                <w:sz w:val="14"/>
                <w:szCs w:val="14"/>
                <w:b w:val="1"/>
                <w:bCs w:val="1"/>
                <w:color w:val="auto"/>
              </w:rPr>
              <w:t>Six Months Ended</w:t>
            </w: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8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gridSpan w:val="3"/>
          </w:tcPr>
          <w:p>
            <w:pPr>
              <w:jc w:val="center"/>
              <w:ind w:right="110"/>
              <w:spacing w:after="0"/>
              <w:rPr>
                <w:sz w:val="20"/>
                <w:szCs w:val="20"/>
                <w:color w:val="auto"/>
              </w:rPr>
            </w:pPr>
            <w:r>
              <w:rPr>
                <w:rFonts w:ascii="Arial" w:cs="Arial" w:eastAsia="Arial" w:hAnsi="Arial"/>
                <w:sz w:val="14"/>
                <w:szCs w:val="14"/>
                <w:b w:val="1"/>
                <w:bCs w:val="1"/>
                <w:color w:val="auto"/>
              </w:rPr>
              <w:t>June 30,</w:t>
            </w:r>
          </w:p>
        </w:tc>
        <w:tc>
          <w:tcPr>
            <w:tcW w:w="1060" w:type="dxa"/>
            <w:vAlign w:val="bottom"/>
            <w:tcBorders>
              <w:bottom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gridSpan w:val="3"/>
          </w:tcPr>
          <w:p>
            <w:pPr>
              <w:jc w:val="center"/>
              <w:ind w:right="270"/>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4820" w:type="dxa"/>
            <w:vAlign w:val="bottom"/>
            <w:vMerge w:val="restart"/>
          </w:tcPr>
          <w:p>
            <w:pPr>
              <w:spacing w:after="0"/>
              <w:rPr>
                <w:sz w:val="20"/>
                <w:szCs w:val="20"/>
                <w:color w:val="auto"/>
              </w:rPr>
            </w:pPr>
            <w:r>
              <w:rPr>
                <w:rFonts w:ascii="Arial" w:cs="Arial" w:eastAsia="Arial" w:hAnsi="Arial"/>
                <w:sz w:val="18"/>
                <w:szCs w:val="18"/>
                <w:color w:val="auto"/>
              </w:rPr>
              <w:t>Selling, general and administrative expense</w:t>
            </w:r>
          </w:p>
        </w:tc>
        <w:tc>
          <w:tcPr>
            <w:tcW w:w="3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299"/>
              <w:spacing w:after="0" w:line="155" w:lineRule="exact"/>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456"/>
              <w:spacing w:after="0" w:line="155" w:lineRule="exact"/>
              <w:rPr>
                <w:sz w:val="20"/>
                <w:szCs w:val="20"/>
                <w:color w:val="auto"/>
              </w:rPr>
            </w:pPr>
            <w:r>
              <w:rPr>
                <w:rFonts w:ascii="Arial" w:cs="Arial" w:eastAsia="Arial" w:hAnsi="Arial"/>
                <w:sz w:val="14"/>
                <w:szCs w:val="14"/>
                <w:b w:val="1"/>
                <w:bCs w:val="1"/>
                <w:color w:val="auto"/>
              </w:rPr>
              <w:t>2017</w:t>
            </w:r>
          </w:p>
        </w:tc>
        <w:tc>
          <w:tcPr>
            <w:tcW w:w="34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19"/>
              <w:spacing w:after="0" w:line="155" w:lineRule="exact"/>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456"/>
              <w:spacing w:after="0" w:line="155" w:lineRule="exact"/>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196"/>
        </w:trPr>
        <w:tc>
          <w:tcPr>
            <w:tcW w:w="4820" w:type="dxa"/>
            <w:vAlign w:val="bottom"/>
            <w:vMerge w:val="continue"/>
          </w:tcPr>
          <w:p>
            <w:pPr>
              <w:spacing w:after="0"/>
              <w:rPr>
                <w:sz w:val="17"/>
                <w:szCs w:val="17"/>
                <w:color w:val="auto"/>
              </w:rPr>
            </w:pPr>
          </w:p>
        </w:tc>
        <w:tc>
          <w:tcPr>
            <w:tcW w:w="320" w:type="dxa"/>
            <w:vAlign w:val="bottom"/>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1,528</w:t>
            </w: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Pr>
          <w:p>
            <w:pPr>
              <w:jc w:val="right"/>
              <w:ind w:right="76"/>
              <w:spacing w:after="0" w:line="196" w:lineRule="exact"/>
              <w:rPr>
                <w:sz w:val="20"/>
                <w:szCs w:val="20"/>
                <w:color w:val="auto"/>
              </w:rPr>
            </w:pPr>
            <w:r>
              <w:rPr>
                <w:rFonts w:ascii="Arial" w:cs="Arial" w:eastAsia="Arial" w:hAnsi="Arial"/>
                <w:sz w:val="18"/>
                <w:szCs w:val="18"/>
                <w:color w:val="auto"/>
              </w:rPr>
              <w:t>1,456</w:t>
            </w:r>
          </w:p>
        </w:tc>
        <w:tc>
          <w:tcPr>
            <w:tcW w:w="340" w:type="dxa"/>
            <w:vAlign w:val="bottom"/>
          </w:tcPr>
          <w:p>
            <w:pPr>
              <w:spacing w:after="0"/>
              <w:rPr>
                <w:sz w:val="17"/>
                <w:szCs w:val="17"/>
                <w:color w:val="auto"/>
              </w:rPr>
            </w:pPr>
          </w:p>
        </w:tc>
        <w:tc>
          <w:tcPr>
            <w:tcW w:w="320" w:type="dxa"/>
            <w:vAlign w:val="bottom"/>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line="196" w:lineRule="exact"/>
              <w:rPr>
                <w:sz w:val="20"/>
                <w:szCs w:val="20"/>
                <w:color w:val="auto"/>
              </w:rPr>
            </w:pPr>
            <w:r>
              <w:rPr>
                <w:rFonts w:ascii="Arial" w:cs="Arial" w:eastAsia="Arial" w:hAnsi="Arial"/>
                <w:sz w:val="18"/>
                <w:szCs w:val="18"/>
                <w:color w:val="auto"/>
              </w:rPr>
              <w:t>3,003</w:t>
            </w: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00" w:type="dxa"/>
            <w:vAlign w:val="bottom"/>
          </w:tcPr>
          <w:p>
            <w:pPr>
              <w:jc w:val="right"/>
              <w:ind w:right="310"/>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Pr>
          <w:p>
            <w:pPr>
              <w:jc w:val="right"/>
              <w:ind w:right="76"/>
              <w:spacing w:after="0" w:line="196" w:lineRule="exact"/>
              <w:rPr>
                <w:sz w:val="20"/>
                <w:szCs w:val="20"/>
                <w:color w:val="auto"/>
              </w:rPr>
            </w:pPr>
            <w:r>
              <w:rPr>
                <w:rFonts w:ascii="Arial" w:cs="Arial" w:eastAsia="Arial" w:hAnsi="Arial"/>
                <w:sz w:val="18"/>
                <w:szCs w:val="18"/>
                <w:color w:val="auto"/>
              </w:rPr>
              <w:t>2,878</w:t>
            </w:r>
          </w:p>
        </w:tc>
        <w:tc>
          <w:tcPr>
            <w:tcW w:w="0" w:type="dxa"/>
            <w:vAlign w:val="bottom"/>
          </w:tcPr>
          <w:p>
            <w:pPr>
              <w:spacing w:after="0"/>
              <w:rPr>
                <w:sz w:val="1"/>
                <w:szCs w:val="1"/>
                <w:color w:val="auto"/>
              </w:rPr>
            </w:pPr>
          </w:p>
        </w:tc>
      </w:tr>
      <w:tr>
        <w:trPr>
          <w:trHeight w:val="203"/>
        </w:trPr>
        <w:tc>
          <w:tcPr>
            <w:tcW w:w="482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 of sales</w:t>
            </w:r>
          </w:p>
        </w:tc>
        <w:tc>
          <w:tcPr>
            <w:tcW w:w="320" w:type="dxa"/>
            <w:vAlign w:val="bottom"/>
            <w:shd w:val="clear" w:color="auto" w:fill="E5FFFF"/>
          </w:tcPr>
          <w:p>
            <w:pPr>
              <w:spacing w:after="0"/>
              <w:rPr>
                <w:sz w:val="17"/>
                <w:szCs w:val="17"/>
                <w:color w:val="auto"/>
              </w:rPr>
            </w:pPr>
          </w:p>
        </w:tc>
        <w:tc>
          <w:tcPr>
            <w:tcW w:w="1060" w:type="dxa"/>
            <w:vAlign w:val="bottom"/>
            <w:gridSpan w:val="2"/>
            <w:shd w:val="clear" w:color="auto" w:fill="E5FFFF"/>
          </w:tcPr>
          <w:p>
            <w:pPr>
              <w:jc w:val="right"/>
              <w:spacing w:after="0" w:line="202" w:lineRule="exact"/>
              <w:rPr>
                <w:sz w:val="20"/>
                <w:szCs w:val="20"/>
                <w:color w:val="auto"/>
              </w:rPr>
            </w:pPr>
            <w:r>
              <w:rPr>
                <w:rFonts w:ascii="Arial" w:cs="Arial" w:eastAsia="Arial" w:hAnsi="Arial"/>
                <w:sz w:val="18"/>
                <w:szCs w:val="18"/>
                <w:color w:val="auto"/>
              </w:rPr>
              <w:t>14.0%</w:t>
            </w:r>
          </w:p>
        </w:tc>
        <w:tc>
          <w:tcPr>
            <w:tcW w:w="340" w:type="dxa"/>
            <w:vAlign w:val="bottom"/>
            <w:shd w:val="clear" w:color="auto" w:fill="E5FFFF"/>
          </w:tcPr>
          <w:p>
            <w:pPr>
              <w:spacing w:after="0"/>
              <w:rPr>
                <w:sz w:val="17"/>
                <w:szCs w:val="17"/>
                <w:color w:val="auto"/>
              </w:rPr>
            </w:pPr>
          </w:p>
        </w:tc>
        <w:tc>
          <w:tcPr>
            <w:tcW w:w="340" w:type="dxa"/>
            <w:vAlign w:val="bottom"/>
            <w:shd w:val="clear" w:color="auto" w:fill="E5FFFF"/>
          </w:tcPr>
          <w:p>
            <w:pPr>
              <w:spacing w:after="0"/>
              <w:rPr>
                <w:sz w:val="17"/>
                <w:szCs w:val="17"/>
                <w:color w:val="auto"/>
              </w:rPr>
            </w:pPr>
          </w:p>
        </w:tc>
        <w:tc>
          <w:tcPr>
            <w:tcW w:w="106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14.4%</w:t>
            </w:r>
          </w:p>
        </w:tc>
        <w:tc>
          <w:tcPr>
            <w:tcW w:w="340" w:type="dxa"/>
            <w:vAlign w:val="bottom"/>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1080" w:type="dxa"/>
            <w:vAlign w:val="bottom"/>
            <w:gridSpan w:val="2"/>
            <w:shd w:val="clear" w:color="auto" w:fill="E5FFFF"/>
          </w:tcPr>
          <w:p>
            <w:pPr>
              <w:jc w:val="right"/>
              <w:spacing w:after="0" w:line="202" w:lineRule="exact"/>
              <w:rPr>
                <w:sz w:val="20"/>
                <w:szCs w:val="20"/>
                <w:color w:val="auto"/>
              </w:rPr>
            </w:pPr>
            <w:r>
              <w:rPr>
                <w:rFonts w:ascii="Arial" w:cs="Arial" w:eastAsia="Arial" w:hAnsi="Arial"/>
                <w:sz w:val="18"/>
                <w:szCs w:val="18"/>
                <w:color w:val="auto"/>
              </w:rPr>
              <w:t>14.1%</w:t>
            </w:r>
          </w:p>
        </w:tc>
        <w:tc>
          <w:tcPr>
            <w:tcW w:w="340" w:type="dxa"/>
            <w:vAlign w:val="bottom"/>
            <w:shd w:val="clear" w:color="auto" w:fill="E5FFFF"/>
          </w:tcPr>
          <w:p>
            <w:pPr>
              <w:spacing w:after="0"/>
              <w:rPr>
                <w:sz w:val="17"/>
                <w:szCs w:val="17"/>
                <w:color w:val="auto"/>
              </w:rPr>
            </w:pPr>
          </w:p>
        </w:tc>
        <w:tc>
          <w:tcPr>
            <w:tcW w:w="500" w:type="dxa"/>
            <w:vAlign w:val="bottom"/>
            <w:shd w:val="clear" w:color="auto" w:fill="E5FFFF"/>
          </w:tcPr>
          <w:p>
            <w:pPr>
              <w:spacing w:after="0"/>
              <w:rPr>
                <w:sz w:val="17"/>
                <w:szCs w:val="17"/>
                <w:color w:val="auto"/>
              </w:rPr>
            </w:pPr>
          </w:p>
        </w:tc>
        <w:tc>
          <w:tcPr>
            <w:tcW w:w="90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Selling, general and administrative expenses increased in the quarter primarily driven by an increase in selling labor costs, higher repositioning and other charges allocated to selling, general and administrative expenses and the unfavorable impact from foreign currency translation.</w:t>
      </w:r>
    </w:p>
    <w:p>
      <w:pPr>
        <w:spacing w:after="0" w:line="189"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Selling, general and administrative expenses increased for the six months primarily driven by higher repositioning charges allocated to selling, general and administrative expenses, the unfavorable impact from foreign currency translation, and an increase in selling labor costs, partially offset by productivity, net of inflation.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4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94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80" w:type="dxa"/>
            <w:vAlign w:val="bottom"/>
            <w:gridSpan w:val="3"/>
          </w:tcPr>
          <w:p>
            <w:pPr>
              <w:ind w:left="600"/>
              <w:spacing w:after="0"/>
              <w:rPr>
                <w:sz w:val="20"/>
                <w:szCs w:val="20"/>
                <w:color w:val="auto"/>
              </w:rPr>
            </w:pPr>
            <w:r>
              <w:rPr>
                <w:rFonts w:ascii="Arial" w:cs="Arial" w:eastAsia="Arial" w:hAnsi="Arial"/>
                <w:sz w:val="14"/>
                <w:szCs w:val="14"/>
                <w:b w:val="1"/>
                <w:bCs w:val="1"/>
                <w:color w:val="auto"/>
              </w:rPr>
              <w:t>Six Months Ended</w:t>
            </w: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4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gridSpan w:val="3"/>
          </w:tcPr>
          <w:p>
            <w:pPr>
              <w:jc w:val="right"/>
              <w:ind w:right="330"/>
              <w:spacing w:after="0"/>
              <w:rPr>
                <w:sz w:val="20"/>
                <w:szCs w:val="20"/>
                <w:color w:val="auto"/>
              </w:rPr>
            </w:pPr>
            <w:r>
              <w:rPr>
                <w:rFonts w:ascii="Arial" w:cs="Arial" w:eastAsia="Arial" w:hAnsi="Arial"/>
                <w:sz w:val="14"/>
                <w:szCs w:val="14"/>
                <w:b w:val="1"/>
                <w:bCs w:val="1"/>
                <w:color w:val="auto"/>
              </w:rPr>
              <w:t>June 30,</w:t>
            </w:r>
          </w:p>
        </w:tc>
        <w:tc>
          <w:tcPr>
            <w:tcW w:w="840" w:type="dxa"/>
            <w:vAlign w:val="bottom"/>
            <w:tcBorders>
              <w:bottom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gridSpan w:val="3"/>
          </w:tcPr>
          <w:p>
            <w:pPr>
              <w:ind w:left="940"/>
              <w:spacing w:after="0"/>
              <w:rPr>
                <w:sz w:val="20"/>
                <w:szCs w:val="20"/>
                <w:color w:val="auto"/>
              </w:rPr>
            </w:pPr>
            <w:r>
              <w:rPr>
                <w:rFonts w:ascii="Arial" w:cs="Arial" w:eastAsia="Arial" w:hAnsi="Arial"/>
                <w:sz w:val="14"/>
                <w:szCs w:val="14"/>
                <w:b w:val="1"/>
                <w:bCs w:val="1"/>
                <w:color w:val="auto"/>
              </w:rPr>
              <w:t>June 30,</w:t>
            </w:r>
          </w:p>
        </w:tc>
        <w:tc>
          <w:tcPr>
            <w:tcW w:w="8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3440" w:type="dxa"/>
            <w:vAlign w:val="bottom"/>
            <w:vMerge w:val="restart"/>
          </w:tcPr>
          <w:p>
            <w:pPr>
              <w:spacing w:after="0"/>
              <w:rPr>
                <w:sz w:val="20"/>
                <w:szCs w:val="20"/>
                <w:color w:val="auto"/>
              </w:rPr>
            </w:pPr>
            <w:r>
              <w:rPr>
                <w:rFonts w:ascii="Arial" w:cs="Arial" w:eastAsia="Arial" w:hAnsi="Arial"/>
                <w:sz w:val="18"/>
                <w:szCs w:val="18"/>
                <w:color w:val="auto"/>
              </w:rPr>
              <w:t>Other (income) expense</w:t>
            </w:r>
          </w:p>
        </w:tc>
        <w:tc>
          <w:tcPr>
            <w:tcW w:w="150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444"/>
              <w:spacing w:after="0" w:line="155" w:lineRule="exact"/>
              <w:rPr>
                <w:sz w:val="20"/>
                <w:szCs w:val="20"/>
                <w:color w:val="auto"/>
              </w:rPr>
            </w:pPr>
            <w:r>
              <w:rPr>
                <w:rFonts w:ascii="Arial" w:cs="Arial" w:eastAsia="Arial" w:hAnsi="Arial"/>
                <w:sz w:val="14"/>
                <w:szCs w:val="14"/>
                <w:b w:val="1"/>
                <w:bCs w:val="1"/>
                <w:color w:val="auto"/>
              </w:rPr>
              <w:t>2018</w:t>
            </w:r>
          </w:p>
        </w:tc>
        <w:tc>
          <w:tcPr>
            <w:tcW w:w="360" w:type="dxa"/>
            <w:vAlign w:val="bottom"/>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439"/>
              <w:spacing w:after="0" w:line="155" w:lineRule="exact"/>
              <w:rPr>
                <w:sz w:val="20"/>
                <w:szCs w:val="20"/>
                <w:color w:val="auto"/>
              </w:rPr>
            </w:pPr>
            <w:r>
              <w:rPr>
                <w:rFonts w:ascii="Arial" w:cs="Arial" w:eastAsia="Arial" w:hAnsi="Arial"/>
                <w:sz w:val="14"/>
                <w:szCs w:val="14"/>
                <w:b w:val="1"/>
                <w:bCs w:val="1"/>
                <w:color w:val="auto"/>
                <w:w w:val="96"/>
              </w:rPr>
              <w:t>2017</w:t>
            </w:r>
          </w:p>
        </w:tc>
        <w:tc>
          <w:tcPr>
            <w:tcW w:w="34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444"/>
              <w:spacing w:after="0" w:line="155" w:lineRule="exact"/>
              <w:rPr>
                <w:sz w:val="20"/>
                <w:szCs w:val="20"/>
                <w:color w:val="auto"/>
              </w:rPr>
            </w:pPr>
            <w:r>
              <w:rPr>
                <w:rFonts w:ascii="Arial" w:cs="Arial" w:eastAsia="Arial" w:hAnsi="Arial"/>
                <w:sz w:val="14"/>
                <w:szCs w:val="14"/>
                <w:b w:val="1"/>
                <w:bCs w:val="1"/>
                <w:color w:val="auto"/>
              </w:rPr>
              <w:t>2018</w:t>
            </w:r>
          </w:p>
        </w:tc>
        <w:tc>
          <w:tcPr>
            <w:tcW w:w="320" w:type="dxa"/>
            <w:vAlign w:val="bottom"/>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439"/>
              <w:spacing w:after="0" w:line="155" w:lineRule="exact"/>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10"/>
        </w:trPr>
        <w:tc>
          <w:tcPr>
            <w:tcW w:w="3440" w:type="dxa"/>
            <w:vAlign w:val="bottom"/>
            <w:vMerge w:val="continue"/>
          </w:tcPr>
          <w:p>
            <w:pPr>
              <w:spacing w:after="0"/>
              <w:rPr>
                <w:sz w:val="18"/>
                <w:szCs w:val="18"/>
                <w:color w:val="auto"/>
              </w:rPr>
            </w:pPr>
          </w:p>
        </w:tc>
        <w:tc>
          <w:tcPr>
            <w:tcW w:w="150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(316)</w:t>
            </w:r>
          </w:p>
        </w:tc>
        <w:tc>
          <w:tcPr>
            <w:tcW w:w="360" w:type="dxa"/>
            <w:vAlign w:val="bottom"/>
          </w:tcPr>
          <w:p>
            <w:pPr>
              <w:spacing w:after="0"/>
              <w:rPr>
                <w:sz w:val="18"/>
                <w:szCs w:val="18"/>
                <w:color w:val="auto"/>
              </w:rPr>
            </w:pP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(259)</w:t>
            </w:r>
          </w:p>
        </w:tc>
        <w:tc>
          <w:tcPr>
            <w:tcW w:w="34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Pr>
          <w:p>
            <w:pPr>
              <w:ind w:left="580"/>
              <w:spacing w:after="0"/>
              <w:rPr>
                <w:sz w:val="20"/>
                <w:szCs w:val="20"/>
                <w:color w:val="auto"/>
              </w:rPr>
            </w:pPr>
            <w:r>
              <w:rPr>
                <w:rFonts w:ascii="Arial" w:cs="Arial" w:eastAsia="Arial" w:hAnsi="Arial"/>
                <w:sz w:val="18"/>
                <w:szCs w:val="18"/>
                <w:color w:val="auto"/>
              </w:rPr>
              <w:t>(584)</w:t>
            </w:r>
          </w:p>
        </w:tc>
        <w:tc>
          <w:tcPr>
            <w:tcW w:w="320" w:type="dxa"/>
            <w:vAlign w:val="bottom"/>
          </w:tcPr>
          <w:p>
            <w:pPr>
              <w:spacing w:after="0"/>
              <w:rPr>
                <w:sz w:val="18"/>
                <w:szCs w:val="18"/>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(517)</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Other (income) expense increased in the quarter and six months primarily due to an increase in pension ongoing income – non-service, favorable impacts of foreign currency and an increase in interest income, partially offset by separation costs associated with the announced spin-offs of our Homes and Global Distribution business and Transportation Systems business.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Expense</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820" w:type="dxa"/>
            <w:vAlign w:val="bottom"/>
          </w:tcPr>
          <w:p>
            <w:pPr>
              <w:spacing w:after="0"/>
              <w:rPr>
                <w:sz w:val="14"/>
                <w:szCs w:val="14"/>
                <w:color w:val="auto"/>
              </w:rPr>
            </w:pPr>
          </w:p>
        </w:tc>
        <w:tc>
          <w:tcPr>
            <w:tcW w:w="2600" w:type="dxa"/>
            <w:vAlign w:val="bottom"/>
            <w:gridSpan w:val="5"/>
          </w:tcPr>
          <w:p>
            <w:pPr>
              <w:jc w:val="center"/>
              <w:ind w:left="422"/>
              <w:spacing w:after="0"/>
              <w:rPr>
                <w:sz w:val="20"/>
                <w:szCs w:val="20"/>
                <w:color w:val="auto"/>
              </w:rPr>
            </w:pPr>
            <w:r>
              <w:rPr>
                <w:rFonts w:ascii="Arial" w:cs="Arial" w:eastAsia="Arial" w:hAnsi="Arial"/>
                <w:sz w:val="14"/>
                <w:szCs w:val="14"/>
                <w:b w:val="1"/>
                <w:bCs w:val="1"/>
                <w:color w:val="auto"/>
              </w:rPr>
              <w:t>Three Months Ended</w:t>
            </w: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920" w:type="dxa"/>
            <w:vAlign w:val="bottom"/>
            <w:gridSpan w:val="4"/>
          </w:tcPr>
          <w:p>
            <w:pPr>
              <w:jc w:val="center"/>
              <w:ind w:left="499"/>
              <w:spacing w:after="0"/>
              <w:rPr>
                <w:sz w:val="20"/>
                <w:szCs w:val="20"/>
                <w:color w:val="auto"/>
              </w:rPr>
            </w:pPr>
            <w:r>
              <w:rPr>
                <w:rFonts w:ascii="Arial" w:cs="Arial" w:eastAsia="Arial" w:hAnsi="Arial"/>
                <w:sz w:val="14"/>
                <w:szCs w:val="14"/>
                <w:b w:val="1"/>
                <w:bCs w:val="1"/>
                <w:color w:val="auto"/>
              </w:rPr>
              <w:t>Six Months Ended</w:t>
            </w: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820" w:type="dxa"/>
            <w:vAlign w:val="bottom"/>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3"/>
          </w:tcPr>
          <w:p>
            <w:pPr>
              <w:jc w:val="center"/>
              <w:ind w:right="650"/>
              <w:spacing w:after="0"/>
              <w:rPr>
                <w:sz w:val="20"/>
                <w:szCs w:val="20"/>
                <w:color w:val="auto"/>
              </w:rPr>
            </w:pPr>
            <w:r>
              <w:rPr>
                <w:rFonts w:ascii="Arial" w:cs="Arial" w:eastAsia="Arial" w:hAnsi="Arial"/>
                <w:sz w:val="14"/>
                <w:szCs w:val="14"/>
                <w:b w:val="1"/>
                <w:bCs w:val="1"/>
                <w:color w:val="auto"/>
              </w:rPr>
              <w:t>June 30,</w:t>
            </w:r>
          </w:p>
        </w:tc>
        <w:tc>
          <w:tcPr>
            <w:tcW w:w="520" w:type="dxa"/>
            <w:vAlign w:val="bottom"/>
            <w:tcBorders>
              <w:bottom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gridSpan w:val="3"/>
          </w:tcPr>
          <w:p>
            <w:pPr>
              <w:jc w:val="center"/>
              <w:ind w:right="270"/>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4820" w:type="dxa"/>
            <w:vAlign w:val="bottom"/>
            <w:vMerge w:val="restart"/>
          </w:tcPr>
          <w:p>
            <w:pPr>
              <w:spacing w:after="0"/>
              <w:rPr>
                <w:sz w:val="20"/>
                <w:szCs w:val="20"/>
                <w:color w:val="auto"/>
              </w:rPr>
            </w:pPr>
            <w:r>
              <w:rPr>
                <w:rFonts w:ascii="Arial" w:cs="Arial" w:eastAsia="Arial" w:hAnsi="Arial"/>
                <w:sz w:val="18"/>
                <w:szCs w:val="18"/>
                <w:color w:val="auto"/>
              </w:rPr>
              <w:t>Tax expense</w:t>
            </w:r>
          </w:p>
        </w:tc>
        <w:tc>
          <w:tcPr>
            <w:tcW w:w="86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380" w:type="dxa"/>
            <w:vAlign w:val="bottom"/>
          </w:tcPr>
          <w:p>
            <w:pPr>
              <w:spacing w:after="0"/>
              <w:rPr>
                <w:sz w:val="13"/>
                <w:szCs w:val="13"/>
                <w:color w:val="auto"/>
              </w:rPr>
            </w:pPr>
          </w:p>
        </w:tc>
        <w:tc>
          <w:tcPr>
            <w:tcW w:w="1360" w:type="dxa"/>
            <w:vAlign w:val="bottom"/>
            <w:gridSpan w:val="3"/>
          </w:tcPr>
          <w:p>
            <w:pPr>
              <w:jc w:val="right"/>
              <w:spacing w:after="0" w:line="155" w:lineRule="exact"/>
              <w:rPr>
                <w:sz w:val="20"/>
                <w:szCs w:val="20"/>
                <w:color w:val="auto"/>
              </w:rPr>
            </w:pPr>
            <w:r>
              <w:rPr>
                <w:rFonts w:ascii="Arial" w:cs="Arial" w:eastAsia="Arial" w:hAnsi="Arial"/>
                <w:sz w:val="14"/>
                <w:szCs w:val="14"/>
                <w:b w:val="1"/>
                <w:bCs w:val="1"/>
                <w:color w:val="auto"/>
              </w:rPr>
              <w:t>2017</w:t>
            </w:r>
          </w:p>
        </w:tc>
        <w:tc>
          <w:tcPr>
            <w:tcW w:w="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40" w:type="dxa"/>
            <w:vAlign w:val="bottom"/>
          </w:tcPr>
          <w:p>
            <w:pPr>
              <w:jc w:val="right"/>
              <w:ind w:right="319"/>
              <w:spacing w:after="0" w:line="155" w:lineRule="exact"/>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00" w:type="dxa"/>
            <w:vAlign w:val="bottom"/>
          </w:tcPr>
          <w:p>
            <w:pPr>
              <w:jc w:val="right"/>
              <w:ind w:right="456"/>
              <w:spacing w:after="0" w:line="155" w:lineRule="exact"/>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196"/>
        </w:trPr>
        <w:tc>
          <w:tcPr>
            <w:tcW w:w="4820" w:type="dxa"/>
            <w:vAlign w:val="bottom"/>
            <w:vMerge w:val="continue"/>
          </w:tcPr>
          <w:p>
            <w:pPr>
              <w:spacing w:after="0"/>
              <w:rPr>
                <w:sz w:val="17"/>
                <w:szCs w:val="17"/>
                <w:color w:val="auto"/>
              </w:rPr>
            </w:pPr>
          </w:p>
        </w:tc>
        <w:tc>
          <w:tcPr>
            <w:tcW w:w="860" w:type="dxa"/>
            <w:vAlign w:val="bottom"/>
            <w:tcBorders>
              <w:top w:val="single" w:sz="8" w:color="auto"/>
            </w:tcBorders>
          </w:tcPr>
          <w:p>
            <w:pPr>
              <w:jc w:val="right"/>
              <w:ind w:right="682"/>
              <w:spacing w:after="0" w:line="196" w:lineRule="exact"/>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719</w:t>
            </w:r>
          </w:p>
        </w:tc>
        <w:tc>
          <w:tcPr>
            <w:tcW w:w="140" w:type="dxa"/>
            <w:vAlign w:val="bottom"/>
            <w:tcBorders>
              <w:top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Borders>
              <w:top w:val="single" w:sz="8" w:color="auto"/>
            </w:tcBorders>
          </w:tcPr>
          <w:p>
            <w:pPr>
              <w:jc w:val="right"/>
              <w:ind w:right="690"/>
              <w:spacing w:after="0" w:line="196" w:lineRule="exact"/>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rPr>
              <w:t>378</w:t>
            </w:r>
          </w:p>
        </w:tc>
        <w:tc>
          <w:tcPr>
            <w:tcW w:w="340" w:type="dxa"/>
            <w:vAlign w:val="bottom"/>
          </w:tcPr>
          <w:p>
            <w:pPr>
              <w:spacing w:after="0"/>
              <w:rPr>
                <w:sz w:val="17"/>
                <w:szCs w:val="17"/>
                <w:color w:val="auto"/>
              </w:rPr>
            </w:pPr>
          </w:p>
        </w:tc>
        <w:tc>
          <w:tcPr>
            <w:tcW w:w="320" w:type="dxa"/>
            <w:vAlign w:val="bottom"/>
            <w:tcBorders>
              <w:top w:val="single" w:sz="8" w:color="auto"/>
            </w:tcBorders>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1,177</w:t>
            </w:r>
          </w:p>
        </w:tc>
        <w:tc>
          <w:tcPr>
            <w:tcW w:w="140" w:type="dxa"/>
            <w:vAlign w:val="bottom"/>
            <w:tcBorders>
              <w:top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500" w:type="dxa"/>
            <w:vAlign w:val="bottom"/>
            <w:tcBorders>
              <w:top w:val="single" w:sz="8" w:color="auto"/>
            </w:tcBorders>
          </w:tcPr>
          <w:p>
            <w:pPr>
              <w:jc w:val="right"/>
              <w:ind w:right="310"/>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tcPr>
          <w:p>
            <w:pPr>
              <w:jc w:val="right"/>
              <w:ind w:right="76"/>
              <w:spacing w:after="0" w:line="196" w:lineRule="exact"/>
              <w:rPr>
                <w:sz w:val="20"/>
                <w:szCs w:val="20"/>
                <w:color w:val="auto"/>
              </w:rPr>
            </w:pPr>
            <w:r>
              <w:rPr>
                <w:rFonts w:ascii="Arial" w:cs="Arial" w:eastAsia="Arial" w:hAnsi="Arial"/>
                <w:sz w:val="18"/>
                <w:szCs w:val="18"/>
                <w:color w:val="auto"/>
              </w:rPr>
              <w:t>770</w:t>
            </w:r>
          </w:p>
        </w:tc>
        <w:tc>
          <w:tcPr>
            <w:tcW w:w="0" w:type="dxa"/>
            <w:vAlign w:val="bottom"/>
          </w:tcPr>
          <w:p>
            <w:pPr>
              <w:spacing w:after="0"/>
              <w:rPr>
                <w:sz w:val="1"/>
                <w:szCs w:val="1"/>
                <w:color w:val="auto"/>
              </w:rPr>
            </w:pPr>
          </w:p>
        </w:tc>
      </w:tr>
      <w:tr>
        <w:trPr>
          <w:trHeight w:val="203"/>
        </w:trPr>
        <w:tc>
          <w:tcPr>
            <w:tcW w:w="482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Effective tax rate</w:t>
            </w:r>
          </w:p>
        </w:tc>
        <w:tc>
          <w:tcPr>
            <w:tcW w:w="860" w:type="dxa"/>
            <w:vAlign w:val="bottom"/>
            <w:shd w:val="clear" w:color="auto" w:fill="E5FFFF"/>
          </w:tcPr>
          <w:p>
            <w:pPr>
              <w:spacing w:after="0"/>
              <w:rPr>
                <w:sz w:val="17"/>
                <w:szCs w:val="17"/>
                <w:color w:val="auto"/>
              </w:rPr>
            </w:pPr>
          </w:p>
        </w:tc>
        <w:tc>
          <w:tcPr>
            <w:tcW w:w="520" w:type="dxa"/>
            <w:vAlign w:val="bottom"/>
            <w:gridSpan w:val="2"/>
            <w:shd w:val="clear" w:color="auto" w:fill="E5FFFF"/>
          </w:tcPr>
          <w:p>
            <w:pPr>
              <w:jc w:val="right"/>
              <w:spacing w:after="0" w:line="202" w:lineRule="exact"/>
              <w:rPr>
                <w:sz w:val="20"/>
                <w:szCs w:val="20"/>
                <w:color w:val="auto"/>
              </w:rPr>
            </w:pPr>
            <w:r>
              <w:rPr>
                <w:rFonts w:ascii="Arial" w:cs="Arial" w:eastAsia="Arial" w:hAnsi="Arial"/>
                <w:sz w:val="18"/>
                <w:szCs w:val="18"/>
                <w:color w:val="auto"/>
                <w:w w:val="97"/>
              </w:rPr>
              <w:t>36.0%</w:t>
            </w:r>
          </w:p>
        </w:tc>
        <w:tc>
          <w:tcPr>
            <w:tcW w:w="340" w:type="dxa"/>
            <w:vAlign w:val="bottom"/>
            <w:shd w:val="clear" w:color="auto" w:fill="E5FFFF"/>
          </w:tcPr>
          <w:p>
            <w:pPr>
              <w:spacing w:after="0"/>
              <w:rPr>
                <w:sz w:val="17"/>
                <w:szCs w:val="17"/>
                <w:color w:val="auto"/>
              </w:rPr>
            </w:pPr>
          </w:p>
        </w:tc>
        <w:tc>
          <w:tcPr>
            <w:tcW w:w="880" w:type="dxa"/>
            <w:vAlign w:val="bottom"/>
            <w:shd w:val="clear" w:color="auto" w:fill="E5FFFF"/>
          </w:tcPr>
          <w:p>
            <w:pPr>
              <w:spacing w:after="0"/>
              <w:rPr>
                <w:sz w:val="17"/>
                <w:szCs w:val="17"/>
                <w:color w:val="auto"/>
              </w:rPr>
            </w:pPr>
          </w:p>
        </w:tc>
        <w:tc>
          <w:tcPr>
            <w:tcW w:w="52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w w:val="97"/>
              </w:rPr>
              <w:t>21.3%</w:t>
            </w:r>
          </w:p>
        </w:tc>
        <w:tc>
          <w:tcPr>
            <w:tcW w:w="340" w:type="dxa"/>
            <w:vAlign w:val="bottom"/>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1080" w:type="dxa"/>
            <w:vAlign w:val="bottom"/>
            <w:gridSpan w:val="2"/>
            <w:shd w:val="clear" w:color="auto" w:fill="E5FFFF"/>
          </w:tcPr>
          <w:p>
            <w:pPr>
              <w:jc w:val="right"/>
              <w:spacing w:after="0" w:line="202" w:lineRule="exact"/>
              <w:rPr>
                <w:sz w:val="20"/>
                <w:szCs w:val="20"/>
                <w:color w:val="auto"/>
              </w:rPr>
            </w:pPr>
            <w:r>
              <w:rPr>
                <w:rFonts w:ascii="Arial" w:cs="Arial" w:eastAsia="Arial" w:hAnsi="Arial"/>
                <w:sz w:val="18"/>
                <w:szCs w:val="18"/>
                <w:color w:val="auto"/>
              </w:rPr>
              <w:t>30.1%</w:t>
            </w:r>
          </w:p>
        </w:tc>
        <w:tc>
          <w:tcPr>
            <w:tcW w:w="340" w:type="dxa"/>
            <w:vAlign w:val="bottom"/>
            <w:shd w:val="clear" w:color="auto" w:fill="E5FFFF"/>
          </w:tcPr>
          <w:p>
            <w:pPr>
              <w:spacing w:after="0"/>
              <w:rPr>
                <w:sz w:val="17"/>
                <w:szCs w:val="17"/>
                <w:color w:val="auto"/>
              </w:rPr>
            </w:pPr>
          </w:p>
        </w:tc>
        <w:tc>
          <w:tcPr>
            <w:tcW w:w="500" w:type="dxa"/>
            <w:vAlign w:val="bottom"/>
            <w:shd w:val="clear" w:color="auto" w:fill="E5FFFF"/>
          </w:tcPr>
          <w:p>
            <w:pPr>
              <w:spacing w:after="0"/>
              <w:rPr>
                <w:sz w:val="17"/>
                <w:szCs w:val="17"/>
                <w:color w:val="auto"/>
              </w:rPr>
            </w:pPr>
          </w:p>
        </w:tc>
        <w:tc>
          <w:tcPr>
            <w:tcW w:w="90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The effective tax rate increased for the quarter primarily driven by $291 million of tax costs associated with the internal restructuring of the transportation systems business in advance of its anticipated spin-off and decreased tax benefits from employee share-based payments, partially offset by tax benefits from U.S. Tax Reform.</w:t>
      </w:r>
    </w:p>
    <w:p>
      <w:pPr>
        <w:spacing w:after="0" w:line="189"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The effective tax rate increased for the six months primarily driven by $291 million of tax costs associated with the internal restructuring of the transportation systems business in advance of its anticipated spin-off and decreased tax benefits from employee share-based payments, partially offset by tax benefits from U.S. Tax Reform and decreased tax expense for reserves.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22" w:right="239" w:bottom="1440" w:gutter="0" w:footer="0" w:header="0"/>
        </w:sectPr>
      </w:pPr>
    </w:p>
    <w:bookmarkStart w:id="29" w:name="page30"/>
    <w:bookmarkEnd w:id="29"/>
    <w:p>
      <w:pPr>
        <w:jc w:val="both"/>
        <w:ind w:firstLine="648"/>
        <w:spacing w:after="0"/>
        <w:rPr>
          <w:sz w:val="20"/>
          <w:szCs w:val="20"/>
          <w:color w:val="auto"/>
        </w:rPr>
      </w:pPr>
      <w:r>
        <w:rPr>
          <w:rFonts w:ascii="Arial" w:cs="Arial" w:eastAsia="Arial" w:hAnsi="Arial"/>
          <w:sz w:val="18"/>
          <w:szCs w:val="18"/>
          <w:color w:val="auto"/>
        </w:rPr>
        <w:t>The effective tax rate for the quarter and six months ended June 30, 2018 was higher than the U.S. federal statutory rate of 21% primarily due to tax costs associated with the internal restructuring of the transportation systems business in advance of its anticipated spin-off, state income taxes and U.S tax reform’s expansion of the anti-deferral rules that impose U.S. taxes on foreign earnings.</w:t>
      </w:r>
    </w:p>
    <w:p>
      <w:pPr>
        <w:spacing w:after="0" w:line="189"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8"/>
          <w:szCs w:val="18"/>
          <w:color w:val="auto"/>
        </w:rPr>
        <w:t>The effective tax rates for the quarter and six months ended June 30, 2017 were lower than the U.S. federal statutory rate of 35% due in part to non-U.S. earnings taxed at lower rates and from benefits from manufacturing incentives.</w:t>
      </w:r>
    </w:p>
    <w:p>
      <w:pPr>
        <w:spacing w:after="0" w:line="183"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On December 22, 2017, the U.S. enacted tax reform that instituted fundamental changes to the taxation of multinational corporations. As a result of the tax reform, we recorded a provisional tax charge at December 31, 2017 of $1.9 billion related to the mandatory transition tax and $2.1 billion related to taxes on undistributed foreign earnings that are no longer intended to be permanently reinvested. We recorded a provisional amount because certain information related to the computation of earnings and profits, distributable reserves, and foreign exchange gains and losses is not readily available; some of the testing dates to determine taxable amounts have not yet occurred; and there is limited information from federal and state taxing authorities regarding the application and interpretation of the recently enacted legislation. In accordance with current SEC guidance the Company will report the impact of final provisional amounts in the reporting period in which the accounting is completed, which will not exceed one year from the date of enactment of the tax reform.</w:t>
      </w:r>
    </w:p>
    <w:p>
      <w:pPr>
        <w:spacing w:after="0" w:line="195"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As of June 30, 2018, the Company has not completed the accounting for any of the tax effects of tax reform described above and there have been no material changes to our estimated amounts. Accordingly, there has been no material change to the provisional amounts previously recorded and there is no material impact to the June 30, 2018 effective tax rate for such provisional amounts.</w:t>
      </w:r>
    </w:p>
    <w:p>
      <w:pPr>
        <w:spacing w:after="0" w:line="189"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The effective tax rate can vary from quarter to quarter for unusual or infrequently occurring items, such as the tax impacts from the resolution of income tax audits, changes in tax laws, employee share-based payments, revisions to the provisional amounts from U.S. tax reform, internal restructurings or pension mark-to-market adjustments.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Attributable to Honeywell</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94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8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8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gridSpan w:val="3"/>
          </w:tcPr>
          <w:p>
            <w:pPr>
              <w:jc w:val="right"/>
              <w:ind w:right="330"/>
              <w:spacing w:after="0"/>
              <w:rPr>
                <w:sz w:val="20"/>
                <w:szCs w:val="20"/>
                <w:color w:val="auto"/>
              </w:rPr>
            </w:pPr>
            <w:r>
              <w:rPr>
                <w:rFonts w:ascii="Arial" w:cs="Arial" w:eastAsia="Arial" w:hAnsi="Arial"/>
                <w:sz w:val="14"/>
                <w:szCs w:val="14"/>
                <w:b w:val="1"/>
                <w:bCs w:val="1"/>
                <w:color w:val="auto"/>
              </w:rPr>
              <w:t>June 30,</w:t>
            </w:r>
          </w:p>
        </w:tc>
        <w:tc>
          <w:tcPr>
            <w:tcW w:w="840" w:type="dxa"/>
            <w:vAlign w:val="bottom"/>
            <w:tcBorders>
              <w:bottom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gridSpan w:val="3"/>
          </w:tcPr>
          <w:p>
            <w:pPr>
              <w:jc w:val="right"/>
              <w:ind w:right="290"/>
              <w:spacing w:after="0"/>
              <w:rPr>
                <w:sz w:val="20"/>
                <w:szCs w:val="20"/>
                <w:color w:val="auto"/>
              </w:rPr>
            </w:pPr>
            <w:r>
              <w:rPr>
                <w:rFonts w:ascii="Arial" w:cs="Arial" w:eastAsia="Arial" w:hAnsi="Arial"/>
                <w:sz w:val="14"/>
                <w:szCs w:val="14"/>
                <w:b w:val="1"/>
                <w:bCs w:val="1"/>
                <w:color w:val="auto"/>
              </w:rPr>
              <w:t>June 30,</w:t>
            </w:r>
          </w:p>
        </w:tc>
        <w:tc>
          <w:tcPr>
            <w:tcW w:w="8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740" w:type="dxa"/>
            <w:vAlign w:val="bottom"/>
            <w:vMerge w:val="restart"/>
          </w:tcPr>
          <w:p>
            <w:pPr>
              <w:spacing w:after="0"/>
              <w:rPr>
                <w:sz w:val="20"/>
                <w:szCs w:val="20"/>
                <w:color w:val="auto"/>
              </w:rPr>
            </w:pPr>
            <w:r>
              <w:rPr>
                <w:rFonts w:ascii="Arial" w:cs="Arial" w:eastAsia="Arial" w:hAnsi="Arial"/>
                <w:sz w:val="18"/>
                <w:szCs w:val="18"/>
                <w:color w:val="auto"/>
              </w:rPr>
              <w:t>Net income attributable to Honeywell</w:t>
            </w:r>
          </w:p>
        </w:tc>
        <w:tc>
          <w:tcPr>
            <w:tcW w:w="2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2018</w:t>
            </w:r>
          </w:p>
        </w:tc>
        <w:tc>
          <w:tcPr>
            <w:tcW w:w="36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w w:val="96"/>
              </w:rPr>
              <w:t>2017</w:t>
            </w:r>
          </w:p>
        </w:tc>
        <w:tc>
          <w:tcPr>
            <w:tcW w:w="3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2018</w:t>
            </w:r>
          </w:p>
        </w:tc>
        <w:tc>
          <w:tcPr>
            <w:tcW w:w="32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196"/>
        </w:trPr>
        <w:tc>
          <w:tcPr>
            <w:tcW w:w="474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Pr>
          <w:p>
            <w:pPr>
              <w:jc w:val="right"/>
              <w:ind w:right="41"/>
              <w:spacing w:after="0" w:line="196" w:lineRule="exact"/>
              <w:rPr>
                <w:sz w:val="20"/>
                <w:szCs w:val="20"/>
                <w:color w:val="auto"/>
              </w:rPr>
            </w:pPr>
            <w:r>
              <w:rPr>
                <w:rFonts w:ascii="Arial" w:cs="Arial" w:eastAsia="Arial" w:hAnsi="Arial"/>
                <w:sz w:val="18"/>
                <w:szCs w:val="18"/>
                <w:color w:val="auto"/>
              </w:rPr>
              <w:t>1,267</w:t>
            </w:r>
          </w:p>
        </w:tc>
        <w:tc>
          <w:tcPr>
            <w:tcW w:w="360" w:type="dxa"/>
            <w:vAlign w:val="bottom"/>
          </w:tcPr>
          <w:p>
            <w:pPr>
              <w:spacing w:after="0"/>
              <w:rPr>
                <w:sz w:val="17"/>
                <w:szCs w:val="17"/>
                <w:color w:val="auto"/>
              </w:rPr>
            </w:pPr>
          </w:p>
        </w:tc>
        <w:tc>
          <w:tcPr>
            <w:tcW w:w="520" w:type="dxa"/>
            <w:vAlign w:val="bottom"/>
          </w:tcPr>
          <w:p>
            <w:pPr>
              <w:jc w:val="right"/>
              <w:ind w:right="33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Pr>
          <w:p>
            <w:pPr>
              <w:jc w:val="right"/>
              <w:ind w:right="16"/>
              <w:spacing w:after="0" w:line="196" w:lineRule="exact"/>
              <w:rPr>
                <w:sz w:val="20"/>
                <w:szCs w:val="20"/>
                <w:color w:val="auto"/>
              </w:rPr>
            </w:pPr>
            <w:r>
              <w:rPr>
                <w:rFonts w:ascii="Arial" w:cs="Arial" w:eastAsia="Arial" w:hAnsi="Arial"/>
                <w:sz w:val="18"/>
                <w:szCs w:val="18"/>
                <w:color w:val="auto"/>
              </w:rPr>
              <w:t>1,392</w:t>
            </w:r>
          </w:p>
        </w:tc>
        <w:tc>
          <w:tcPr>
            <w:tcW w:w="340" w:type="dxa"/>
            <w:vAlign w:val="bottom"/>
          </w:tcPr>
          <w:p>
            <w:pPr>
              <w:spacing w:after="0"/>
              <w:rPr>
                <w:sz w:val="17"/>
                <w:szCs w:val="17"/>
                <w:color w:val="auto"/>
              </w:rPr>
            </w:pPr>
          </w:p>
        </w:tc>
        <w:tc>
          <w:tcPr>
            <w:tcW w:w="300" w:type="dxa"/>
            <w:vAlign w:val="bottom"/>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Pr>
          <w:p>
            <w:pPr>
              <w:jc w:val="right"/>
              <w:ind w:right="41"/>
              <w:spacing w:after="0" w:line="196" w:lineRule="exact"/>
              <w:rPr>
                <w:sz w:val="20"/>
                <w:szCs w:val="20"/>
                <w:color w:val="auto"/>
              </w:rPr>
            </w:pPr>
            <w:r>
              <w:rPr>
                <w:rFonts w:ascii="Arial" w:cs="Arial" w:eastAsia="Arial" w:hAnsi="Arial"/>
                <w:sz w:val="18"/>
                <w:szCs w:val="18"/>
                <w:color w:val="auto"/>
              </w:rPr>
              <w:t>2,705</w:t>
            </w:r>
          </w:p>
        </w:tc>
        <w:tc>
          <w:tcPr>
            <w:tcW w:w="320" w:type="dxa"/>
            <w:vAlign w:val="bottom"/>
          </w:tcPr>
          <w:p>
            <w:pPr>
              <w:spacing w:after="0"/>
              <w:rPr>
                <w:sz w:val="17"/>
                <w:szCs w:val="17"/>
                <w:color w:val="auto"/>
              </w:rPr>
            </w:pPr>
          </w:p>
        </w:tc>
        <w:tc>
          <w:tcPr>
            <w:tcW w:w="500" w:type="dxa"/>
            <w:vAlign w:val="bottom"/>
          </w:tcPr>
          <w:p>
            <w:pPr>
              <w:jc w:val="right"/>
              <w:ind w:right="310"/>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Pr>
          <w:p>
            <w:pPr>
              <w:jc w:val="right"/>
              <w:ind w:right="16"/>
              <w:spacing w:after="0" w:line="196" w:lineRule="exact"/>
              <w:rPr>
                <w:sz w:val="20"/>
                <w:szCs w:val="20"/>
                <w:color w:val="auto"/>
              </w:rPr>
            </w:pPr>
            <w:r>
              <w:rPr>
                <w:rFonts w:ascii="Arial" w:cs="Arial" w:eastAsia="Arial" w:hAnsi="Arial"/>
                <w:sz w:val="18"/>
                <w:szCs w:val="18"/>
                <w:color w:val="auto"/>
              </w:rPr>
              <w:t>2,718</w:t>
            </w:r>
          </w:p>
        </w:tc>
        <w:tc>
          <w:tcPr>
            <w:tcW w:w="0" w:type="dxa"/>
            <w:vAlign w:val="bottom"/>
          </w:tcPr>
          <w:p>
            <w:pPr>
              <w:spacing w:after="0"/>
              <w:rPr>
                <w:sz w:val="1"/>
                <w:szCs w:val="1"/>
                <w:color w:val="auto"/>
              </w:rPr>
            </w:pPr>
          </w:p>
        </w:tc>
      </w:tr>
      <w:tr>
        <w:trPr>
          <w:trHeight w:val="203"/>
        </w:trPr>
        <w:tc>
          <w:tcPr>
            <w:tcW w:w="474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Earnings per share of common stock – assuming dilution</w:t>
            </w:r>
          </w:p>
        </w:tc>
        <w:tc>
          <w:tcPr>
            <w:tcW w:w="520" w:type="dxa"/>
            <w:vAlign w:val="bottom"/>
            <w:gridSpan w:val="2"/>
            <w:shd w:val="clear" w:color="auto" w:fill="E5FFFF"/>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1060" w:type="dxa"/>
            <w:vAlign w:val="bottom"/>
            <w:shd w:val="clear" w:color="auto" w:fill="E5FFFF"/>
          </w:tcPr>
          <w:p>
            <w:pPr>
              <w:jc w:val="right"/>
              <w:ind w:right="41"/>
              <w:spacing w:after="0" w:line="202" w:lineRule="exact"/>
              <w:rPr>
                <w:sz w:val="20"/>
                <w:szCs w:val="20"/>
                <w:color w:val="auto"/>
              </w:rPr>
            </w:pPr>
            <w:r>
              <w:rPr>
                <w:rFonts w:ascii="Arial" w:cs="Arial" w:eastAsia="Arial" w:hAnsi="Arial"/>
                <w:sz w:val="18"/>
                <w:szCs w:val="18"/>
                <w:color w:val="auto"/>
              </w:rPr>
              <w:t>1.68</w:t>
            </w:r>
          </w:p>
        </w:tc>
        <w:tc>
          <w:tcPr>
            <w:tcW w:w="880" w:type="dxa"/>
            <w:vAlign w:val="bottom"/>
            <w:gridSpan w:val="2"/>
            <w:shd w:val="clear" w:color="auto" w:fill="E5FFFF"/>
          </w:tcPr>
          <w:p>
            <w:pPr>
              <w:jc w:val="right"/>
              <w:ind w:right="330"/>
              <w:spacing w:after="0" w:line="202" w:lineRule="exact"/>
              <w:rPr>
                <w:sz w:val="20"/>
                <w:szCs w:val="20"/>
                <w:color w:val="auto"/>
              </w:rPr>
            </w:pPr>
            <w:r>
              <w:rPr>
                <w:rFonts w:ascii="Arial" w:cs="Arial" w:eastAsia="Arial" w:hAnsi="Arial"/>
                <w:sz w:val="18"/>
                <w:szCs w:val="18"/>
                <w:color w:val="auto"/>
              </w:rPr>
              <w:t>$</w:t>
            </w:r>
          </w:p>
        </w:tc>
        <w:tc>
          <w:tcPr>
            <w:tcW w:w="840" w:type="dxa"/>
            <w:vAlign w:val="bottom"/>
            <w:shd w:val="clear" w:color="auto" w:fill="E5FFFF"/>
          </w:tcPr>
          <w:p>
            <w:pPr>
              <w:jc w:val="right"/>
              <w:ind w:right="16"/>
              <w:spacing w:after="0" w:line="202" w:lineRule="exact"/>
              <w:rPr>
                <w:sz w:val="20"/>
                <w:szCs w:val="20"/>
                <w:color w:val="auto"/>
              </w:rPr>
            </w:pPr>
            <w:r>
              <w:rPr>
                <w:rFonts w:ascii="Arial" w:cs="Arial" w:eastAsia="Arial" w:hAnsi="Arial"/>
                <w:sz w:val="18"/>
                <w:szCs w:val="18"/>
                <w:color w:val="auto"/>
              </w:rPr>
              <w:t>1.80</w:t>
            </w:r>
          </w:p>
        </w:tc>
        <w:tc>
          <w:tcPr>
            <w:tcW w:w="640" w:type="dxa"/>
            <w:vAlign w:val="bottom"/>
            <w:gridSpan w:val="2"/>
            <w:shd w:val="clear" w:color="auto" w:fill="E5FFFF"/>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060" w:type="dxa"/>
            <w:vAlign w:val="bottom"/>
            <w:shd w:val="clear" w:color="auto" w:fill="E5FFFF"/>
          </w:tcPr>
          <w:p>
            <w:pPr>
              <w:jc w:val="right"/>
              <w:ind w:right="41"/>
              <w:spacing w:after="0" w:line="202" w:lineRule="exact"/>
              <w:rPr>
                <w:sz w:val="20"/>
                <w:szCs w:val="20"/>
                <w:color w:val="auto"/>
              </w:rPr>
            </w:pPr>
            <w:r>
              <w:rPr>
                <w:rFonts w:ascii="Arial" w:cs="Arial" w:eastAsia="Arial" w:hAnsi="Arial"/>
                <w:sz w:val="18"/>
                <w:szCs w:val="18"/>
                <w:color w:val="auto"/>
              </w:rPr>
              <w:t>3.57</w:t>
            </w:r>
          </w:p>
        </w:tc>
        <w:tc>
          <w:tcPr>
            <w:tcW w:w="820" w:type="dxa"/>
            <w:vAlign w:val="bottom"/>
            <w:gridSpan w:val="2"/>
            <w:shd w:val="clear" w:color="auto" w:fill="E5FFFF"/>
          </w:tcPr>
          <w:p>
            <w:pPr>
              <w:jc w:val="right"/>
              <w:ind w:right="310"/>
              <w:spacing w:after="0" w:line="202" w:lineRule="exact"/>
              <w:rPr>
                <w:sz w:val="20"/>
                <w:szCs w:val="20"/>
                <w:color w:val="auto"/>
              </w:rPr>
            </w:pPr>
            <w:r>
              <w:rPr>
                <w:rFonts w:ascii="Arial" w:cs="Arial" w:eastAsia="Arial" w:hAnsi="Arial"/>
                <w:sz w:val="18"/>
                <w:szCs w:val="18"/>
                <w:color w:val="auto"/>
              </w:rPr>
              <w:t>$</w:t>
            </w:r>
          </w:p>
        </w:tc>
        <w:tc>
          <w:tcPr>
            <w:tcW w:w="860" w:type="dxa"/>
            <w:vAlign w:val="bottom"/>
            <w:shd w:val="clear" w:color="auto" w:fill="E5FFFF"/>
          </w:tcPr>
          <w:p>
            <w:pPr>
              <w:jc w:val="right"/>
              <w:ind w:right="16"/>
              <w:spacing w:after="0" w:line="202" w:lineRule="exact"/>
              <w:rPr>
                <w:sz w:val="20"/>
                <w:szCs w:val="20"/>
                <w:color w:val="auto"/>
              </w:rPr>
            </w:pPr>
            <w:r>
              <w:rPr>
                <w:rFonts w:ascii="Arial" w:cs="Arial" w:eastAsia="Arial" w:hAnsi="Arial"/>
                <w:sz w:val="18"/>
                <w:szCs w:val="18"/>
                <w:color w:val="auto"/>
              </w:rPr>
              <w:t>3.51</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Earnings per share of common stock – assuming dilution decreased in the quarter primarily driven by tax costs and other separation costs associated with the previously announced spin-offs of our Homes and Global Distribution business and Transportation Systems business as well as higher repositioning and other charges, partially offset by increased segment profit in each of our business segments, higher pension income and the favorable impact of lower share count.</w:t>
      </w:r>
    </w:p>
    <w:p>
      <w:pPr>
        <w:spacing w:after="0" w:line="188"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Earnings per share of common stock – assuming dilution increased in the six months primarily driven by increased segment profit in each of our business segments, higher pension income and the favorable impact of lower share count, partially offset by tax costs and other separation costs associated with the previously announced spin-offs of our Homes and Global Distribution business and Transportation Systems business and higher repositioning and other charges.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22"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Review of Business Segments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134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540" w:type="dxa"/>
            <w:vAlign w:val="bottom"/>
            <w:gridSpan w:val="6"/>
          </w:tcPr>
          <w:p>
            <w:pPr>
              <w:jc w:val="center"/>
              <w:ind w:right="40"/>
              <w:spacing w:after="0"/>
              <w:rPr>
                <w:sz w:val="20"/>
                <w:szCs w:val="20"/>
                <w:color w:val="auto"/>
              </w:rPr>
            </w:pPr>
            <w:r>
              <w:rPr>
                <w:rFonts w:ascii="Arial" w:cs="Arial" w:eastAsia="Arial" w:hAnsi="Arial"/>
                <w:sz w:val="14"/>
                <w:szCs w:val="14"/>
                <w:b w:val="1"/>
                <w:bCs w:val="1"/>
                <w:color w:val="auto"/>
              </w:rPr>
              <w:t>Three Months Ended</w:t>
            </w: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320" w:type="dxa"/>
            <w:vAlign w:val="bottom"/>
            <w:gridSpan w:val="4"/>
          </w:tcPr>
          <w:p>
            <w:pPr>
              <w:jc w:val="center"/>
              <w:spacing w:after="0"/>
              <w:rPr>
                <w:sz w:val="20"/>
                <w:szCs w:val="20"/>
                <w:color w:val="auto"/>
              </w:rPr>
            </w:pPr>
            <w:r>
              <w:rPr>
                <w:rFonts w:ascii="Arial" w:cs="Arial" w:eastAsia="Arial" w:hAnsi="Arial"/>
                <w:sz w:val="14"/>
                <w:szCs w:val="14"/>
                <w:b w:val="1"/>
                <w:bCs w:val="1"/>
                <w:color w:val="auto"/>
              </w:rPr>
              <w:t>Six Months Ended</w:t>
            </w: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34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3"/>
          </w:tcPr>
          <w:p>
            <w:pPr>
              <w:jc w:val="center"/>
              <w:ind w:right="460"/>
              <w:spacing w:after="0"/>
              <w:rPr>
                <w:sz w:val="20"/>
                <w:szCs w:val="20"/>
                <w:color w:val="auto"/>
              </w:rPr>
            </w:pPr>
            <w:r>
              <w:rPr>
                <w:rFonts w:ascii="Arial" w:cs="Arial" w:eastAsia="Arial" w:hAnsi="Arial"/>
                <w:sz w:val="14"/>
                <w:szCs w:val="14"/>
                <w:b w:val="1"/>
                <w:bCs w:val="1"/>
                <w:color w:val="auto"/>
              </w:rPr>
              <w:t>June 30,</w:t>
            </w:r>
          </w:p>
        </w:tc>
        <w:tc>
          <w:tcPr>
            <w:tcW w:w="82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9"/>
              </w:rPr>
              <w:t>June 30,</w:t>
            </w:r>
          </w:p>
        </w:tc>
        <w:tc>
          <w:tcPr>
            <w:tcW w:w="9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134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jc w:val="center"/>
              <w:ind w:right="34"/>
              <w:spacing w:after="0" w:line="156"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jc w:val="center"/>
              <w:spacing w:after="0" w:line="156"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75"/>
        </w:trPr>
        <w:tc>
          <w:tcPr>
            <w:tcW w:w="134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jc w:val="right"/>
              <w:ind w:right="152"/>
              <w:spacing w:after="0"/>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center"/>
              <w:ind w:right="53"/>
              <w:spacing w:after="0"/>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Change</w:t>
            </w:r>
          </w:p>
        </w:tc>
        <w:tc>
          <w:tcPr>
            <w:tcW w:w="160" w:type="dxa"/>
            <w:vAlign w:val="bottom"/>
          </w:tcPr>
          <w:p>
            <w:pPr>
              <w:spacing w:after="0"/>
              <w:rPr>
                <w:sz w:val="15"/>
                <w:szCs w:val="15"/>
                <w:color w:val="auto"/>
              </w:rPr>
            </w:pPr>
          </w:p>
        </w:tc>
        <w:tc>
          <w:tcPr>
            <w:tcW w:w="740" w:type="dxa"/>
            <w:vAlign w:val="bottom"/>
          </w:tcPr>
          <w:p>
            <w:pPr>
              <w:jc w:val="right"/>
              <w:ind w:right="212"/>
              <w:spacing w:after="0"/>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ind w:right="193"/>
              <w:spacing w:after="0"/>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5"/>
                <w:szCs w:val="15"/>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76"/>
        </w:trPr>
        <w:tc>
          <w:tcPr>
            <w:tcW w:w="1340" w:type="dxa"/>
            <w:vAlign w:val="bottom"/>
            <w:tcBorders>
              <w:top w:val="single" w:sz="8" w:color="E5FFFF"/>
              <w:bottom w:val="single" w:sz="8" w:color="auto"/>
            </w:tcBorders>
            <w:shd w:val="clear" w:color="auto" w:fill="E5FFFF"/>
          </w:tcPr>
          <w:p>
            <w:pPr>
              <w:spacing w:after="0" w:line="170" w:lineRule="exact"/>
              <w:rPr>
                <w:sz w:val="20"/>
                <w:szCs w:val="20"/>
                <w:color w:val="auto"/>
              </w:rPr>
            </w:pPr>
            <w:r>
              <w:rPr>
                <w:rFonts w:ascii="Arial" w:cs="Arial" w:eastAsia="Arial" w:hAnsi="Arial"/>
                <w:sz w:val="18"/>
                <w:szCs w:val="18"/>
                <w:color w:val="auto"/>
                <w:w w:val="99"/>
              </w:rPr>
              <w:t>Aerospace sales</w:t>
            </w:r>
          </w:p>
        </w:tc>
        <w:tc>
          <w:tcPr>
            <w:tcW w:w="3480" w:type="dxa"/>
            <w:vAlign w:val="bottom"/>
            <w:tcBorders>
              <w:top w:val="single" w:sz="8" w:color="E5FFFF"/>
              <w:bottom w:val="single" w:sz="8" w:color="E5FFFF"/>
            </w:tcBorders>
            <w:gridSpan w:val="3"/>
            <w:shd w:val="clear" w:color="auto" w:fill="E5FFFF"/>
          </w:tcPr>
          <w:p>
            <w:pPr>
              <w:spacing w:after="0"/>
              <w:rPr>
                <w:sz w:val="15"/>
                <w:szCs w:val="15"/>
                <w:color w:val="auto"/>
              </w:rPr>
            </w:pPr>
          </w:p>
        </w:tc>
        <w:tc>
          <w:tcPr>
            <w:tcW w:w="180" w:type="dxa"/>
            <w:vAlign w:val="bottom"/>
            <w:tcBorders>
              <w:top w:val="single" w:sz="8" w:color="auto"/>
              <w:bottom w:val="single" w:sz="8" w:color="E5FFFF"/>
            </w:tcBorders>
            <w:shd w:val="clear" w:color="auto" w:fill="E5FFFF"/>
          </w:tcPr>
          <w:p>
            <w:pPr>
              <w:spacing w:after="0"/>
              <w:rPr>
                <w:sz w:val="15"/>
                <w:szCs w:val="15"/>
                <w:color w:val="auto"/>
              </w:rPr>
            </w:pPr>
          </w:p>
        </w:tc>
        <w:tc>
          <w:tcPr>
            <w:tcW w:w="680" w:type="dxa"/>
            <w:vAlign w:val="bottom"/>
            <w:tcBorders>
              <w:top w:val="single" w:sz="8" w:color="auto"/>
              <w:bottom w:val="single" w:sz="8" w:color="E5FFFF"/>
            </w:tcBorders>
            <w:shd w:val="clear" w:color="auto" w:fill="E5FFFF"/>
          </w:tcPr>
          <w:p>
            <w:pPr>
              <w:spacing w:after="0"/>
              <w:rPr>
                <w:sz w:val="15"/>
                <w:szCs w:val="15"/>
                <w:color w:val="auto"/>
              </w:rPr>
            </w:pPr>
          </w:p>
        </w:tc>
        <w:tc>
          <w:tcPr>
            <w:tcW w:w="60" w:type="dxa"/>
            <w:vAlign w:val="bottom"/>
            <w:tcBorders>
              <w:top w:val="single" w:sz="8" w:color="auto"/>
              <w:bottom w:val="single" w:sz="8" w:color="E5FFFF"/>
            </w:tcBorders>
            <w:shd w:val="clear" w:color="auto" w:fill="E5FFFF"/>
          </w:tcPr>
          <w:p>
            <w:pPr>
              <w:spacing w:after="0"/>
              <w:rPr>
                <w:sz w:val="15"/>
                <w:szCs w:val="15"/>
                <w:color w:val="auto"/>
              </w:rPr>
            </w:pPr>
          </w:p>
        </w:tc>
        <w:tc>
          <w:tcPr>
            <w:tcW w:w="240" w:type="dxa"/>
            <w:vAlign w:val="bottom"/>
            <w:tcBorders>
              <w:top w:val="single" w:sz="8" w:color="E5FFFF"/>
              <w:bottom w:val="single" w:sz="8" w:color="E5FFFF"/>
            </w:tcBorders>
            <w:shd w:val="clear" w:color="auto" w:fill="E5FFFF"/>
          </w:tcPr>
          <w:p>
            <w:pPr>
              <w:spacing w:after="0"/>
              <w:rPr>
                <w:sz w:val="15"/>
                <w:szCs w:val="15"/>
                <w:color w:val="auto"/>
              </w:rPr>
            </w:pPr>
          </w:p>
        </w:tc>
        <w:tc>
          <w:tcPr>
            <w:tcW w:w="120" w:type="dxa"/>
            <w:vAlign w:val="bottom"/>
            <w:tcBorders>
              <w:top w:val="single" w:sz="8" w:color="auto"/>
              <w:bottom w:val="single" w:sz="8" w:color="E5FFFF"/>
            </w:tcBorders>
            <w:shd w:val="clear" w:color="auto" w:fill="E5FFFF"/>
          </w:tcPr>
          <w:p>
            <w:pPr>
              <w:spacing w:after="0"/>
              <w:rPr>
                <w:sz w:val="15"/>
                <w:szCs w:val="15"/>
                <w:color w:val="auto"/>
              </w:rPr>
            </w:pPr>
          </w:p>
        </w:tc>
        <w:tc>
          <w:tcPr>
            <w:tcW w:w="780" w:type="dxa"/>
            <w:vAlign w:val="bottom"/>
            <w:tcBorders>
              <w:top w:val="single" w:sz="8" w:color="auto"/>
              <w:bottom w:val="single" w:sz="8" w:color="E5FFFF"/>
            </w:tcBorders>
            <w:shd w:val="clear" w:color="auto" w:fill="E5FFFF"/>
          </w:tcPr>
          <w:p>
            <w:pPr>
              <w:spacing w:after="0"/>
              <w:rPr>
                <w:sz w:val="15"/>
                <w:szCs w:val="15"/>
                <w:color w:val="auto"/>
              </w:rPr>
            </w:pPr>
          </w:p>
        </w:tc>
        <w:tc>
          <w:tcPr>
            <w:tcW w:w="220" w:type="dxa"/>
            <w:vAlign w:val="bottom"/>
            <w:tcBorders>
              <w:top w:val="single" w:sz="8" w:color="E5FFFF"/>
              <w:bottom w:val="single" w:sz="8" w:color="E5FFFF"/>
            </w:tcBorders>
            <w:shd w:val="clear" w:color="auto" w:fill="E5FFFF"/>
          </w:tcPr>
          <w:p>
            <w:pPr>
              <w:spacing w:after="0"/>
              <w:rPr>
                <w:sz w:val="15"/>
                <w:szCs w:val="15"/>
                <w:color w:val="auto"/>
              </w:rPr>
            </w:pPr>
          </w:p>
        </w:tc>
        <w:tc>
          <w:tcPr>
            <w:tcW w:w="120" w:type="dxa"/>
            <w:vAlign w:val="bottom"/>
            <w:tcBorders>
              <w:top w:val="single" w:sz="8" w:color="auto"/>
              <w:bottom w:val="single" w:sz="8" w:color="E5FFFF"/>
            </w:tcBorders>
            <w:shd w:val="clear" w:color="auto" w:fill="E5FFFF"/>
          </w:tcPr>
          <w:p>
            <w:pPr>
              <w:spacing w:after="0"/>
              <w:rPr>
                <w:sz w:val="15"/>
                <w:szCs w:val="15"/>
                <w:color w:val="auto"/>
              </w:rPr>
            </w:pPr>
          </w:p>
        </w:tc>
        <w:tc>
          <w:tcPr>
            <w:tcW w:w="820" w:type="dxa"/>
            <w:vAlign w:val="bottom"/>
            <w:tcBorders>
              <w:top w:val="single" w:sz="8" w:color="auto"/>
              <w:bottom w:val="single" w:sz="8" w:color="E5FFFF"/>
            </w:tcBorders>
            <w:shd w:val="clear" w:color="auto" w:fill="E5FFFF"/>
          </w:tcPr>
          <w:p>
            <w:pPr>
              <w:spacing w:after="0"/>
              <w:rPr>
                <w:sz w:val="15"/>
                <w:szCs w:val="15"/>
                <w:color w:val="auto"/>
              </w:rPr>
            </w:pPr>
          </w:p>
        </w:tc>
        <w:tc>
          <w:tcPr>
            <w:tcW w:w="220" w:type="dxa"/>
            <w:vAlign w:val="bottom"/>
            <w:tcBorders>
              <w:top w:val="single" w:sz="8" w:color="E5FFFF"/>
              <w:bottom w:val="single" w:sz="8" w:color="E5FFFF"/>
            </w:tcBorders>
            <w:shd w:val="clear" w:color="auto" w:fill="E5FFFF"/>
          </w:tcPr>
          <w:p>
            <w:pPr>
              <w:spacing w:after="0"/>
              <w:rPr>
                <w:sz w:val="15"/>
                <w:szCs w:val="15"/>
                <w:color w:val="auto"/>
              </w:rPr>
            </w:pPr>
          </w:p>
        </w:tc>
        <w:tc>
          <w:tcPr>
            <w:tcW w:w="160" w:type="dxa"/>
            <w:vAlign w:val="bottom"/>
            <w:tcBorders>
              <w:top w:val="single" w:sz="8" w:color="auto"/>
              <w:bottom w:val="single" w:sz="8" w:color="E5FFFF"/>
            </w:tcBorders>
            <w:shd w:val="clear" w:color="auto" w:fill="E5FFFF"/>
          </w:tcPr>
          <w:p>
            <w:pPr>
              <w:spacing w:after="0"/>
              <w:rPr>
                <w:sz w:val="15"/>
                <w:szCs w:val="15"/>
                <w:color w:val="auto"/>
              </w:rPr>
            </w:pPr>
          </w:p>
        </w:tc>
        <w:tc>
          <w:tcPr>
            <w:tcW w:w="740" w:type="dxa"/>
            <w:vAlign w:val="bottom"/>
            <w:tcBorders>
              <w:top w:val="single" w:sz="8" w:color="auto"/>
              <w:bottom w:val="single" w:sz="8" w:color="E5FFFF"/>
            </w:tcBorders>
            <w:shd w:val="clear" w:color="auto" w:fill="E5FFFF"/>
          </w:tcPr>
          <w:p>
            <w:pPr>
              <w:spacing w:after="0"/>
              <w:rPr>
                <w:sz w:val="15"/>
                <w:szCs w:val="15"/>
                <w:color w:val="auto"/>
              </w:rPr>
            </w:pPr>
          </w:p>
        </w:tc>
        <w:tc>
          <w:tcPr>
            <w:tcW w:w="200" w:type="dxa"/>
            <w:vAlign w:val="bottom"/>
            <w:tcBorders>
              <w:top w:val="single" w:sz="8" w:color="E5FFFF"/>
              <w:bottom w:val="single" w:sz="8" w:color="E5FFFF"/>
            </w:tcBorders>
            <w:shd w:val="clear" w:color="auto" w:fill="E5FFFF"/>
          </w:tcPr>
          <w:p>
            <w:pPr>
              <w:spacing w:after="0"/>
              <w:rPr>
                <w:sz w:val="15"/>
                <w:szCs w:val="15"/>
                <w:color w:val="auto"/>
              </w:rPr>
            </w:pPr>
          </w:p>
        </w:tc>
        <w:tc>
          <w:tcPr>
            <w:tcW w:w="140" w:type="dxa"/>
            <w:vAlign w:val="bottom"/>
            <w:tcBorders>
              <w:top w:val="single" w:sz="8" w:color="auto"/>
              <w:bottom w:val="single" w:sz="8" w:color="E5FFFF"/>
            </w:tcBorders>
            <w:shd w:val="clear" w:color="auto" w:fill="E5FFFF"/>
          </w:tcPr>
          <w:p>
            <w:pPr>
              <w:spacing w:after="0"/>
              <w:rPr>
                <w:sz w:val="15"/>
                <w:szCs w:val="15"/>
                <w:color w:val="auto"/>
              </w:rPr>
            </w:pPr>
          </w:p>
        </w:tc>
        <w:tc>
          <w:tcPr>
            <w:tcW w:w="760" w:type="dxa"/>
            <w:vAlign w:val="bottom"/>
            <w:tcBorders>
              <w:top w:val="single" w:sz="8" w:color="auto"/>
              <w:bottom w:val="single" w:sz="8" w:color="E5FFFF"/>
            </w:tcBorders>
            <w:shd w:val="clear" w:color="auto" w:fill="E5FFFF"/>
          </w:tcPr>
          <w:p>
            <w:pPr>
              <w:spacing w:after="0"/>
              <w:rPr>
                <w:sz w:val="15"/>
                <w:szCs w:val="15"/>
                <w:color w:val="auto"/>
              </w:rPr>
            </w:pPr>
          </w:p>
        </w:tc>
        <w:tc>
          <w:tcPr>
            <w:tcW w:w="220" w:type="dxa"/>
            <w:vAlign w:val="bottom"/>
            <w:tcBorders>
              <w:top w:val="single" w:sz="8" w:color="E5FFFF"/>
              <w:bottom w:val="single" w:sz="8" w:color="E5FFFF"/>
            </w:tcBorders>
            <w:shd w:val="clear" w:color="auto" w:fill="E5FFFF"/>
          </w:tcPr>
          <w:p>
            <w:pPr>
              <w:spacing w:after="0"/>
              <w:rPr>
                <w:sz w:val="15"/>
                <w:szCs w:val="15"/>
                <w:color w:val="auto"/>
              </w:rPr>
            </w:pPr>
          </w:p>
        </w:tc>
        <w:tc>
          <w:tcPr>
            <w:tcW w:w="940" w:type="dxa"/>
            <w:vAlign w:val="bottom"/>
            <w:tcBorders>
              <w:top w:val="single" w:sz="8" w:color="auto"/>
              <w:bottom w:val="single" w:sz="8" w:color="E5FFFF"/>
            </w:tcBorders>
            <w:shd w:val="clear" w:color="auto" w:fill="E5FF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820" w:type="dxa"/>
            <w:vAlign w:val="bottom"/>
            <w:gridSpan w:val="4"/>
          </w:tcPr>
          <w:p>
            <w:pPr>
              <w:ind w:left="180"/>
              <w:spacing w:after="0" w:line="202" w:lineRule="exact"/>
              <w:rPr>
                <w:sz w:val="20"/>
                <w:szCs w:val="20"/>
                <w:color w:val="auto"/>
              </w:rPr>
            </w:pPr>
            <w:r>
              <w:rPr>
                <w:rFonts w:ascii="Arial" w:cs="Arial" w:eastAsia="Arial" w:hAnsi="Arial"/>
                <w:sz w:val="18"/>
                <w:szCs w:val="18"/>
                <w:color w:val="auto"/>
              </w:rPr>
              <w:t>Commercial Aviation Original Equipment</w:t>
            </w: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712</w:t>
            </w:r>
          </w:p>
        </w:tc>
        <w:tc>
          <w:tcPr>
            <w:tcW w:w="42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w:t>
            </w:r>
          </w:p>
        </w:tc>
        <w:tc>
          <w:tcPr>
            <w:tcW w:w="7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641</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11%</w:t>
            </w:r>
          </w:p>
        </w:tc>
        <w:tc>
          <w:tcPr>
            <w:tcW w:w="220" w:type="dxa"/>
            <w:vAlign w:val="bottom"/>
          </w:tcPr>
          <w:p>
            <w:pPr>
              <w:spacing w:after="0"/>
              <w:rPr>
                <w:sz w:val="17"/>
                <w:szCs w:val="17"/>
                <w:color w:val="auto"/>
              </w:rPr>
            </w:pPr>
          </w:p>
        </w:tc>
        <w:tc>
          <w:tcPr>
            <w:tcW w:w="16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740" w:type="dxa"/>
            <w:vAlign w:val="bottom"/>
          </w:tcPr>
          <w:p>
            <w:pPr>
              <w:jc w:val="right"/>
              <w:ind w:right="32"/>
              <w:spacing w:after="0" w:line="202" w:lineRule="exact"/>
              <w:rPr>
                <w:sz w:val="20"/>
                <w:szCs w:val="20"/>
                <w:color w:val="auto"/>
              </w:rPr>
            </w:pPr>
            <w:r>
              <w:rPr>
                <w:rFonts w:ascii="Arial" w:cs="Arial" w:eastAsia="Arial" w:hAnsi="Arial"/>
                <w:sz w:val="18"/>
                <w:szCs w:val="18"/>
                <w:color w:val="auto"/>
              </w:rPr>
              <w:t>1,407</w:t>
            </w:r>
          </w:p>
        </w:tc>
        <w:tc>
          <w:tcPr>
            <w:tcW w:w="3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7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1,252</w:t>
            </w:r>
          </w:p>
        </w:tc>
        <w:tc>
          <w:tcPr>
            <w:tcW w:w="22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3"/>
        </w:trPr>
        <w:tc>
          <w:tcPr>
            <w:tcW w:w="4820" w:type="dxa"/>
            <w:vAlign w:val="bottom"/>
            <w:gridSpan w:val="4"/>
            <w:shd w:val="clear" w:color="auto" w:fill="E5FFFF"/>
          </w:tcPr>
          <w:p>
            <w:pPr>
              <w:ind w:left="180"/>
              <w:spacing w:after="0" w:line="202" w:lineRule="exact"/>
              <w:rPr>
                <w:sz w:val="20"/>
                <w:szCs w:val="20"/>
                <w:color w:val="auto"/>
              </w:rPr>
            </w:pPr>
            <w:r>
              <w:rPr>
                <w:rFonts w:ascii="Arial" w:cs="Arial" w:eastAsia="Arial" w:hAnsi="Arial"/>
                <w:sz w:val="18"/>
                <w:szCs w:val="18"/>
                <w:color w:val="auto"/>
              </w:rPr>
              <w:t>Commercial Aviation Aftermarket</w:t>
            </w:r>
          </w:p>
        </w:tc>
        <w:tc>
          <w:tcPr>
            <w:tcW w:w="180" w:type="dxa"/>
            <w:vAlign w:val="bottom"/>
            <w:shd w:val="clear" w:color="auto" w:fill="E5FFFF"/>
          </w:tcPr>
          <w:p>
            <w:pPr>
              <w:spacing w:after="0"/>
              <w:rPr>
                <w:sz w:val="17"/>
                <w:szCs w:val="17"/>
                <w:color w:val="auto"/>
              </w:rPr>
            </w:pPr>
          </w:p>
        </w:tc>
        <w:tc>
          <w:tcPr>
            <w:tcW w:w="68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1,326</w:t>
            </w:r>
          </w:p>
        </w:tc>
        <w:tc>
          <w:tcPr>
            <w:tcW w:w="6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780" w:type="dxa"/>
            <w:vAlign w:val="bottom"/>
            <w:shd w:val="clear" w:color="auto" w:fill="E5FFFF"/>
          </w:tcPr>
          <w:p>
            <w:pPr>
              <w:jc w:val="right"/>
              <w:ind w:right="13"/>
              <w:spacing w:after="0" w:line="202" w:lineRule="exact"/>
              <w:rPr>
                <w:sz w:val="20"/>
                <w:szCs w:val="20"/>
                <w:color w:val="auto"/>
              </w:rPr>
            </w:pPr>
            <w:r>
              <w:rPr>
                <w:rFonts w:ascii="Arial" w:cs="Arial" w:eastAsia="Arial" w:hAnsi="Arial"/>
                <w:sz w:val="18"/>
                <w:szCs w:val="18"/>
                <w:color w:val="auto"/>
              </w:rPr>
              <w:t>1,262</w:t>
            </w:r>
          </w:p>
        </w:tc>
        <w:tc>
          <w:tcPr>
            <w:tcW w:w="22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82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5%</w:t>
            </w:r>
          </w:p>
        </w:tc>
        <w:tc>
          <w:tcPr>
            <w:tcW w:w="22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740" w:type="dxa"/>
            <w:vAlign w:val="bottom"/>
            <w:shd w:val="clear" w:color="auto" w:fill="E5FFFF"/>
          </w:tcPr>
          <w:p>
            <w:pPr>
              <w:jc w:val="right"/>
              <w:ind w:right="32"/>
              <w:spacing w:after="0" w:line="202" w:lineRule="exact"/>
              <w:rPr>
                <w:sz w:val="20"/>
                <w:szCs w:val="20"/>
                <w:color w:val="auto"/>
              </w:rPr>
            </w:pPr>
            <w:r>
              <w:rPr>
                <w:rFonts w:ascii="Arial" w:cs="Arial" w:eastAsia="Arial" w:hAnsi="Arial"/>
                <w:sz w:val="18"/>
                <w:szCs w:val="18"/>
                <w:color w:val="auto"/>
              </w:rPr>
              <w:t>2,594</w:t>
            </w:r>
          </w:p>
        </w:tc>
        <w:tc>
          <w:tcPr>
            <w:tcW w:w="200" w:type="dxa"/>
            <w:vAlign w:val="bottom"/>
            <w:shd w:val="clear" w:color="auto" w:fill="E5FFFF"/>
          </w:tcPr>
          <w:p>
            <w:pPr>
              <w:spacing w:after="0"/>
              <w:rPr>
                <w:sz w:val="17"/>
                <w:szCs w:val="17"/>
                <w:color w:val="auto"/>
              </w:rPr>
            </w:pPr>
          </w:p>
        </w:tc>
        <w:tc>
          <w:tcPr>
            <w:tcW w:w="140" w:type="dxa"/>
            <w:vAlign w:val="bottom"/>
            <w:shd w:val="clear" w:color="auto" w:fill="E5FFFF"/>
          </w:tcPr>
          <w:p>
            <w:pPr>
              <w:spacing w:after="0"/>
              <w:rPr>
                <w:sz w:val="17"/>
                <w:szCs w:val="17"/>
                <w:color w:val="auto"/>
              </w:rPr>
            </w:pPr>
          </w:p>
        </w:tc>
        <w:tc>
          <w:tcPr>
            <w:tcW w:w="760" w:type="dxa"/>
            <w:vAlign w:val="bottom"/>
            <w:shd w:val="clear" w:color="auto" w:fill="E5FFFF"/>
          </w:tcPr>
          <w:p>
            <w:pPr>
              <w:jc w:val="right"/>
              <w:ind w:right="13"/>
              <w:spacing w:after="0" w:line="202" w:lineRule="exact"/>
              <w:rPr>
                <w:sz w:val="20"/>
                <w:szCs w:val="20"/>
                <w:color w:val="auto"/>
              </w:rPr>
            </w:pPr>
            <w:r>
              <w:rPr>
                <w:rFonts w:ascii="Arial" w:cs="Arial" w:eastAsia="Arial" w:hAnsi="Arial"/>
                <w:sz w:val="18"/>
                <w:szCs w:val="18"/>
                <w:color w:val="auto"/>
              </w:rPr>
              <w:t>2,463</w:t>
            </w:r>
          </w:p>
        </w:tc>
        <w:tc>
          <w:tcPr>
            <w:tcW w:w="220" w:type="dxa"/>
            <w:vAlign w:val="bottom"/>
            <w:shd w:val="clear" w:color="auto" w:fill="E5FFFF"/>
          </w:tcPr>
          <w:p>
            <w:pPr>
              <w:spacing w:after="0"/>
              <w:rPr>
                <w:sz w:val="17"/>
                <w:szCs w:val="17"/>
                <w:color w:val="auto"/>
              </w:rPr>
            </w:pPr>
          </w:p>
        </w:tc>
        <w:tc>
          <w:tcPr>
            <w:tcW w:w="94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3"/>
        </w:trPr>
        <w:tc>
          <w:tcPr>
            <w:tcW w:w="4820" w:type="dxa"/>
            <w:vAlign w:val="bottom"/>
            <w:gridSpan w:val="4"/>
          </w:tcPr>
          <w:p>
            <w:pPr>
              <w:ind w:left="180"/>
              <w:spacing w:after="0" w:line="202" w:lineRule="exact"/>
              <w:rPr>
                <w:sz w:val="20"/>
                <w:szCs w:val="20"/>
                <w:color w:val="auto"/>
              </w:rPr>
            </w:pPr>
            <w:r>
              <w:rPr>
                <w:rFonts w:ascii="Arial" w:cs="Arial" w:eastAsia="Arial" w:hAnsi="Arial"/>
                <w:sz w:val="18"/>
                <w:szCs w:val="18"/>
                <w:color w:val="auto"/>
              </w:rPr>
              <w:t>Defense and Space</w:t>
            </w:r>
          </w:p>
        </w:tc>
        <w:tc>
          <w:tcPr>
            <w:tcW w:w="18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1,128</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983</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15%</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ind w:right="32"/>
              <w:spacing w:after="0" w:line="202" w:lineRule="exact"/>
              <w:rPr>
                <w:sz w:val="20"/>
                <w:szCs w:val="20"/>
                <w:color w:val="auto"/>
              </w:rPr>
            </w:pPr>
            <w:r>
              <w:rPr>
                <w:rFonts w:ascii="Arial" w:cs="Arial" w:eastAsia="Arial" w:hAnsi="Arial"/>
                <w:sz w:val="18"/>
                <w:szCs w:val="18"/>
                <w:color w:val="auto"/>
              </w:rPr>
              <w:t>2,214</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1,933</w:t>
            </w:r>
          </w:p>
        </w:tc>
        <w:tc>
          <w:tcPr>
            <w:tcW w:w="22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4820" w:type="dxa"/>
            <w:vAlign w:val="bottom"/>
            <w:gridSpan w:val="4"/>
            <w:shd w:val="clear" w:color="auto" w:fill="E5FFFF"/>
          </w:tcPr>
          <w:p>
            <w:pPr>
              <w:ind w:left="180"/>
              <w:spacing w:after="0"/>
              <w:rPr>
                <w:sz w:val="20"/>
                <w:szCs w:val="20"/>
                <w:color w:val="auto"/>
              </w:rPr>
            </w:pPr>
            <w:r>
              <w:rPr>
                <w:rFonts w:ascii="Arial" w:cs="Arial" w:eastAsia="Arial" w:hAnsi="Arial"/>
                <w:sz w:val="18"/>
                <w:szCs w:val="18"/>
                <w:color w:val="auto"/>
              </w:rPr>
              <w:t>Transportation Systems</w:t>
            </w:r>
          </w:p>
        </w:tc>
        <w:tc>
          <w:tcPr>
            <w:tcW w:w="180" w:type="dxa"/>
            <w:vAlign w:val="bottom"/>
            <w:tcBorders>
              <w:bottom w:val="single" w:sz="8" w:color="auto"/>
            </w:tcBorders>
            <w:shd w:val="clear" w:color="auto" w:fill="E5FFFF"/>
          </w:tcPr>
          <w:p>
            <w:pPr>
              <w:spacing w:after="0"/>
              <w:rPr>
                <w:sz w:val="18"/>
                <w:szCs w:val="18"/>
                <w:color w:val="auto"/>
              </w:rPr>
            </w:pPr>
          </w:p>
        </w:tc>
        <w:tc>
          <w:tcPr>
            <w:tcW w:w="6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892</w:t>
            </w:r>
          </w:p>
        </w:tc>
        <w:tc>
          <w:tcPr>
            <w:tcW w:w="60" w:type="dxa"/>
            <w:vAlign w:val="bottom"/>
            <w:tcBorders>
              <w:bottom w:val="single" w:sz="8" w:color="auto"/>
            </w:tcBorders>
            <w:shd w:val="clear" w:color="auto" w:fill="E5FFFF"/>
          </w:tcPr>
          <w:p>
            <w:pPr>
              <w:spacing w:after="0"/>
              <w:rPr>
                <w:sz w:val="18"/>
                <w:szCs w:val="18"/>
                <w:color w:val="auto"/>
              </w:rPr>
            </w:pPr>
          </w:p>
        </w:tc>
        <w:tc>
          <w:tcPr>
            <w:tcW w:w="240" w:type="dxa"/>
            <w:vAlign w:val="bottom"/>
            <w:shd w:val="clear" w:color="auto" w:fill="E5FFFF"/>
          </w:tcPr>
          <w:p>
            <w:pPr>
              <w:spacing w:after="0"/>
              <w:rPr>
                <w:sz w:val="18"/>
                <w:szCs w:val="18"/>
                <w:color w:val="auto"/>
              </w:rPr>
            </w:pPr>
          </w:p>
        </w:tc>
        <w:tc>
          <w:tcPr>
            <w:tcW w:w="120" w:type="dxa"/>
            <w:vAlign w:val="bottom"/>
            <w:tcBorders>
              <w:bottom w:val="single" w:sz="8" w:color="auto"/>
            </w:tcBorders>
            <w:shd w:val="clear" w:color="auto" w:fill="E5FFFF"/>
          </w:tcPr>
          <w:p>
            <w:pPr>
              <w:spacing w:after="0"/>
              <w:rPr>
                <w:sz w:val="18"/>
                <w:szCs w:val="18"/>
                <w:color w:val="auto"/>
              </w:rPr>
            </w:pPr>
          </w:p>
        </w:tc>
        <w:tc>
          <w:tcPr>
            <w:tcW w:w="780" w:type="dxa"/>
            <w:vAlign w:val="bottom"/>
            <w:tcBorders>
              <w:bottom w:val="single" w:sz="8" w:color="auto"/>
            </w:tcBorders>
            <w:shd w:val="clear" w:color="auto" w:fill="E5FFFF"/>
          </w:tcPr>
          <w:p>
            <w:pPr>
              <w:jc w:val="right"/>
              <w:ind w:right="13"/>
              <w:spacing w:after="0"/>
              <w:rPr>
                <w:sz w:val="20"/>
                <w:szCs w:val="20"/>
                <w:color w:val="auto"/>
              </w:rPr>
            </w:pPr>
            <w:r>
              <w:rPr>
                <w:rFonts w:ascii="Arial" w:cs="Arial" w:eastAsia="Arial" w:hAnsi="Arial"/>
                <w:sz w:val="18"/>
                <w:szCs w:val="18"/>
                <w:color w:val="auto"/>
              </w:rPr>
              <w:t>788</w:t>
            </w:r>
          </w:p>
        </w:tc>
        <w:tc>
          <w:tcPr>
            <w:tcW w:w="22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820" w:type="dxa"/>
            <w:vAlign w:val="bottom"/>
            <w:shd w:val="clear" w:color="auto" w:fill="E5FFFF"/>
          </w:tcPr>
          <w:p>
            <w:pPr>
              <w:jc w:val="right"/>
              <w:spacing w:after="0"/>
              <w:rPr>
                <w:sz w:val="20"/>
                <w:szCs w:val="20"/>
                <w:color w:val="auto"/>
              </w:rPr>
            </w:pPr>
            <w:r>
              <w:rPr>
                <w:rFonts w:ascii="Arial" w:cs="Arial" w:eastAsia="Arial" w:hAnsi="Arial"/>
                <w:sz w:val="18"/>
                <w:szCs w:val="18"/>
                <w:color w:val="auto"/>
              </w:rPr>
              <w:t>13%</w:t>
            </w:r>
          </w:p>
        </w:tc>
        <w:tc>
          <w:tcPr>
            <w:tcW w:w="220" w:type="dxa"/>
            <w:vAlign w:val="bottom"/>
            <w:shd w:val="clear" w:color="auto" w:fill="E5FFFF"/>
          </w:tcPr>
          <w:p>
            <w:pPr>
              <w:spacing w:after="0"/>
              <w:rPr>
                <w:sz w:val="18"/>
                <w:szCs w:val="18"/>
                <w:color w:val="auto"/>
              </w:rPr>
            </w:pPr>
          </w:p>
        </w:tc>
        <w:tc>
          <w:tcPr>
            <w:tcW w:w="160" w:type="dxa"/>
            <w:vAlign w:val="bottom"/>
            <w:tcBorders>
              <w:bottom w:val="single" w:sz="8" w:color="auto"/>
            </w:tcBorders>
            <w:shd w:val="clear" w:color="auto" w:fill="E5FFFF"/>
          </w:tcPr>
          <w:p>
            <w:pPr>
              <w:spacing w:after="0"/>
              <w:rPr>
                <w:sz w:val="18"/>
                <w:szCs w:val="18"/>
                <w:color w:val="auto"/>
              </w:rPr>
            </w:pPr>
          </w:p>
        </w:tc>
        <w:tc>
          <w:tcPr>
            <w:tcW w:w="740" w:type="dxa"/>
            <w:vAlign w:val="bottom"/>
            <w:tcBorders>
              <w:bottom w:val="single" w:sz="8" w:color="auto"/>
            </w:tcBorders>
            <w:shd w:val="clear" w:color="auto" w:fill="E5FFFF"/>
          </w:tcPr>
          <w:p>
            <w:pPr>
              <w:jc w:val="right"/>
              <w:ind w:right="32"/>
              <w:spacing w:after="0"/>
              <w:rPr>
                <w:sz w:val="20"/>
                <w:szCs w:val="20"/>
                <w:color w:val="auto"/>
              </w:rPr>
            </w:pPr>
            <w:r>
              <w:rPr>
                <w:rFonts w:ascii="Arial" w:cs="Arial" w:eastAsia="Arial" w:hAnsi="Arial"/>
                <w:sz w:val="18"/>
                <w:szCs w:val="18"/>
                <w:color w:val="auto"/>
              </w:rPr>
              <w:t>1,820</w:t>
            </w:r>
          </w:p>
        </w:tc>
        <w:tc>
          <w:tcPr>
            <w:tcW w:w="200" w:type="dxa"/>
            <w:vAlign w:val="bottom"/>
            <w:shd w:val="clear" w:color="auto" w:fill="E5FFFF"/>
          </w:tcPr>
          <w:p>
            <w:pPr>
              <w:spacing w:after="0"/>
              <w:rPr>
                <w:sz w:val="18"/>
                <w:szCs w:val="18"/>
                <w:color w:val="auto"/>
              </w:rPr>
            </w:pPr>
          </w:p>
        </w:tc>
        <w:tc>
          <w:tcPr>
            <w:tcW w:w="140" w:type="dxa"/>
            <w:vAlign w:val="bottom"/>
            <w:tcBorders>
              <w:bottom w:val="single" w:sz="8" w:color="auto"/>
            </w:tcBorders>
            <w:shd w:val="clear" w:color="auto" w:fill="E5FFFF"/>
          </w:tcPr>
          <w:p>
            <w:pPr>
              <w:spacing w:after="0"/>
              <w:rPr>
                <w:sz w:val="18"/>
                <w:szCs w:val="18"/>
                <w:color w:val="auto"/>
              </w:rPr>
            </w:pPr>
          </w:p>
        </w:tc>
        <w:tc>
          <w:tcPr>
            <w:tcW w:w="760" w:type="dxa"/>
            <w:vAlign w:val="bottom"/>
            <w:tcBorders>
              <w:bottom w:val="single" w:sz="8" w:color="auto"/>
            </w:tcBorders>
            <w:shd w:val="clear" w:color="auto" w:fill="E5FFFF"/>
          </w:tcPr>
          <w:p>
            <w:pPr>
              <w:jc w:val="right"/>
              <w:ind w:right="13"/>
              <w:spacing w:after="0"/>
              <w:rPr>
                <w:sz w:val="20"/>
                <w:szCs w:val="20"/>
                <w:color w:val="auto"/>
              </w:rPr>
            </w:pPr>
            <w:r>
              <w:rPr>
                <w:rFonts w:ascii="Arial" w:cs="Arial" w:eastAsia="Arial" w:hAnsi="Arial"/>
                <w:sz w:val="18"/>
                <w:szCs w:val="18"/>
                <w:color w:val="auto"/>
              </w:rPr>
              <w:t>1,572</w:t>
            </w:r>
          </w:p>
        </w:tc>
        <w:tc>
          <w:tcPr>
            <w:tcW w:w="220" w:type="dxa"/>
            <w:vAlign w:val="bottom"/>
            <w:shd w:val="clear" w:color="auto" w:fill="E5FFFF"/>
          </w:tcPr>
          <w:p>
            <w:pPr>
              <w:spacing w:after="0"/>
              <w:rPr>
                <w:sz w:val="18"/>
                <w:szCs w:val="18"/>
                <w:color w:val="auto"/>
              </w:rPr>
            </w:pPr>
          </w:p>
        </w:tc>
        <w:tc>
          <w:tcPr>
            <w:tcW w:w="940" w:type="dxa"/>
            <w:vAlign w:val="bottom"/>
            <w:shd w:val="clear" w:color="auto" w:fill="E5FF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196"/>
        </w:trPr>
        <w:tc>
          <w:tcPr>
            <w:tcW w:w="4820" w:type="dxa"/>
            <w:vAlign w:val="bottom"/>
            <w:gridSpan w:val="4"/>
          </w:tcPr>
          <w:p>
            <w:pPr>
              <w:ind w:left="360"/>
              <w:spacing w:after="0" w:line="196" w:lineRule="exact"/>
              <w:rPr>
                <w:sz w:val="20"/>
                <w:szCs w:val="20"/>
                <w:color w:val="auto"/>
              </w:rPr>
            </w:pPr>
            <w:r>
              <w:rPr>
                <w:rFonts w:ascii="Arial" w:cs="Arial" w:eastAsia="Arial" w:hAnsi="Arial"/>
                <w:sz w:val="18"/>
                <w:szCs w:val="18"/>
                <w:color w:val="auto"/>
              </w:rPr>
              <w:t>Total Aerospace sales</w:t>
            </w:r>
          </w:p>
        </w:tc>
        <w:tc>
          <w:tcPr>
            <w:tcW w:w="180" w:type="dxa"/>
            <w:vAlign w:val="bottom"/>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4,058</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ind w:right="13"/>
              <w:spacing w:after="0" w:line="196" w:lineRule="exact"/>
              <w:rPr>
                <w:sz w:val="20"/>
                <w:szCs w:val="20"/>
                <w:color w:val="auto"/>
              </w:rPr>
            </w:pPr>
            <w:r>
              <w:rPr>
                <w:rFonts w:ascii="Arial" w:cs="Arial" w:eastAsia="Arial" w:hAnsi="Arial"/>
                <w:sz w:val="18"/>
                <w:szCs w:val="18"/>
                <w:color w:val="auto"/>
              </w:rPr>
              <w:t>3,674</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ind w:right="32"/>
              <w:spacing w:after="0" w:line="196" w:lineRule="exact"/>
              <w:rPr>
                <w:sz w:val="20"/>
                <w:szCs w:val="20"/>
                <w:color w:val="auto"/>
              </w:rPr>
            </w:pPr>
            <w:r>
              <w:rPr>
                <w:rFonts w:ascii="Arial" w:cs="Arial" w:eastAsia="Arial" w:hAnsi="Arial"/>
                <w:sz w:val="18"/>
                <w:szCs w:val="18"/>
                <w:color w:val="auto"/>
              </w:rPr>
              <w:t>8,035</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ind w:right="13"/>
              <w:spacing w:after="0" w:line="196" w:lineRule="exact"/>
              <w:rPr>
                <w:sz w:val="20"/>
                <w:szCs w:val="20"/>
                <w:color w:val="auto"/>
              </w:rPr>
            </w:pPr>
            <w:r>
              <w:rPr>
                <w:rFonts w:ascii="Arial" w:cs="Arial" w:eastAsia="Arial" w:hAnsi="Arial"/>
                <w:sz w:val="18"/>
                <w:szCs w:val="18"/>
                <w:color w:val="auto"/>
              </w:rPr>
              <w:t>7,220</w:t>
            </w: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3100" w:type="dxa"/>
            <w:vAlign w:val="bottom"/>
            <w:tcBorders>
              <w:bottom w:val="single" w:sz="8" w:color="auto"/>
            </w:tcBorders>
            <w:gridSpan w:val="2"/>
            <w:shd w:val="clear" w:color="auto" w:fill="E5FFFF"/>
          </w:tcPr>
          <w:p>
            <w:pPr>
              <w:spacing w:after="0" w:line="176" w:lineRule="exact"/>
              <w:rPr>
                <w:sz w:val="20"/>
                <w:szCs w:val="20"/>
                <w:color w:val="auto"/>
              </w:rPr>
            </w:pPr>
            <w:r>
              <w:rPr>
                <w:rFonts w:ascii="Arial" w:cs="Arial" w:eastAsia="Arial" w:hAnsi="Arial"/>
                <w:sz w:val="18"/>
                <w:szCs w:val="18"/>
                <w:color w:val="auto"/>
                <w:w w:val="98"/>
              </w:rPr>
              <w:t>Home and Building Technologies sales</w:t>
            </w:r>
          </w:p>
        </w:tc>
        <w:tc>
          <w:tcPr>
            <w:tcW w:w="1720" w:type="dxa"/>
            <w:vAlign w:val="bottom"/>
            <w:tcBorders>
              <w:bottom w:val="single" w:sz="8" w:color="E5FFFF"/>
            </w:tcBorders>
            <w:gridSpan w:val="2"/>
            <w:shd w:val="clear" w:color="auto" w:fill="E5FFFF"/>
          </w:tcPr>
          <w:p>
            <w:pPr>
              <w:spacing w:after="0"/>
              <w:rPr>
                <w:sz w:val="15"/>
                <w:szCs w:val="15"/>
                <w:color w:val="auto"/>
              </w:rPr>
            </w:pPr>
          </w:p>
        </w:tc>
        <w:tc>
          <w:tcPr>
            <w:tcW w:w="180" w:type="dxa"/>
            <w:vAlign w:val="bottom"/>
            <w:tcBorders>
              <w:bottom w:val="single" w:sz="8" w:color="E5FFFF"/>
            </w:tcBorders>
            <w:shd w:val="clear" w:color="auto" w:fill="E5FFFF"/>
          </w:tcPr>
          <w:p>
            <w:pPr>
              <w:spacing w:after="0"/>
              <w:rPr>
                <w:sz w:val="15"/>
                <w:szCs w:val="15"/>
                <w:color w:val="auto"/>
              </w:rPr>
            </w:pPr>
          </w:p>
        </w:tc>
        <w:tc>
          <w:tcPr>
            <w:tcW w:w="680" w:type="dxa"/>
            <w:vAlign w:val="bottom"/>
            <w:tcBorders>
              <w:bottom w:val="single" w:sz="8" w:color="E5FFFF"/>
            </w:tcBorders>
            <w:shd w:val="clear" w:color="auto" w:fill="E5FFFF"/>
          </w:tcPr>
          <w:p>
            <w:pPr>
              <w:spacing w:after="0"/>
              <w:rPr>
                <w:sz w:val="15"/>
                <w:szCs w:val="15"/>
                <w:color w:val="auto"/>
              </w:rPr>
            </w:pPr>
          </w:p>
        </w:tc>
        <w:tc>
          <w:tcPr>
            <w:tcW w:w="60" w:type="dxa"/>
            <w:vAlign w:val="bottom"/>
            <w:tcBorders>
              <w:bottom w:val="single" w:sz="8" w:color="E5FFFF"/>
            </w:tcBorders>
            <w:shd w:val="clear" w:color="auto" w:fill="E5FFFF"/>
          </w:tcPr>
          <w:p>
            <w:pPr>
              <w:spacing w:after="0"/>
              <w:rPr>
                <w:sz w:val="15"/>
                <w:szCs w:val="15"/>
                <w:color w:val="auto"/>
              </w:rPr>
            </w:pPr>
          </w:p>
        </w:tc>
        <w:tc>
          <w:tcPr>
            <w:tcW w:w="240" w:type="dxa"/>
            <w:vAlign w:val="bottom"/>
            <w:tcBorders>
              <w:bottom w:val="single" w:sz="8" w:color="E5FFFF"/>
            </w:tcBorders>
            <w:shd w:val="clear" w:color="auto" w:fill="E5FFFF"/>
          </w:tcPr>
          <w:p>
            <w:pPr>
              <w:spacing w:after="0"/>
              <w:rPr>
                <w:sz w:val="15"/>
                <w:szCs w:val="15"/>
                <w:color w:val="auto"/>
              </w:rPr>
            </w:pPr>
          </w:p>
        </w:tc>
        <w:tc>
          <w:tcPr>
            <w:tcW w:w="120" w:type="dxa"/>
            <w:vAlign w:val="bottom"/>
            <w:tcBorders>
              <w:bottom w:val="single" w:sz="8" w:color="E5FFFF"/>
            </w:tcBorders>
            <w:shd w:val="clear" w:color="auto" w:fill="E5FFFF"/>
          </w:tcPr>
          <w:p>
            <w:pPr>
              <w:spacing w:after="0"/>
              <w:rPr>
                <w:sz w:val="15"/>
                <w:szCs w:val="15"/>
                <w:color w:val="auto"/>
              </w:rPr>
            </w:pPr>
          </w:p>
        </w:tc>
        <w:tc>
          <w:tcPr>
            <w:tcW w:w="780" w:type="dxa"/>
            <w:vAlign w:val="bottom"/>
            <w:tcBorders>
              <w:bottom w:val="single" w:sz="8" w:color="E5FFFF"/>
            </w:tcBorders>
            <w:shd w:val="clear" w:color="auto" w:fill="E5FFFF"/>
          </w:tcPr>
          <w:p>
            <w:pPr>
              <w:spacing w:after="0"/>
              <w:rPr>
                <w:sz w:val="15"/>
                <w:szCs w:val="15"/>
                <w:color w:val="auto"/>
              </w:rPr>
            </w:pPr>
          </w:p>
        </w:tc>
        <w:tc>
          <w:tcPr>
            <w:tcW w:w="220" w:type="dxa"/>
            <w:vAlign w:val="bottom"/>
            <w:tcBorders>
              <w:bottom w:val="single" w:sz="8" w:color="E5FFFF"/>
            </w:tcBorders>
            <w:shd w:val="clear" w:color="auto" w:fill="E5FFFF"/>
          </w:tcPr>
          <w:p>
            <w:pPr>
              <w:spacing w:after="0"/>
              <w:rPr>
                <w:sz w:val="15"/>
                <w:szCs w:val="15"/>
                <w:color w:val="auto"/>
              </w:rPr>
            </w:pPr>
          </w:p>
        </w:tc>
        <w:tc>
          <w:tcPr>
            <w:tcW w:w="120" w:type="dxa"/>
            <w:vAlign w:val="bottom"/>
            <w:tcBorders>
              <w:bottom w:val="single" w:sz="8" w:color="E5FFFF"/>
            </w:tcBorders>
            <w:shd w:val="clear" w:color="auto" w:fill="E5FFFF"/>
          </w:tcPr>
          <w:p>
            <w:pPr>
              <w:spacing w:after="0"/>
              <w:rPr>
                <w:sz w:val="15"/>
                <w:szCs w:val="15"/>
                <w:color w:val="auto"/>
              </w:rPr>
            </w:pPr>
          </w:p>
        </w:tc>
        <w:tc>
          <w:tcPr>
            <w:tcW w:w="820" w:type="dxa"/>
            <w:vAlign w:val="bottom"/>
            <w:tcBorders>
              <w:bottom w:val="single" w:sz="8" w:color="E5FFFF"/>
            </w:tcBorders>
            <w:shd w:val="clear" w:color="auto" w:fill="E5FFFF"/>
          </w:tcPr>
          <w:p>
            <w:pPr>
              <w:spacing w:after="0"/>
              <w:rPr>
                <w:sz w:val="15"/>
                <w:szCs w:val="15"/>
                <w:color w:val="auto"/>
              </w:rPr>
            </w:pPr>
          </w:p>
        </w:tc>
        <w:tc>
          <w:tcPr>
            <w:tcW w:w="220" w:type="dxa"/>
            <w:vAlign w:val="bottom"/>
            <w:tcBorders>
              <w:bottom w:val="single" w:sz="8" w:color="E5FFFF"/>
            </w:tcBorders>
            <w:shd w:val="clear" w:color="auto" w:fill="E5FFFF"/>
          </w:tcPr>
          <w:p>
            <w:pPr>
              <w:spacing w:after="0"/>
              <w:rPr>
                <w:sz w:val="15"/>
                <w:szCs w:val="15"/>
                <w:color w:val="auto"/>
              </w:rPr>
            </w:pPr>
          </w:p>
        </w:tc>
        <w:tc>
          <w:tcPr>
            <w:tcW w:w="160" w:type="dxa"/>
            <w:vAlign w:val="bottom"/>
            <w:tcBorders>
              <w:bottom w:val="single" w:sz="8" w:color="E5FFFF"/>
            </w:tcBorders>
            <w:shd w:val="clear" w:color="auto" w:fill="E5FFFF"/>
          </w:tcPr>
          <w:p>
            <w:pPr>
              <w:spacing w:after="0"/>
              <w:rPr>
                <w:sz w:val="15"/>
                <w:szCs w:val="15"/>
                <w:color w:val="auto"/>
              </w:rPr>
            </w:pPr>
          </w:p>
        </w:tc>
        <w:tc>
          <w:tcPr>
            <w:tcW w:w="740" w:type="dxa"/>
            <w:vAlign w:val="bottom"/>
            <w:tcBorders>
              <w:bottom w:val="single" w:sz="8" w:color="E5FFFF"/>
            </w:tcBorders>
            <w:shd w:val="clear" w:color="auto" w:fill="E5FFFF"/>
          </w:tcPr>
          <w:p>
            <w:pPr>
              <w:spacing w:after="0"/>
              <w:rPr>
                <w:sz w:val="15"/>
                <w:szCs w:val="15"/>
                <w:color w:val="auto"/>
              </w:rPr>
            </w:pPr>
          </w:p>
        </w:tc>
        <w:tc>
          <w:tcPr>
            <w:tcW w:w="200" w:type="dxa"/>
            <w:vAlign w:val="bottom"/>
            <w:tcBorders>
              <w:bottom w:val="single" w:sz="8" w:color="E5FFFF"/>
            </w:tcBorders>
            <w:shd w:val="clear" w:color="auto" w:fill="E5FFFF"/>
          </w:tcPr>
          <w:p>
            <w:pPr>
              <w:spacing w:after="0"/>
              <w:rPr>
                <w:sz w:val="15"/>
                <w:szCs w:val="15"/>
                <w:color w:val="auto"/>
              </w:rPr>
            </w:pPr>
          </w:p>
        </w:tc>
        <w:tc>
          <w:tcPr>
            <w:tcW w:w="140" w:type="dxa"/>
            <w:vAlign w:val="bottom"/>
            <w:tcBorders>
              <w:bottom w:val="single" w:sz="8" w:color="E5FFFF"/>
            </w:tcBorders>
            <w:shd w:val="clear" w:color="auto" w:fill="E5FFFF"/>
          </w:tcPr>
          <w:p>
            <w:pPr>
              <w:spacing w:after="0"/>
              <w:rPr>
                <w:sz w:val="15"/>
                <w:szCs w:val="15"/>
                <w:color w:val="auto"/>
              </w:rPr>
            </w:pPr>
          </w:p>
        </w:tc>
        <w:tc>
          <w:tcPr>
            <w:tcW w:w="760" w:type="dxa"/>
            <w:vAlign w:val="bottom"/>
            <w:tcBorders>
              <w:bottom w:val="single" w:sz="8" w:color="E5FFFF"/>
            </w:tcBorders>
            <w:shd w:val="clear" w:color="auto" w:fill="E5FFFF"/>
          </w:tcPr>
          <w:p>
            <w:pPr>
              <w:spacing w:after="0"/>
              <w:rPr>
                <w:sz w:val="15"/>
                <w:szCs w:val="15"/>
                <w:color w:val="auto"/>
              </w:rPr>
            </w:pPr>
          </w:p>
        </w:tc>
        <w:tc>
          <w:tcPr>
            <w:tcW w:w="220" w:type="dxa"/>
            <w:vAlign w:val="bottom"/>
            <w:tcBorders>
              <w:bottom w:val="single" w:sz="8" w:color="E5FFFF"/>
            </w:tcBorders>
            <w:shd w:val="clear" w:color="auto" w:fill="E5FFFF"/>
          </w:tcPr>
          <w:p>
            <w:pPr>
              <w:spacing w:after="0"/>
              <w:rPr>
                <w:sz w:val="15"/>
                <w:szCs w:val="15"/>
                <w:color w:val="auto"/>
              </w:rPr>
            </w:pPr>
          </w:p>
        </w:tc>
        <w:tc>
          <w:tcPr>
            <w:tcW w:w="940" w:type="dxa"/>
            <w:vAlign w:val="bottom"/>
            <w:tcBorders>
              <w:bottom w:val="single" w:sz="8" w:color="E5FFFF"/>
            </w:tcBorders>
            <w:shd w:val="clear" w:color="auto" w:fill="E5FF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820" w:type="dxa"/>
            <w:vAlign w:val="bottom"/>
            <w:gridSpan w:val="4"/>
          </w:tcPr>
          <w:p>
            <w:pPr>
              <w:ind w:left="180"/>
              <w:spacing w:after="0" w:line="202" w:lineRule="exact"/>
              <w:rPr>
                <w:sz w:val="20"/>
                <w:szCs w:val="20"/>
                <w:color w:val="auto"/>
              </w:rPr>
            </w:pPr>
            <w:r>
              <w:rPr>
                <w:rFonts w:ascii="Arial" w:cs="Arial" w:eastAsia="Arial" w:hAnsi="Arial"/>
                <w:sz w:val="18"/>
                <w:szCs w:val="18"/>
                <w:color w:val="auto"/>
              </w:rPr>
              <w:t>Homes</w:t>
            </w:r>
          </w:p>
        </w:tc>
        <w:tc>
          <w:tcPr>
            <w:tcW w:w="18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1,190</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1,088</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9%</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ind w:right="32"/>
              <w:spacing w:after="0" w:line="202" w:lineRule="exact"/>
              <w:rPr>
                <w:sz w:val="20"/>
                <w:szCs w:val="20"/>
                <w:color w:val="auto"/>
              </w:rPr>
            </w:pPr>
            <w:r>
              <w:rPr>
                <w:rFonts w:ascii="Arial" w:cs="Arial" w:eastAsia="Arial" w:hAnsi="Arial"/>
                <w:sz w:val="18"/>
                <w:szCs w:val="18"/>
                <w:color w:val="auto"/>
              </w:rPr>
              <w:t>2,347</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2,143</w:t>
            </w:r>
          </w:p>
        </w:tc>
        <w:tc>
          <w:tcPr>
            <w:tcW w:w="22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4820" w:type="dxa"/>
            <w:vAlign w:val="bottom"/>
            <w:gridSpan w:val="4"/>
            <w:shd w:val="clear" w:color="auto" w:fill="E5FFFF"/>
          </w:tcPr>
          <w:p>
            <w:pPr>
              <w:ind w:left="180"/>
              <w:spacing w:after="0"/>
              <w:rPr>
                <w:sz w:val="20"/>
                <w:szCs w:val="20"/>
                <w:color w:val="auto"/>
              </w:rPr>
            </w:pPr>
            <w:r>
              <w:rPr>
                <w:rFonts w:ascii="Arial" w:cs="Arial" w:eastAsia="Arial" w:hAnsi="Arial"/>
                <w:sz w:val="18"/>
                <w:szCs w:val="18"/>
                <w:color w:val="auto"/>
              </w:rPr>
              <w:t>Buildings</w:t>
            </w:r>
          </w:p>
        </w:tc>
        <w:tc>
          <w:tcPr>
            <w:tcW w:w="180" w:type="dxa"/>
            <w:vAlign w:val="bottom"/>
            <w:tcBorders>
              <w:bottom w:val="single" w:sz="8" w:color="auto"/>
            </w:tcBorders>
            <w:shd w:val="clear" w:color="auto" w:fill="E5FFFF"/>
          </w:tcPr>
          <w:p>
            <w:pPr>
              <w:spacing w:after="0"/>
              <w:rPr>
                <w:sz w:val="18"/>
                <w:szCs w:val="18"/>
                <w:color w:val="auto"/>
              </w:rPr>
            </w:pPr>
          </w:p>
        </w:tc>
        <w:tc>
          <w:tcPr>
            <w:tcW w:w="6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1,356</w:t>
            </w:r>
          </w:p>
        </w:tc>
        <w:tc>
          <w:tcPr>
            <w:tcW w:w="60" w:type="dxa"/>
            <w:vAlign w:val="bottom"/>
            <w:tcBorders>
              <w:bottom w:val="single" w:sz="8" w:color="auto"/>
            </w:tcBorders>
            <w:shd w:val="clear" w:color="auto" w:fill="E5FFFF"/>
          </w:tcPr>
          <w:p>
            <w:pPr>
              <w:spacing w:after="0"/>
              <w:rPr>
                <w:sz w:val="18"/>
                <w:szCs w:val="18"/>
                <w:color w:val="auto"/>
              </w:rPr>
            </w:pPr>
          </w:p>
        </w:tc>
        <w:tc>
          <w:tcPr>
            <w:tcW w:w="240" w:type="dxa"/>
            <w:vAlign w:val="bottom"/>
            <w:shd w:val="clear" w:color="auto" w:fill="E5FFFF"/>
          </w:tcPr>
          <w:p>
            <w:pPr>
              <w:spacing w:after="0"/>
              <w:rPr>
                <w:sz w:val="18"/>
                <w:szCs w:val="18"/>
                <w:color w:val="auto"/>
              </w:rPr>
            </w:pPr>
          </w:p>
        </w:tc>
        <w:tc>
          <w:tcPr>
            <w:tcW w:w="120" w:type="dxa"/>
            <w:vAlign w:val="bottom"/>
            <w:tcBorders>
              <w:bottom w:val="single" w:sz="8" w:color="auto"/>
            </w:tcBorders>
            <w:shd w:val="clear" w:color="auto" w:fill="E5FFFF"/>
          </w:tcPr>
          <w:p>
            <w:pPr>
              <w:spacing w:after="0"/>
              <w:rPr>
                <w:sz w:val="18"/>
                <w:szCs w:val="18"/>
                <w:color w:val="auto"/>
              </w:rPr>
            </w:pPr>
          </w:p>
        </w:tc>
        <w:tc>
          <w:tcPr>
            <w:tcW w:w="780" w:type="dxa"/>
            <w:vAlign w:val="bottom"/>
            <w:tcBorders>
              <w:bottom w:val="single" w:sz="8" w:color="auto"/>
            </w:tcBorders>
            <w:shd w:val="clear" w:color="auto" w:fill="E5FFFF"/>
          </w:tcPr>
          <w:p>
            <w:pPr>
              <w:jc w:val="right"/>
              <w:ind w:right="13"/>
              <w:spacing w:after="0"/>
              <w:rPr>
                <w:sz w:val="20"/>
                <w:szCs w:val="20"/>
                <w:color w:val="auto"/>
              </w:rPr>
            </w:pPr>
            <w:r>
              <w:rPr>
                <w:rFonts w:ascii="Arial" w:cs="Arial" w:eastAsia="Arial" w:hAnsi="Arial"/>
                <w:sz w:val="18"/>
                <w:szCs w:val="18"/>
                <w:color w:val="auto"/>
              </w:rPr>
              <w:t>1,326</w:t>
            </w:r>
          </w:p>
        </w:tc>
        <w:tc>
          <w:tcPr>
            <w:tcW w:w="22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820" w:type="dxa"/>
            <w:vAlign w:val="bottom"/>
            <w:shd w:val="clear" w:color="auto" w:fill="E5FFFF"/>
          </w:tcPr>
          <w:p>
            <w:pPr>
              <w:jc w:val="right"/>
              <w:spacing w:after="0"/>
              <w:rPr>
                <w:sz w:val="20"/>
                <w:szCs w:val="20"/>
                <w:color w:val="auto"/>
              </w:rPr>
            </w:pPr>
            <w:r>
              <w:rPr>
                <w:rFonts w:ascii="Arial" w:cs="Arial" w:eastAsia="Arial" w:hAnsi="Arial"/>
                <w:sz w:val="18"/>
                <w:szCs w:val="18"/>
                <w:color w:val="auto"/>
              </w:rPr>
              <w:t>2%</w:t>
            </w:r>
          </w:p>
        </w:tc>
        <w:tc>
          <w:tcPr>
            <w:tcW w:w="220" w:type="dxa"/>
            <w:vAlign w:val="bottom"/>
            <w:shd w:val="clear" w:color="auto" w:fill="E5FFFF"/>
          </w:tcPr>
          <w:p>
            <w:pPr>
              <w:spacing w:after="0"/>
              <w:rPr>
                <w:sz w:val="18"/>
                <w:szCs w:val="18"/>
                <w:color w:val="auto"/>
              </w:rPr>
            </w:pPr>
          </w:p>
        </w:tc>
        <w:tc>
          <w:tcPr>
            <w:tcW w:w="160" w:type="dxa"/>
            <w:vAlign w:val="bottom"/>
            <w:tcBorders>
              <w:bottom w:val="single" w:sz="8" w:color="auto"/>
            </w:tcBorders>
            <w:shd w:val="clear" w:color="auto" w:fill="E5FFFF"/>
          </w:tcPr>
          <w:p>
            <w:pPr>
              <w:spacing w:after="0"/>
              <w:rPr>
                <w:sz w:val="18"/>
                <w:szCs w:val="18"/>
                <w:color w:val="auto"/>
              </w:rPr>
            </w:pPr>
          </w:p>
        </w:tc>
        <w:tc>
          <w:tcPr>
            <w:tcW w:w="740" w:type="dxa"/>
            <w:vAlign w:val="bottom"/>
            <w:tcBorders>
              <w:bottom w:val="single" w:sz="8" w:color="auto"/>
            </w:tcBorders>
            <w:shd w:val="clear" w:color="auto" w:fill="E5FFFF"/>
          </w:tcPr>
          <w:p>
            <w:pPr>
              <w:jc w:val="right"/>
              <w:ind w:right="32"/>
              <w:spacing w:after="0"/>
              <w:rPr>
                <w:sz w:val="20"/>
                <w:szCs w:val="20"/>
                <w:color w:val="auto"/>
              </w:rPr>
            </w:pPr>
            <w:r>
              <w:rPr>
                <w:rFonts w:ascii="Arial" w:cs="Arial" w:eastAsia="Arial" w:hAnsi="Arial"/>
                <w:sz w:val="18"/>
                <w:szCs w:val="18"/>
                <w:color w:val="auto"/>
              </w:rPr>
              <w:t>2,632</w:t>
            </w:r>
          </w:p>
        </w:tc>
        <w:tc>
          <w:tcPr>
            <w:tcW w:w="200" w:type="dxa"/>
            <w:vAlign w:val="bottom"/>
            <w:shd w:val="clear" w:color="auto" w:fill="E5FFFF"/>
          </w:tcPr>
          <w:p>
            <w:pPr>
              <w:spacing w:after="0"/>
              <w:rPr>
                <w:sz w:val="18"/>
                <w:szCs w:val="18"/>
                <w:color w:val="auto"/>
              </w:rPr>
            </w:pPr>
          </w:p>
        </w:tc>
        <w:tc>
          <w:tcPr>
            <w:tcW w:w="140" w:type="dxa"/>
            <w:vAlign w:val="bottom"/>
            <w:tcBorders>
              <w:bottom w:val="single" w:sz="8" w:color="auto"/>
            </w:tcBorders>
            <w:shd w:val="clear" w:color="auto" w:fill="E5FFFF"/>
          </w:tcPr>
          <w:p>
            <w:pPr>
              <w:spacing w:after="0"/>
              <w:rPr>
                <w:sz w:val="18"/>
                <w:szCs w:val="18"/>
                <w:color w:val="auto"/>
              </w:rPr>
            </w:pPr>
          </w:p>
        </w:tc>
        <w:tc>
          <w:tcPr>
            <w:tcW w:w="760" w:type="dxa"/>
            <w:vAlign w:val="bottom"/>
            <w:tcBorders>
              <w:bottom w:val="single" w:sz="8" w:color="auto"/>
            </w:tcBorders>
            <w:shd w:val="clear" w:color="auto" w:fill="E5FFFF"/>
          </w:tcPr>
          <w:p>
            <w:pPr>
              <w:jc w:val="right"/>
              <w:ind w:right="13"/>
              <w:spacing w:after="0"/>
              <w:rPr>
                <w:sz w:val="20"/>
                <w:szCs w:val="20"/>
                <w:color w:val="auto"/>
              </w:rPr>
            </w:pPr>
            <w:r>
              <w:rPr>
                <w:rFonts w:ascii="Arial" w:cs="Arial" w:eastAsia="Arial" w:hAnsi="Arial"/>
                <w:sz w:val="18"/>
                <w:szCs w:val="18"/>
                <w:color w:val="auto"/>
              </w:rPr>
              <w:t>2,540</w:t>
            </w:r>
          </w:p>
        </w:tc>
        <w:tc>
          <w:tcPr>
            <w:tcW w:w="220" w:type="dxa"/>
            <w:vAlign w:val="bottom"/>
            <w:shd w:val="clear" w:color="auto" w:fill="E5FFFF"/>
          </w:tcPr>
          <w:p>
            <w:pPr>
              <w:spacing w:after="0"/>
              <w:rPr>
                <w:sz w:val="18"/>
                <w:szCs w:val="18"/>
                <w:color w:val="auto"/>
              </w:rPr>
            </w:pPr>
          </w:p>
        </w:tc>
        <w:tc>
          <w:tcPr>
            <w:tcW w:w="940" w:type="dxa"/>
            <w:vAlign w:val="bottom"/>
            <w:shd w:val="clear" w:color="auto" w:fill="E5FF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4820" w:type="dxa"/>
            <w:vAlign w:val="bottom"/>
            <w:gridSpan w:val="4"/>
          </w:tcPr>
          <w:p>
            <w:pPr>
              <w:ind w:left="360"/>
              <w:spacing w:after="0" w:line="196" w:lineRule="exact"/>
              <w:rPr>
                <w:sz w:val="20"/>
                <w:szCs w:val="20"/>
                <w:color w:val="auto"/>
              </w:rPr>
            </w:pPr>
            <w:r>
              <w:rPr>
                <w:rFonts w:ascii="Arial" w:cs="Arial" w:eastAsia="Arial" w:hAnsi="Arial"/>
                <w:sz w:val="18"/>
                <w:szCs w:val="18"/>
                <w:color w:val="auto"/>
              </w:rPr>
              <w:t>Total Home and Building Technologies sales</w:t>
            </w:r>
          </w:p>
        </w:tc>
        <w:tc>
          <w:tcPr>
            <w:tcW w:w="180" w:type="dxa"/>
            <w:vAlign w:val="bottom"/>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2,546</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ind w:right="13"/>
              <w:spacing w:after="0" w:line="196" w:lineRule="exact"/>
              <w:rPr>
                <w:sz w:val="20"/>
                <w:szCs w:val="20"/>
                <w:color w:val="auto"/>
              </w:rPr>
            </w:pPr>
            <w:r>
              <w:rPr>
                <w:rFonts w:ascii="Arial" w:cs="Arial" w:eastAsia="Arial" w:hAnsi="Arial"/>
                <w:sz w:val="18"/>
                <w:szCs w:val="18"/>
                <w:color w:val="auto"/>
              </w:rPr>
              <w:t>2,414</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ind w:right="32"/>
              <w:spacing w:after="0" w:line="196" w:lineRule="exact"/>
              <w:rPr>
                <w:sz w:val="20"/>
                <w:szCs w:val="20"/>
                <w:color w:val="auto"/>
              </w:rPr>
            </w:pPr>
            <w:r>
              <w:rPr>
                <w:rFonts w:ascii="Arial" w:cs="Arial" w:eastAsia="Arial" w:hAnsi="Arial"/>
                <w:sz w:val="18"/>
                <w:szCs w:val="18"/>
                <w:color w:val="auto"/>
              </w:rPr>
              <w:t>4,979</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ind w:right="13"/>
              <w:spacing w:after="0" w:line="196" w:lineRule="exact"/>
              <w:rPr>
                <w:sz w:val="20"/>
                <w:szCs w:val="20"/>
                <w:color w:val="auto"/>
              </w:rPr>
            </w:pPr>
            <w:r>
              <w:rPr>
                <w:rFonts w:ascii="Arial" w:cs="Arial" w:eastAsia="Arial" w:hAnsi="Arial"/>
                <w:sz w:val="18"/>
                <w:szCs w:val="18"/>
                <w:color w:val="auto"/>
              </w:rPr>
              <w:t>4,683</w:t>
            </w: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3740" w:type="dxa"/>
            <w:vAlign w:val="bottom"/>
            <w:tcBorders>
              <w:bottom w:val="single" w:sz="8" w:color="auto"/>
            </w:tcBorders>
            <w:gridSpan w:val="3"/>
            <w:shd w:val="clear" w:color="auto" w:fill="E5FFFF"/>
          </w:tcPr>
          <w:p>
            <w:pPr>
              <w:spacing w:after="0" w:line="176" w:lineRule="exact"/>
              <w:rPr>
                <w:sz w:val="20"/>
                <w:szCs w:val="20"/>
                <w:color w:val="auto"/>
              </w:rPr>
            </w:pPr>
            <w:r>
              <w:rPr>
                <w:rFonts w:ascii="Arial" w:cs="Arial" w:eastAsia="Arial" w:hAnsi="Arial"/>
                <w:sz w:val="18"/>
                <w:szCs w:val="18"/>
                <w:color w:val="auto"/>
                <w:w w:val="99"/>
              </w:rPr>
              <w:t>Performance Materials and Technologies sales</w:t>
            </w:r>
          </w:p>
        </w:tc>
        <w:tc>
          <w:tcPr>
            <w:tcW w:w="1080" w:type="dxa"/>
            <w:vAlign w:val="bottom"/>
            <w:tcBorders>
              <w:bottom w:val="single" w:sz="8" w:color="E5FFFF"/>
            </w:tcBorders>
            <w:shd w:val="clear" w:color="auto" w:fill="E5FFFF"/>
          </w:tcPr>
          <w:p>
            <w:pPr>
              <w:spacing w:after="0"/>
              <w:rPr>
                <w:sz w:val="15"/>
                <w:szCs w:val="15"/>
                <w:color w:val="auto"/>
              </w:rPr>
            </w:pPr>
          </w:p>
        </w:tc>
        <w:tc>
          <w:tcPr>
            <w:tcW w:w="180" w:type="dxa"/>
            <w:vAlign w:val="bottom"/>
            <w:tcBorders>
              <w:bottom w:val="single" w:sz="8" w:color="E5FFFF"/>
            </w:tcBorders>
            <w:shd w:val="clear" w:color="auto" w:fill="E5FFFF"/>
          </w:tcPr>
          <w:p>
            <w:pPr>
              <w:spacing w:after="0"/>
              <w:rPr>
                <w:sz w:val="15"/>
                <w:szCs w:val="15"/>
                <w:color w:val="auto"/>
              </w:rPr>
            </w:pPr>
          </w:p>
        </w:tc>
        <w:tc>
          <w:tcPr>
            <w:tcW w:w="680" w:type="dxa"/>
            <w:vAlign w:val="bottom"/>
            <w:tcBorders>
              <w:bottom w:val="single" w:sz="8" w:color="E5FFFF"/>
            </w:tcBorders>
            <w:shd w:val="clear" w:color="auto" w:fill="E5FFFF"/>
          </w:tcPr>
          <w:p>
            <w:pPr>
              <w:spacing w:after="0"/>
              <w:rPr>
                <w:sz w:val="15"/>
                <w:szCs w:val="15"/>
                <w:color w:val="auto"/>
              </w:rPr>
            </w:pPr>
          </w:p>
        </w:tc>
        <w:tc>
          <w:tcPr>
            <w:tcW w:w="60" w:type="dxa"/>
            <w:vAlign w:val="bottom"/>
            <w:tcBorders>
              <w:bottom w:val="single" w:sz="8" w:color="E5FFFF"/>
            </w:tcBorders>
            <w:shd w:val="clear" w:color="auto" w:fill="E5FFFF"/>
          </w:tcPr>
          <w:p>
            <w:pPr>
              <w:spacing w:after="0"/>
              <w:rPr>
                <w:sz w:val="15"/>
                <w:szCs w:val="15"/>
                <w:color w:val="auto"/>
              </w:rPr>
            </w:pPr>
          </w:p>
        </w:tc>
        <w:tc>
          <w:tcPr>
            <w:tcW w:w="240" w:type="dxa"/>
            <w:vAlign w:val="bottom"/>
            <w:tcBorders>
              <w:bottom w:val="single" w:sz="8" w:color="E5FFFF"/>
            </w:tcBorders>
            <w:shd w:val="clear" w:color="auto" w:fill="E5FFFF"/>
          </w:tcPr>
          <w:p>
            <w:pPr>
              <w:spacing w:after="0"/>
              <w:rPr>
                <w:sz w:val="15"/>
                <w:szCs w:val="15"/>
                <w:color w:val="auto"/>
              </w:rPr>
            </w:pPr>
          </w:p>
        </w:tc>
        <w:tc>
          <w:tcPr>
            <w:tcW w:w="120" w:type="dxa"/>
            <w:vAlign w:val="bottom"/>
            <w:tcBorders>
              <w:bottom w:val="single" w:sz="8" w:color="E5FFFF"/>
            </w:tcBorders>
            <w:shd w:val="clear" w:color="auto" w:fill="E5FFFF"/>
          </w:tcPr>
          <w:p>
            <w:pPr>
              <w:spacing w:after="0"/>
              <w:rPr>
                <w:sz w:val="15"/>
                <w:szCs w:val="15"/>
                <w:color w:val="auto"/>
              </w:rPr>
            </w:pPr>
          </w:p>
        </w:tc>
        <w:tc>
          <w:tcPr>
            <w:tcW w:w="780" w:type="dxa"/>
            <w:vAlign w:val="bottom"/>
            <w:tcBorders>
              <w:bottom w:val="single" w:sz="8" w:color="E5FFFF"/>
            </w:tcBorders>
            <w:shd w:val="clear" w:color="auto" w:fill="E5FFFF"/>
          </w:tcPr>
          <w:p>
            <w:pPr>
              <w:spacing w:after="0"/>
              <w:rPr>
                <w:sz w:val="15"/>
                <w:szCs w:val="15"/>
                <w:color w:val="auto"/>
              </w:rPr>
            </w:pPr>
          </w:p>
        </w:tc>
        <w:tc>
          <w:tcPr>
            <w:tcW w:w="220" w:type="dxa"/>
            <w:vAlign w:val="bottom"/>
            <w:tcBorders>
              <w:bottom w:val="single" w:sz="8" w:color="E5FFFF"/>
            </w:tcBorders>
            <w:shd w:val="clear" w:color="auto" w:fill="E5FFFF"/>
          </w:tcPr>
          <w:p>
            <w:pPr>
              <w:spacing w:after="0"/>
              <w:rPr>
                <w:sz w:val="15"/>
                <w:szCs w:val="15"/>
                <w:color w:val="auto"/>
              </w:rPr>
            </w:pPr>
          </w:p>
        </w:tc>
        <w:tc>
          <w:tcPr>
            <w:tcW w:w="120" w:type="dxa"/>
            <w:vAlign w:val="bottom"/>
            <w:tcBorders>
              <w:bottom w:val="single" w:sz="8" w:color="E5FFFF"/>
            </w:tcBorders>
            <w:shd w:val="clear" w:color="auto" w:fill="E5FFFF"/>
          </w:tcPr>
          <w:p>
            <w:pPr>
              <w:spacing w:after="0"/>
              <w:rPr>
                <w:sz w:val="15"/>
                <w:szCs w:val="15"/>
                <w:color w:val="auto"/>
              </w:rPr>
            </w:pPr>
          </w:p>
        </w:tc>
        <w:tc>
          <w:tcPr>
            <w:tcW w:w="820" w:type="dxa"/>
            <w:vAlign w:val="bottom"/>
            <w:tcBorders>
              <w:bottom w:val="single" w:sz="8" w:color="E5FFFF"/>
            </w:tcBorders>
            <w:shd w:val="clear" w:color="auto" w:fill="E5FFFF"/>
          </w:tcPr>
          <w:p>
            <w:pPr>
              <w:spacing w:after="0"/>
              <w:rPr>
                <w:sz w:val="15"/>
                <w:szCs w:val="15"/>
                <w:color w:val="auto"/>
              </w:rPr>
            </w:pPr>
          </w:p>
        </w:tc>
        <w:tc>
          <w:tcPr>
            <w:tcW w:w="220" w:type="dxa"/>
            <w:vAlign w:val="bottom"/>
            <w:tcBorders>
              <w:bottom w:val="single" w:sz="8" w:color="E5FFFF"/>
            </w:tcBorders>
            <w:shd w:val="clear" w:color="auto" w:fill="E5FFFF"/>
          </w:tcPr>
          <w:p>
            <w:pPr>
              <w:spacing w:after="0"/>
              <w:rPr>
                <w:sz w:val="15"/>
                <w:szCs w:val="15"/>
                <w:color w:val="auto"/>
              </w:rPr>
            </w:pPr>
          </w:p>
        </w:tc>
        <w:tc>
          <w:tcPr>
            <w:tcW w:w="160" w:type="dxa"/>
            <w:vAlign w:val="bottom"/>
            <w:tcBorders>
              <w:bottom w:val="single" w:sz="8" w:color="E5FFFF"/>
            </w:tcBorders>
            <w:shd w:val="clear" w:color="auto" w:fill="E5FFFF"/>
          </w:tcPr>
          <w:p>
            <w:pPr>
              <w:spacing w:after="0"/>
              <w:rPr>
                <w:sz w:val="15"/>
                <w:szCs w:val="15"/>
                <w:color w:val="auto"/>
              </w:rPr>
            </w:pPr>
          </w:p>
        </w:tc>
        <w:tc>
          <w:tcPr>
            <w:tcW w:w="740" w:type="dxa"/>
            <w:vAlign w:val="bottom"/>
            <w:tcBorders>
              <w:bottom w:val="single" w:sz="8" w:color="E5FFFF"/>
            </w:tcBorders>
            <w:shd w:val="clear" w:color="auto" w:fill="E5FFFF"/>
          </w:tcPr>
          <w:p>
            <w:pPr>
              <w:spacing w:after="0"/>
              <w:rPr>
                <w:sz w:val="15"/>
                <w:szCs w:val="15"/>
                <w:color w:val="auto"/>
              </w:rPr>
            </w:pPr>
          </w:p>
        </w:tc>
        <w:tc>
          <w:tcPr>
            <w:tcW w:w="200" w:type="dxa"/>
            <w:vAlign w:val="bottom"/>
            <w:tcBorders>
              <w:bottom w:val="single" w:sz="8" w:color="E5FFFF"/>
            </w:tcBorders>
            <w:shd w:val="clear" w:color="auto" w:fill="E5FFFF"/>
          </w:tcPr>
          <w:p>
            <w:pPr>
              <w:spacing w:after="0"/>
              <w:rPr>
                <w:sz w:val="15"/>
                <w:szCs w:val="15"/>
                <w:color w:val="auto"/>
              </w:rPr>
            </w:pPr>
          </w:p>
        </w:tc>
        <w:tc>
          <w:tcPr>
            <w:tcW w:w="140" w:type="dxa"/>
            <w:vAlign w:val="bottom"/>
            <w:tcBorders>
              <w:bottom w:val="single" w:sz="8" w:color="E5FFFF"/>
            </w:tcBorders>
            <w:shd w:val="clear" w:color="auto" w:fill="E5FFFF"/>
          </w:tcPr>
          <w:p>
            <w:pPr>
              <w:spacing w:after="0"/>
              <w:rPr>
                <w:sz w:val="15"/>
                <w:szCs w:val="15"/>
                <w:color w:val="auto"/>
              </w:rPr>
            </w:pPr>
          </w:p>
        </w:tc>
        <w:tc>
          <w:tcPr>
            <w:tcW w:w="760" w:type="dxa"/>
            <w:vAlign w:val="bottom"/>
            <w:tcBorders>
              <w:bottom w:val="single" w:sz="8" w:color="E5FFFF"/>
            </w:tcBorders>
            <w:shd w:val="clear" w:color="auto" w:fill="E5FFFF"/>
          </w:tcPr>
          <w:p>
            <w:pPr>
              <w:spacing w:after="0"/>
              <w:rPr>
                <w:sz w:val="15"/>
                <w:szCs w:val="15"/>
                <w:color w:val="auto"/>
              </w:rPr>
            </w:pPr>
          </w:p>
        </w:tc>
        <w:tc>
          <w:tcPr>
            <w:tcW w:w="220" w:type="dxa"/>
            <w:vAlign w:val="bottom"/>
            <w:tcBorders>
              <w:bottom w:val="single" w:sz="8" w:color="E5FFFF"/>
            </w:tcBorders>
            <w:shd w:val="clear" w:color="auto" w:fill="E5FFFF"/>
          </w:tcPr>
          <w:p>
            <w:pPr>
              <w:spacing w:after="0"/>
              <w:rPr>
                <w:sz w:val="15"/>
                <w:szCs w:val="15"/>
                <w:color w:val="auto"/>
              </w:rPr>
            </w:pPr>
          </w:p>
        </w:tc>
        <w:tc>
          <w:tcPr>
            <w:tcW w:w="940" w:type="dxa"/>
            <w:vAlign w:val="bottom"/>
            <w:tcBorders>
              <w:bottom w:val="single" w:sz="8" w:color="E5FFFF"/>
            </w:tcBorders>
            <w:shd w:val="clear" w:color="auto" w:fill="E5FF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820" w:type="dxa"/>
            <w:vAlign w:val="bottom"/>
            <w:gridSpan w:val="4"/>
          </w:tcPr>
          <w:p>
            <w:pPr>
              <w:ind w:left="180"/>
              <w:spacing w:after="0" w:line="202" w:lineRule="exact"/>
              <w:rPr>
                <w:sz w:val="20"/>
                <w:szCs w:val="20"/>
                <w:color w:val="auto"/>
              </w:rPr>
            </w:pPr>
            <w:r>
              <w:rPr>
                <w:rFonts w:ascii="Arial" w:cs="Arial" w:eastAsia="Arial" w:hAnsi="Arial"/>
                <w:sz w:val="18"/>
                <w:szCs w:val="18"/>
                <w:color w:val="auto"/>
              </w:rPr>
              <w:t>UOP</w:t>
            </w:r>
          </w:p>
        </w:tc>
        <w:tc>
          <w:tcPr>
            <w:tcW w:w="18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678</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641</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6%</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ind w:right="32"/>
              <w:spacing w:after="0" w:line="202" w:lineRule="exact"/>
              <w:rPr>
                <w:sz w:val="20"/>
                <w:szCs w:val="20"/>
                <w:color w:val="auto"/>
              </w:rPr>
            </w:pPr>
            <w:r>
              <w:rPr>
                <w:rFonts w:ascii="Arial" w:cs="Arial" w:eastAsia="Arial" w:hAnsi="Arial"/>
                <w:sz w:val="18"/>
                <w:szCs w:val="18"/>
                <w:color w:val="auto"/>
              </w:rPr>
              <w:t>1,290</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1,218</w:t>
            </w:r>
          </w:p>
        </w:tc>
        <w:tc>
          <w:tcPr>
            <w:tcW w:w="22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3"/>
        </w:trPr>
        <w:tc>
          <w:tcPr>
            <w:tcW w:w="4820" w:type="dxa"/>
            <w:vAlign w:val="bottom"/>
            <w:gridSpan w:val="4"/>
            <w:shd w:val="clear" w:color="auto" w:fill="E5FFFF"/>
          </w:tcPr>
          <w:p>
            <w:pPr>
              <w:ind w:left="180"/>
              <w:spacing w:after="0" w:line="202" w:lineRule="exact"/>
              <w:rPr>
                <w:sz w:val="20"/>
                <w:szCs w:val="20"/>
                <w:color w:val="auto"/>
              </w:rPr>
            </w:pPr>
            <w:r>
              <w:rPr>
                <w:rFonts w:ascii="Arial" w:cs="Arial" w:eastAsia="Arial" w:hAnsi="Arial"/>
                <w:sz w:val="18"/>
                <w:szCs w:val="18"/>
                <w:color w:val="auto"/>
              </w:rPr>
              <w:t>Process Solutions</w:t>
            </w:r>
          </w:p>
        </w:tc>
        <w:tc>
          <w:tcPr>
            <w:tcW w:w="180" w:type="dxa"/>
            <w:vAlign w:val="bottom"/>
            <w:shd w:val="clear" w:color="auto" w:fill="E5FFFF"/>
          </w:tcPr>
          <w:p>
            <w:pPr>
              <w:spacing w:after="0"/>
              <w:rPr>
                <w:sz w:val="17"/>
                <w:szCs w:val="17"/>
                <w:color w:val="auto"/>
              </w:rPr>
            </w:pPr>
          </w:p>
        </w:tc>
        <w:tc>
          <w:tcPr>
            <w:tcW w:w="68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1,273</w:t>
            </w:r>
          </w:p>
        </w:tc>
        <w:tc>
          <w:tcPr>
            <w:tcW w:w="6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780" w:type="dxa"/>
            <w:vAlign w:val="bottom"/>
            <w:shd w:val="clear" w:color="auto" w:fill="E5FFFF"/>
          </w:tcPr>
          <w:p>
            <w:pPr>
              <w:jc w:val="right"/>
              <w:ind w:right="13"/>
              <w:spacing w:after="0" w:line="202" w:lineRule="exact"/>
              <w:rPr>
                <w:sz w:val="20"/>
                <w:szCs w:val="20"/>
                <w:color w:val="auto"/>
              </w:rPr>
            </w:pPr>
            <w:r>
              <w:rPr>
                <w:rFonts w:ascii="Arial" w:cs="Arial" w:eastAsia="Arial" w:hAnsi="Arial"/>
                <w:sz w:val="18"/>
                <w:szCs w:val="18"/>
                <w:color w:val="auto"/>
              </w:rPr>
              <w:t>1,189</w:t>
            </w:r>
          </w:p>
        </w:tc>
        <w:tc>
          <w:tcPr>
            <w:tcW w:w="22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82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7%</w:t>
            </w:r>
          </w:p>
        </w:tc>
        <w:tc>
          <w:tcPr>
            <w:tcW w:w="22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740" w:type="dxa"/>
            <w:vAlign w:val="bottom"/>
            <w:shd w:val="clear" w:color="auto" w:fill="E5FFFF"/>
          </w:tcPr>
          <w:p>
            <w:pPr>
              <w:jc w:val="right"/>
              <w:ind w:right="32"/>
              <w:spacing w:after="0" w:line="202" w:lineRule="exact"/>
              <w:rPr>
                <w:sz w:val="20"/>
                <w:szCs w:val="20"/>
                <w:color w:val="auto"/>
              </w:rPr>
            </w:pPr>
            <w:r>
              <w:rPr>
                <w:rFonts w:ascii="Arial" w:cs="Arial" w:eastAsia="Arial" w:hAnsi="Arial"/>
                <w:sz w:val="18"/>
                <w:szCs w:val="18"/>
                <w:color w:val="auto"/>
              </w:rPr>
              <w:t>2,487</w:t>
            </w:r>
          </w:p>
        </w:tc>
        <w:tc>
          <w:tcPr>
            <w:tcW w:w="200" w:type="dxa"/>
            <w:vAlign w:val="bottom"/>
            <w:shd w:val="clear" w:color="auto" w:fill="E5FFFF"/>
          </w:tcPr>
          <w:p>
            <w:pPr>
              <w:spacing w:after="0"/>
              <w:rPr>
                <w:sz w:val="17"/>
                <w:szCs w:val="17"/>
                <w:color w:val="auto"/>
              </w:rPr>
            </w:pPr>
          </w:p>
        </w:tc>
        <w:tc>
          <w:tcPr>
            <w:tcW w:w="140" w:type="dxa"/>
            <w:vAlign w:val="bottom"/>
            <w:shd w:val="clear" w:color="auto" w:fill="E5FFFF"/>
          </w:tcPr>
          <w:p>
            <w:pPr>
              <w:spacing w:after="0"/>
              <w:rPr>
                <w:sz w:val="17"/>
                <w:szCs w:val="17"/>
                <w:color w:val="auto"/>
              </w:rPr>
            </w:pPr>
          </w:p>
        </w:tc>
        <w:tc>
          <w:tcPr>
            <w:tcW w:w="760" w:type="dxa"/>
            <w:vAlign w:val="bottom"/>
            <w:shd w:val="clear" w:color="auto" w:fill="E5FFFF"/>
          </w:tcPr>
          <w:p>
            <w:pPr>
              <w:jc w:val="right"/>
              <w:ind w:right="13"/>
              <w:spacing w:after="0" w:line="202" w:lineRule="exact"/>
              <w:rPr>
                <w:sz w:val="20"/>
                <w:szCs w:val="20"/>
                <w:color w:val="auto"/>
              </w:rPr>
            </w:pPr>
            <w:r>
              <w:rPr>
                <w:rFonts w:ascii="Arial" w:cs="Arial" w:eastAsia="Arial" w:hAnsi="Arial"/>
                <w:sz w:val="18"/>
                <w:szCs w:val="18"/>
                <w:color w:val="auto"/>
              </w:rPr>
              <w:t>2,298</w:t>
            </w:r>
          </w:p>
        </w:tc>
        <w:tc>
          <w:tcPr>
            <w:tcW w:w="220" w:type="dxa"/>
            <w:vAlign w:val="bottom"/>
            <w:shd w:val="clear" w:color="auto" w:fill="E5FFFF"/>
          </w:tcPr>
          <w:p>
            <w:pPr>
              <w:spacing w:after="0"/>
              <w:rPr>
                <w:sz w:val="17"/>
                <w:szCs w:val="17"/>
                <w:color w:val="auto"/>
              </w:rPr>
            </w:pPr>
          </w:p>
        </w:tc>
        <w:tc>
          <w:tcPr>
            <w:tcW w:w="94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4820" w:type="dxa"/>
            <w:vAlign w:val="bottom"/>
            <w:tcBorders>
              <w:bottom w:val="single" w:sz="8" w:color="E5FFFF"/>
            </w:tcBorders>
            <w:gridSpan w:val="4"/>
          </w:tcPr>
          <w:p>
            <w:pPr>
              <w:ind w:left="180"/>
              <w:spacing w:after="0"/>
              <w:rPr>
                <w:sz w:val="20"/>
                <w:szCs w:val="20"/>
                <w:color w:val="auto"/>
              </w:rPr>
            </w:pPr>
            <w:r>
              <w:rPr>
                <w:rFonts w:ascii="Arial" w:cs="Arial" w:eastAsia="Arial" w:hAnsi="Arial"/>
                <w:sz w:val="18"/>
                <w:szCs w:val="18"/>
                <w:color w:val="auto"/>
              </w:rPr>
              <w:t>Advanced Materials</w:t>
            </w: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747</w:t>
            </w:r>
          </w:p>
        </w:tc>
        <w:tc>
          <w:tcPr>
            <w:tcW w:w="60" w:type="dxa"/>
            <w:vAlign w:val="bottom"/>
            <w:tcBorders>
              <w:bottom w:val="single" w:sz="8" w:color="auto"/>
            </w:tcBorders>
          </w:tcPr>
          <w:p>
            <w:pPr>
              <w:spacing w:after="0"/>
              <w:rPr>
                <w:sz w:val="18"/>
                <w:szCs w:val="18"/>
                <w:color w:val="auto"/>
              </w:rPr>
            </w:pPr>
          </w:p>
        </w:tc>
        <w:tc>
          <w:tcPr>
            <w:tcW w:w="240" w:type="dxa"/>
            <w:vAlign w:val="bottom"/>
            <w:tcBorders>
              <w:bottom w:val="single" w:sz="8" w:color="E5FF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731</w:t>
            </w:r>
          </w:p>
        </w:tc>
        <w:tc>
          <w:tcPr>
            <w:tcW w:w="220" w:type="dxa"/>
            <w:vAlign w:val="bottom"/>
            <w:tcBorders>
              <w:bottom w:val="single" w:sz="8" w:color="E5FFFF"/>
            </w:tcBorders>
          </w:tcPr>
          <w:p>
            <w:pPr>
              <w:spacing w:after="0"/>
              <w:rPr>
                <w:sz w:val="18"/>
                <w:szCs w:val="18"/>
                <w:color w:val="auto"/>
              </w:rPr>
            </w:pPr>
          </w:p>
        </w:tc>
        <w:tc>
          <w:tcPr>
            <w:tcW w:w="120" w:type="dxa"/>
            <w:vAlign w:val="bottom"/>
            <w:tcBorders>
              <w:bottom w:val="single" w:sz="8" w:color="E5FFFF"/>
            </w:tcBorders>
          </w:tcPr>
          <w:p>
            <w:pPr>
              <w:spacing w:after="0"/>
              <w:rPr>
                <w:sz w:val="18"/>
                <w:szCs w:val="18"/>
                <w:color w:val="auto"/>
              </w:rPr>
            </w:pPr>
          </w:p>
        </w:tc>
        <w:tc>
          <w:tcPr>
            <w:tcW w:w="820" w:type="dxa"/>
            <w:vAlign w:val="bottom"/>
            <w:tcBorders>
              <w:bottom w:val="single" w:sz="8" w:color="E5FFFF"/>
            </w:tcBorders>
          </w:tcPr>
          <w:p>
            <w:pPr>
              <w:jc w:val="right"/>
              <w:spacing w:after="0"/>
              <w:rPr>
                <w:sz w:val="20"/>
                <w:szCs w:val="20"/>
                <w:color w:val="auto"/>
              </w:rPr>
            </w:pPr>
            <w:r>
              <w:rPr>
                <w:rFonts w:ascii="Arial" w:cs="Arial" w:eastAsia="Arial" w:hAnsi="Arial"/>
                <w:sz w:val="18"/>
                <w:szCs w:val="18"/>
                <w:color w:val="auto"/>
              </w:rPr>
              <w:t>2%</w:t>
            </w:r>
          </w:p>
        </w:tc>
        <w:tc>
          <w:tcPr>
            <w:tcW w:w="220" w:type="dxa"/>
            <w:vAlign w:val="bottom"/>
            <w:tcBorders>
              <w:bottom w:val="single" w:sz="8" w:color="E5FF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1,455</w:t>
            </w:r>
          </w:p>
        </w:tc>
        <w:tc>
          <w:tcPr>
            <w:tcW w:w="200" w:type="dxa"/>
            <w:vAlign w:val="bottom"/>
            <w:tcBorders>
              <w:bottom w:val="single" w:sz="8" w:color="E5FF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1,398</w:t>
            </w:r>
          </w:p>
        </w:tc>
        <w:tc>
          <w:tcPr>
            <w:tcW w:w="220" w:type="dxa"/>
            <w:vAlign w:val="bottom"/>
            <w:tcBorders>
              <w:bottom w:val="single" w:sz="8" w:color="E5FFFF"/>
            </w:tcBorders>
          </w:tcPr>
          <w:p>
            <w:pPr>
              <w:spacing w:after="0"/>
              <w:rPr>
                <w:sz w:val="18"/>
                <w:szCs w:val="18"/>
                <w:color w:val="auto"/>
              </w:rPr>
            </w:pPr>
          </w:p>
        </w:tc>
        <w:tc>
          <w:tcPr>
            <w:tcW w:w="940" w:type="dxa"/>
            <w:vAlign w:val="bottom"/>
            <w:tcBorders>
              <w:bottom w:val="single" w:sz="8" w:color="E5FFFF"/>
            </w:tcBorders>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4820" w:type="dxa"/>
            <w:vAlign w:val="bottom"/>
            <w:gridSpan w:val="4"/>
            <w:shd w:val="clear" w:color="auto" w:fill="E5FFFF"/>
          </w:tcPr>
          <w:p>
            <w:pPr>
              <w:ind w:left="360"/>
              <w:spacing w:after="0" w:line="196" w:lineRule="exact"/>
              <w:rPr>
                <w:sz w:val="20"/>
                <w:szCs w:val="20"/>
                <w:color w:val="auto"/>
              </w:rPr>
            </w:pPr>
            <w:r>
              <w:rPr>
                <w:rFonts w:ascii="Arial" w:cs="Arial" w:eastAsia="Arial" w:hAnsi="Arial"/>
                <w:sz w:val="18"/>
                <w:szCs w:val="18"/>
                <w:color w:val="auto"/>
              </w:rPr>
              <w:t>Total Performance Materials and Technologies sales</w:t>
            </w:r>
          </w:p>
        </w:tc>
        <w:tc>
          <w:tcPr>
            <w:tcW w:w="180" w:type="dxa"/>
            <w:vAlign w:val="bottom"/>
            <w:shd w:val="clear" w:color="auto" w:fill="E5FFFF"/>
          </w:tcPr>
          <w:p>
            <w:pPr>
              <w:spacing w:after="0"/>
              <w:rPr>
                <w:sz w:val="17"/>
                <w:szCs w:val="17"/>
                <w:color w:val="auto"/>
              </w:rPr>
            </w:pPr>
          </w:p>
        </w:tc>
        <w:tc>
          <w:tcPr>
            <w:tcW w:w="680" w:type="dxa"/>
            <w:vAlign w:val="bottom"/>
            <w:shd w:val="clear" w:color="auto" w:fill="E5FFFF"/>
          </w:tcPr>
          <w:p>
            <w:pPr>
              <w:jc w:val="right"/>
              <w:spacing w:after="0" w:line="196" w:lineRule="exact"/>
              <w:rPr>
                <w:sz w:val="20"/>
                <w:szCs w:val="20"/>
                <w:color w:val="auto"/>
              </w:rPr>
            </w:pPr>
            <w:r>
              <w:rPr>
                <w:rFonts w:ascii="Arial" w:cs="Arial" w:eastAsia="Arial" w:hAnsi="Arial"/>
                <w:sz w:val="18"/>
                <w:szCs w:val="18"/>
                <w:color w:val="auto"/>
              </w:rPr>
              <w:t>2,698</w:t>
            </w:r>
          </w:p>
        </w:tc>
        <w:tc>
          <w:tcPr>
            <w:tcW w:w="6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780" w:type="dxa"/>
            <w:vAlign w:val="bottom"/>
            <w:shd w:val="clear" w:color="auto" w:fill="E5FFFF"/>
          </w:tcPr>
          <w:p>
            <w:pPr>
              <w:jc w:val="right"/>
              <w:ind w:right="13"/>
              <w:spacing w:after="0" w:line="196" w:lineRule="exact"/>
              <w:rPr>
                <w:sz w:val="20"/>
                <w:szCs w:val="20"/>
                <w:color w:val="auto"/>
              </w:rPr>
            </w:pPr>
            <w:r>
              <w:rPr>
                <w:rFonts w:ascii="Arial" w:cs="Arial" w:eastAsia="Arial" w:hAnsi="Arial"/>
                <w:sz w:val="18"/>
                <w:szCs w:val="18"/>
                <w:color w:val="auto"/>
              </w:rPr>
              <w:t>2,561</w:t>
            </w:r>
          </w:p>
        </w:tc>
        <w:tc>
          <w:tcPr>
            <w:tcW w:w="22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82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740" w:type="dxa"/>
            <w:vAlign w:val="bottom"/>
            <w:shd w:val="clear" w:color="auto" w:fill="E5FFFF"/>
          </w:tcPr>
          <w:p>
            <w:pPr>
              <w:jc w:val="right"/>
              <w:ind w:right="32"/>
              <w:spacing w:after="0" w:line="196" w:lineRule="exact"/>
              <w:rPr>
                <w:sz w:val="20"/>
                <w:szCs w:val="20"/>
                <w:color w:val="auto"/>
              </w:rPr>
            </w:pPr>
            <w:r>
              <w:rPr>
                <w:rFonts w:ascii="Arial" w:cs="Arial" w:eastAsia="Arial" w:hAnsi="Arial"/>
                <w:sz w:val="18"/>
                <w:szCs w:val="18"/>
                <w:color w:val="auto"/>
              </w:rPr>
              <w:t>5,232</w:t>
            </w:r>
          </w:p>
        </w:tc>
        <w:tc>
          <w:tcPr>
            <w:tcW w:w="200" w:type="dxa"/>
            <w:vAlign w:val="bottom"/>
            <w:shd w:val="clear" w:color="auto" w:fill="E5FFFF"/>
          </w:tcPr>
          <w:p>
            <w:pPr>
              <w:spacing w:after="0"/>
              <w:rPr>
                <w:sz w:val="17"/>
                <w:szCs w:val="17"/>
                <w:color w:val="auto"/>
              </w:rPr>
            </w:pPr>
          </w:p>
        </w:tc>
        <w:tc>
          <w:tcPr>
            <w:tcW w:w="140" w:type="dxa"/>
            <w:vAlign w:val="bottom"/>
            <w:shd w:val="clear" w:color="auto" w:fill="E5FFFF"/>
          </w:tcPr>
          <w:p>
            <w:pPr>
              <w:spacing w:after="0"/>
              <w:rPr>
                <w:sz w:val="17"/>
                <w:szCs w:val="17"/>
                <w:color w:val="auto"/>
              </w:rPr>
            </w:pPr>
          </w:p>
        </w:tc>
        <w:tc>
          <w:tcPr>
            <w:tcW w:w="760" w:type="dxa"/>
            <w:vAlign w:val="bottom"/>
            <w:shd w:val="clear" w:color="auto" w:fill="E5FFFF"/>
          </w:tcPr>
          <w:p>
            <w:pPr>
              <w:jc w:val="right"/>
              <w:ind w:right="13"/>
              <w:spacing w:after="0" w:line="196" w:lineRule="exact"/>
              <w:rPr>
                <w:sz w:val="20"/>
                <w:szCs w:val="20"/>
                <w:color w:val="auto"/>
              </w:rPr>
            </w:pPr>
            <w:r>
              <w:rPr>
                <w:rFonts w:ascii="Arial" w:cs="Arial" w:eastAsia="Arial" w:hAnsi="Arial"/>
                <w:sz w:val="18"/>
                <w:szCs w:val="18"/>
                <w:color w:val="auto"/>
              </w:rPr>
              <w:t>4,914</w:t>
            </w:r>
          </w:p>
        </w:tc>
        <w:tc>
          <w:tcPr>
            <w:tcW w:w="220" w:type="dxa"/>
            <w:vAlign w:val="bottom"/>
            <w:shd w:val="clear" w:color="auto" w:fill="E5FFFF"/>
          </w:tcPr>
          <w:p>
            <w:pPr>
              <w:spacing w:after="0"/>
              <w:rPr>
                <w:sz w:val="17"/>
                <w:szCs w:val="17"/>
                <w:color w:val="auto"/>
              </w:rPr>
            </w:pPr>
          </w:p>
        </w:tc>
        <w:tc>
          <w:tcPr>
            <w:tcW w:w="94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4820" w:type="dxa"/>
            <w:vAlign w:val="bottom"/>
            <w:gridSpan w:val="4"/>
          </w:tcPr>
          <w:p>
            <w:pPr>
              <w:spacing w:after="0" w:line="176" w:lineRule="exact"/>
              <w:rPr>
                <w:sz w:val="20"/>
                <w:szCs w:val="20"/>
                <w:color w:val="auto"/>
              </w:rPr>
            </w:pPr>
            <w:r>
              <w:rPr>
                <w:rFonts w:ascii="Arial" w:cs="Arial" w:eastAsia="Arial" w:hAnsi="Arial"/>
                <w:sz w:val="18"/>
                <w:szCs w:val="18"/>
                <w:color w:val="auto"/>
              </w:rPr>
              <w:t>Safety and Productivity Solutions sales</w:t>
            </w: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100" w:type="dxa"/>
            <w:vAlign w:val="bottom"/>
            <w:tcBorders>
              <w:top w:val="single" w:sz="8" w:color="auto"/>
            </w:tcBorders>
            <w:gridSpan w:val="2"/>
            <w:shd w:val="clear" w:color="auto" w:fill="E5FFFF"/>
          </w:tcPr>
          <w:p>
            <w:pPr>
              <w:ind w:left="180"/>
              <w:spacing w:after="0" w:line="202" w:lineRule="exact"/>
              <w:rPr>
                <w:sz w:val="20"/>
                <w:szCs w:val="20"/>
                <w:color w:val="auto"/>
              </w:rPr>
            </w:pPr>
            <w:r>
              <w:rPr>
                <w:rFonts w:ascii="Arial" w:cs="Arial" w:eastAsia="Arial" w:hAnsi="Arial"/>
                <w:sz w:val="18"/>
                <w:szCs w:val="18"/>
                <w:color w:val="auto"/>
              </w:rPr>
              <w:t>Safety</w:t>
            </w:r>
          </w:p>
        </w:tc>
        <w:tc>
          <w:tcPr>
            <w:tcW w:w="1720" w:type="dxa"/>
            <w:vAlign w:val="bottom"/>
            <w:gridSpan w:val="2"/>
            <w:shd w:val="clear" w:color="auto" w:fill="E5FFFF"/>
          </w:tcPr>
          <w:p>
            <w:pPr>
              <w:spacing w:after="0"/>
              <w:rPr>
                <w:sz w:val="17"/>
                <w:szCs w:val="17"/>
                <w:color w:val="auto"/>
              </w:rPr>
            </w:pPr>
          </w:p>
        </w:tc>
        <w:tc>
          <w:tcPr>
            <w:tcW w:w="180" w:type="dxa"/>
            <w:vAlign w:val="bottom"/>
            <w:shd w:val="clear" w:color="auto" w:fill="E5FFFF"/>
          </w:tcPr>
          <w:p>
            <w:pPr>
              <w:spacing w:after="0"/>
              <w:rPr>
                <w:sz w:val="17"/>
                <w:szCs w:val="17"/>
                <w:color w:val="auto"/>
              </w:rPr>
            </w:pPr>
          </w:p>
        </w:tc>
        <w:tc>
          <w:tcPr>
            <w:tcW w:w="68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565</w:t>
            </w:r>
          </w:p>
        </w:tc>
        <w:tc>
          <w:tcPr>
            <w:tcW w:w="6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780" w:type="dxa"/>
            <w:vAlign w:val="bottom"/>
            <w:shd w:val="clear" w:color="auto" w:fill="E5FFFF"/>
          </w:tcPr>
          <w:p>
            <w:pPr>
              <w:jc w:val="right"/>
              <w:ind w:right="13"/>
              <w:spacing w:after="0" w:line="202" w:lineRule="exact"/>
              <w:rPr>
                <w:sz w:val="20"/>
                <w:szCs w:val="20"/>
                <w:color w:val="auto"/>
              </w:rPr>
            </w:pPr>
            <w:r>
              <w:rPr>
                <w:rFonts w:ascii="Arial" w:cs="Arial" w:eastAsia="Arial" w:hAnsi="Arial"/>
                <w:sz w:val="18"/>
                <w:szCs w:val="18"/>
                <w:color w:val="auto"/>
              </w:rPr>
              <w:t>529</w:t>
            </w:r>
          </w:p>
        </w:tc>
        <w:tc>
          <w:tcPr>
            <w:tcW w:w="22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82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7%</w:t>
            </w:r>
          </w:p>
        </w:tc>
        <w:tc>
          <w:tcPr>
            <w:tcW w:w="22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740" w:type="dxa"/>
            <w:vAlign w:val="bottom"/>
            <w:shd w:val="clear" w:color="auto" w:fill="E5FFFF"/>
          </w:tcPr>
          <w:p>
            <w:pPr>
              <w:jc w:val="right"/>
              <w:ind w:right="32"/>
              <w:spacing w:after="0" w:line="202" w:lineRule="exact"/>
              <w:rPr>
                <w:sz w:val="20"/>
                <w:szCs w:val="20"/>
                <w:color w:val="auto"/>
              </w:rPr>
            </w:pPr>
            <w:r>
              <w:rPr>
                <w:rFonts w:ascii="Arial" w:cs="Arial" w:eastAsia="Arial" w:hAnsi="Arial"/>
                <w:sz w:val="18"/>
                <w:szCs w:val="18"/>
                <w:color w:val="auto"/>
              </w:rPr>
              <w:t>1,116</w:t>
            </w:r>
          </w:p>
        </w:tc>
        <w:tc>
          <w:tcPr>
            <w:tcW w:w="200" w:type="dxa"/>
            <w:vAlign w:val="bottom"/>
            <w:shd w:val="clear" w:color="auto" w:fill="E5FFFF"/>
          </w:tcPr>
          <w:p>
            <w:pPr>
              <w:spacing w:after="0"/>
              <w:rPr>
                <w:sz w:val="17"/>
                <w:szCs w:val="17"/>
                <w:color w:val="auto"/>
              </w:rPr>
            </w:pPr>
          </w:p>
        </w:tc>
        <w:tc>
          <w:tcPr>
            <w:tcW w:w="140" w:type="dxa"/>
            <w:vAlign w:val="bottom"/>
            <w:shd w:val="clear" w:color="auto" w:fill="E5FFFF"/>
          </w:tcPr>
          <w:p>
            <w:pPr>
              <w:spacing w:after="0"/>
              <w:rPr>
                <w:sz w:val="17"/>
                <w:szCs w:val="17"/>
                <w:color w:val="auto"/>
              </w:rPr>
            </w:pPr>
          </w:p>
        </w:tc>
        <w:tc>
          <w:tcPr>
            <w:tcW w:w="760" w:type="dxa"/>
            <w:vAlign w:val="bottom"/>
            <w:shd w:val="clear" w:color="auto" w:fill="E5FFFF"/>
          </w:tcPr>
          <w:p>
            <w:pPr>
              <w:jc w:val="right"/>
              <w:ind w:right="13"/>
              <w:spacing w:after="0" w:line="202" w:lineRule="exact"/>
              <w:rPr>
                <w:sz w:val="20"/>
                <w:szCs w:val="20"/>
                <w:color w:val="auto"/>
              </w:rPr>
            </w:pPr>
            <w:r>
              <w:rPr>
                <w:rFonts w:ascii="Arial" w:cs="Arial" w:eastAsia="Arial" w:hAnsi="Arial"/>
                <w:sz w:val="18"/>
                <w:szCs w:val="18"/>
                <w:color w:val="auto"/>
              </w:rPr>
              <w:t>1,050</w:t>
            </w:r>
          </w:p>
        </w:tc>
        <w:tc>
          <w:tcPr>
            <w:tcW w:w="220" w:type="dxa"/>
            <w:vAlign w:val="bottom"/>
            <w:shd w:val="clear" w:color="auto" w:fill="E5FFFF"/>
          </w:tcPr>
          <w:p>
            <w:pPr>
              <w:spacing w:after="0"/>
              <w:rPr>
                <w:sz w:val="17"/>
                <w:szCs w:val="17"/>
                <w:color w:val="auto"/>
              </w:rPr>
            </w:pPr>
          </w:p>
        </w:tc>
        <w:tc>
          <w:tcPr>
            <w:tcW w:w="94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4820" w:type="dxa"/>
            <w:vAlign w:val="bottom"/>
            <w:tcBorders>
              <w:bottom w:val="single" w:sz="8" w:color="E5FFFF"/>
            </w:tcBorders>
            <w:gridSpan w:val="4"/>
          </w:tcPr>
          <w:p>
            <w:pPr>
              <w:ind w:left="180"/>
              <w:spacing w:after="0"/>
              <w:rPr>
                <w:sz w:val="20"/>
                <w:szCs w:val="20"/>
                <w:color w:val="auto"/>
              </w:rPr>
            </w:pPr>
            <w:r>
              <w:rPr>
                <w:rFonts w:ascii="Arial" w:cs="Arial" w:eastAsia="Arial" w:hAnsi="Arial"/>
                <w:sz w:val="18"/>
                <w:szCs w:val="18"/>
                <w:color w:val="auto"/>
              </w:rPr>
              <w:t>Productivity Solutions</w:t>
            </w: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1,052</w:t>
            </w:r>
          </w:p>
        </w:tc>
        <w:tc>
          <w:tcPr>
            <w:tcW w:w="60" w:type="dxa"/>
            <w:vAlign w:val="bottom"/>
            <w:tcBorders>
              <w:bottom w:val="single" w:sz="8" w:color="auto"/>
            </w:tcBorders>
          </w:tcPr>
          <w:p>
            <w:pPr>
              <w:spacing w:after="0"/>
              <w:rPr>
                <w:sz w:val="18"/>
                <w:szCs w:val="18"/>
                <w:color w:val="auto"/>
              </w:rPr>
            </w:pPr>
          </w:p>
        </w:tc>
        <w:tc>
          <w:tcPr>
            <w:tcW w:w="240" w:type="dxa"/>
            <w:vAlign w:val="bottom"/>
            <w:tcBorders>
              <w:bottom w:val="single" w:sz="8" w:color="E5FF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900</w:t>
            </w:r>
          </w:p>
        </w:tc>
        <w:tc>
          <w:tcPr>
            <w:tcW w:w="220" w:type="dxa"/>
            <w:vAlign w:val="bottom"/>
            <w:tcBorders>
              <w:bottom w:val="single" w:sz="8" w:color="E5FFFF"/>
            </w:tcBorders>
          </w:tcPr>
          <w:p>
            <w:pPr>
              <w:spacing w:after="0"/>
              <w:rPr>
                <w:sz w:val="18"/>
                <w:szCs w:val="18"/>
                <w:color w:val="auto"/>
              </w:rPr>
            </w:pPr>
          </w:p>
        </w:tc>
        <w:tc>
          <w:tcPr>
            <w:tcW w:w="120" w:type="dxa"/>
            <w:vAlign w:val="bottom"/>
            <w:tcBorders>
              <w:bottom w:val="single" w:sz="8" w:color="E5FFFF"/>
            </w:tcBorders>
          </w:tcPr>
          <w:p>
            <w:pPr>
              <w:spacing w:after="0"/>
              <w:rPr>
                <w:sz w:val="18"/>
                <w:szCs w:val="18"/>
                <w:color w:val="auto"/>
              </w:rPr>
            </w:pPr>
          </w:p>
        </w:tc>
        <w:tc>
          <w:tcPr>
            <w:tcW w:w="820" w:type="dxa"/>
            <w:vAlign w:val="bottom"/>
            <w:tcBorders>
              <w:bottom w:val="single" w:sz="8" w:color="E5FFFF"/>
            </w:tcBorders>
          </w:tcPr>
          <w:p>
            <w:pPr>
              <w:jc w:val="right"/>
              <w:spacing w:after="0"/>
              <w:rPr>
                <w:sz w:val="20"/>
                <w:szCs w:val="20"/>
                <w:color w:val="auto"/>
              </w:rPr>
            </w:pPr>
            <w:r>
              <w:rPr>
                <w:rFonts w:ascii="Arial" w:cs="Arial" w:eastAsia="Arial" w:hAnsi="Arial"/>
                <w:sz w:val="18"/>
                <w:szCs w:val="18"/>
                <w:color w:val="auto"/>
              </w:rPr>
              <w:t>17%</w:t>
            </w:r>
          </w:p>
        </w:tc>
        <w:tc>
          <w:tcPr>
            <w:tcW w:w="220" w:type="dxa"/>
            <w:vAlign w:val="bottom"/>
            <w:tcBorders>
              <w:bottom w:val="single" w:sz="8" w:color="E5FF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1,949</w:t>
            </w:r>
          </w:p>
        </w:tc>
        <w:tc>
          <w:tcPr>
            <w:tcW w:w="200" w:type="dxa"/>
            <w:vAlign w:val="bottom"/>
            <w:tcBorders>
              <w:bottom w:val="single" w:sz="8" w:color="E5FF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1,703</w:t>
            </w:r>
          </w:p>
        </w:tc>
        <w:tc>
          <w:tcPr>
            <w:tcW w:w="220" w:type="dxa"/>
            <w:vAlign w:val="bottom"/>
            <w:tcBorders>
              <w:bottom w:val="single" w:sz="8" w:color="E5FFFF"/>
            </w:tcBorders>
          </w:tcPr>
          <w:p>
            <w:pPr>
              <w:spacing w:after="0"/>
              <w:rPr>
                <w:sz w:val="18"/>
                <w:szCs w:val="18"/>
                <w:color w:val="auto"/>
              </w:rPr>
            </w:pPr>
          </w:p>
        </w:tc>
        <w:tc>
          <w:tcPr>
            <w:tcW w:w="940" w:type="dxa"/>
            <w:vAlign w:val="bottom"/>
            <w:tcBorders>
              <w:bottom w:val="single" w:sz="8" w:color="E5FFFF"/>
            </w:tcBorders>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196"/>
        </w:trPr>
        <w:tc>
          <w:tcPr>
            <w:tcW w:w="4820" w:type="dxa"/>
            <w:vAlign w:val="bottom"/>
            <w:gridSpan w:val="4"/>
            <w:shd w:val="clear" w:color="auto" w:fill="E5FFFF"/>
          </w:tcPr>
          <w:p>
            <w:pPr>
              <w:ind w:left="360"/>
              <w:spacing w:after="0" w:line="196" w:lineRule="exact"/>
              <w:rPr>
                <w:sz w:val="20"/>
                <w:szCs w:val="20"/>
                <w:color w:val="auto"/>
              </w:rPr>
            </w:pPr>
            <w:r>
              <w:rPr>
                <w:rFonts w:ascii="Arial" w:cs="Arial" w:eastAsia="Arial" w:hAnsi="Arial"/>
                <w:sz w:val="18"/>
                <w:szCs w:val="18"/>
                <w:color w:val="auto"/>
              </w:rPr>
              <w:t>Total Safety and Productivity Solutions sales</w:t>
            </w:r>
          </w:p>
        </w:tc>
        <w:tc>
          <w:tcPr>
            <w:tcW w:w="180" w:type="dxa"/>
            <w:vAlign w:val="bottom"/>
            <w:tcBorders>
              <w:bottom w:val="single" w:sz="8" w:color="auto"/>
            </w:tcBorders>
            <w:shd w:val="clear" w:color="auto" w:fill="E5FFFF"/>
          </w:tcPr>
          <w:p>
            <w:pPr>
              <w:spacing w:after="0"/>
              <w:rPr>
                <w:sz w:val="17"/>
                <w:szCs w:val="17"/>
                <w:color w:val="auto"/>
              </w:rPr>
            </w:pPr>
          </w:p>
        </w:tc>
        <w:tc>
          <w:tcPr>
            <w:tcW w:w="680" w:type="dxa"/>
            <w:vAlign w:val="bottom"/>
            <w:tcBorders>
              <w:bottom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1,617</w:t>
            </w:r>
          </w:p>
        </w:tc>
        <w:tc>
          <w:tcPr>
            <w:tcW w:w="60" w:type="dxa"/>
            <w:vAlign w:val="bottom"/>
            <w:tcBorders>
              <w:bottom w:val="single" w:sz="8" w:color="auto"/>
            </w:tcBorders>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120" w:type="dxa"/>
            <w:vAlign w:val="bottom"/>
            <w:tcBorders>
              <w:bottom w:val="single" w:sz="8" w:color="auto"/>
            </w:tcBorders>
            <w:shd w:val="clear" w:color="auto" w:fill="E5FFFF"/>
          </w:tcPr>
          <w:p>
            <w:pPr>
              <w:spacing w:after="0"/>
              <w:rPr>
                <w:sz w:val="17"/>
                <w:szCs w:val="17"/>
                <w:color w:val="auto"/>
              </w:rPr>
            </w:pPr>
          </w:p>
        </w:tc>
        <w:tc>
          <w:tcPr>
            <w:tcW w:w="780" w:type="dxa"/>
            <w:vAlign w:val="bottom"/>
            <w:tcBorders>
              <w:bottom w:val="single" w:sz="8" w:color="auto"/>
            </w:tcBorders>
            <w:shd w:val="clear" w:color="auto" w:fill="E5FFFF"/>
          </w:tcPr>
          <w:p>
            <w:pPr>
              <w:jc w:val="right"/>
              <w:ind w:right="13"/>
              <w:spacing w:after="0" w:line="196" w:lineRule="exact"/>
              <w:rPr>
                <w:sz w:val="20"/>
                <w:szCs w:val="20"/>
                <w:color w:val="auto"/>
              </w:rPr>
            </w:pPr>
            <w:r>
              <w:rPr>
                <w:rFonts w:ascii="Arial" w:cs="Arial" w:eastAsia="Arial" w:hAnsi="Arial"/>
                <w:sz w:val="18"/>
                <w:szCs w:val="18"/>
                <w:color w:val="auto"/>
              </w:rPr>
              <w:t>1,429</w:t>
            </w:r>
          </w:p>
        </w:tc>
        <w:tc>
          <w:tcPr>
            <w:tcW w:w="22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82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60" w:type="dxa"/>
            <w:vAlign w:val="bottom"/>
            <w:tcBorders>
              <w:bottom w:val="single" w:sz="8" w:color="auto"/>
            </w:tcBorders>
            <w:shd w:val="clear" w:color="auto" w:fill="E5FFFF"/>
          </w:tcPr>
          <w:p>
            <w:pPr>
              <w:spacing w:after="0"/>
              <w:rPr>
                <w:sz w:val="17"/>
                <w:szCs w:val="17"/>
                <w:color w:val="auto"/>
              </w:rPr>
            </w:pPr>
          </w:p>
        </w:tc>
        <w:tc>
          <w:tcPr>
            <w:tcW w:w="740" w:type="dxa"/>
            <w:vAlign w:val="bottom"/>
            <w:tcBorders>
              <w:bottom w:val="single" w:sz="8" w:color="auto"/>
            </w:tcBorders>
            <w:shd w:val="clear" w:color="auto" w:fill="E5FFFF"/>
          </w:tcPr>
          <w:p>
            <w:pPr>
              <w:jc w:val="right"/>
              <w:ind w:right="32"/>
              <w:spacing w:after="0" w:line="196" w:lineRule="exact"/>
              <w:rPr>
                <w:sz w:val="20"/>
                <w:szCs w:val="20"/>
                <w:color w:val="auto"/>
              </w:rPr>
            </w:pPr>
            <w:r>
              <w:rPr>
                <w:rFonts w:ascii="Arial" w:cs="Arial" w:eastAsia="Arial" w:hAnsi="Arial"/>
                <w:sz w:val="18"/>
                <w:szCs w:val="18"/>
                <w:color w:val="auto"/>
              </w:rPr>
              <w:t>3,065</w:t>
            </w:r>
          </w:p>
        </w:tc>
        <w:tc>
          <w:tcPr>
            <w:tcW w:w="200" w:type="dxa"/>
            <w:vAlign w:val="bottom"/>
            <w:shd w:val="clear" w:color="auto" w:fill="E5FFFF"/>
          </w:tcPr>
          <w:p>
            <w:pPr>
              <w:spacing w:after="0"/>
              <w:rPr>
                <w:sz w:val="17"/>
                <w:szCs w:val="17"/>
                <w:color w:val="auto"/>
              </w:rPr>
            </w:pPr>
          </w:p>
        </w:tc>
        <w:tc>
          <w:tcPr>
            <w:tcW w:w="140" w:type="dxa"/>
            <w:vAlign w:val="bottom"/>
            <w:tcBorders>
              <w:bottom w:val="single" w:sz="8" w:color="auto"/>
            </w:tcBorders>
            <w:shd w:val="clear" w:color="auto" w:fill="E5FFFF"/>
          </w:tcPr>
          <w:p>
            <w:pPr>
              <w:spacing w:after="0"/>
              <w:rPr>
                <w:sz w:val="17"/>
                <w:szCs w:val="17"/>
                <w:color w:val="auto"/>
              </w:rPr>
            </w:pPr>
          </w:p>
        </w:tc>
        <w:tc>
          <w:tcPr>
            <w:tcW w:w="760" w:type="dxa"/>
            <w:vAlign w:val="bottom"/>
            <w:tcBorders>
              <w:bottom w:val="single" w:sz="8" w:color="auto"/>
            </w:tcBorders>
            <w:shd w:val="clear" w:color="auto" w:fill="E5FFFF"/>
          </w:tcPr>
          <w:p>
            <w:pPr>
              <w:jc w:val="right"/>
              <w:ind w:right="13"/>
              <w:spacing w:after="0" w:line="196" w:lineRule="exact"/>
              <w:rPr>
                <w:sz w:val="20"/>
                <w:szCs w:val="20"/>
                <w:color w:val="auto"/>
              </w:rPr>
            </w:pPr>
            <w:r>
              <w:rPr>
                <w:rFonts w:ascii="Arial" w:cs="Arial" w:eastAsia="Arial" w:hAnsi="Arial"/>
                <w:sz w:val="18"/>
                <w:szCs w:val="18"/>
                <w:color w:val="auto"/>
              </w:rPr>
              <w:t>2,753</w:t>
            </w:r>
          </w:p>
        </w:tc>
        <w:tc>
          <w:tcPr>
            <w:tcW w:w="220" w:type="dxa"/>
            <w:vAlign w:val="bottom"/>
            <w:shd w:val="clear" w:color="auto" w:fill="E5FFFF"/>
          </w:tcPr>
          <w:p>
            <w:pPr>
              <w:spacing w:after="0"/>
              <w:rPr>
                <w:sz w:val="17"/>
                <w:szCs w:val="17"/>
                <w:color w:val="auto"/>
              </w:rPr>
            </w:pPr>
          </w:p>
        </w:tc>
        <w:tc>
          <w:tcPr>
            <w:tcW w:w="94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820" w:type="dxa"/>
            <w:vAlign w:val="bottom"/>
            <w:gridSpan w:val="4"/>
          </w:tcPr>
          <w:p>
            <w:pPr>
              <w:spacing w:after="0" w:line="197" w:lineRule="exact"/>
              <w:rPr>
                <w:sz w:val="20"/>
                <w:szCs w:val="20"/>
                <w:color w:val="auto"/>
              </w:rPr>
            </w:pPr>
            <w:r>
              <w:rPr>
                <w:rFonts w:ascii="Arial" w:cs="Arial" w:eastAsia="Arial" w:hAnsi="Arial"/>
                <w:sz w:val="18"/>
                <w:szCs w:val="18"/>
                <w:color w:val="auto"/>
              </w:rPr>
              <w:t>Net sales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10,919</w:t>
            </w:r>
          </w:p>
        </w:tc>
        <w:tc>
          <w:tcPr>
            <w:tcW w:w="4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10,078</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21,311</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3"/>
              <w:spacing w:after="0"/>
              <w:rPr>
                <w:sz w:val="20"/>
                <w:szCs w:val="20"/>
                <w:color w:val="auto"/>
              </w:rPr>
            </w:pPr>
            <w:r>
              <w:rPr>
                <w:rFonts w:ascii="Arial" w:cs="Arial" w:eastAsia="Arial" w:hAnsi="Arial"/>
                <w:sz w:val="18"/>
                <w:szCs w:val="18"/>
                <w:color w:val="auto"/>
              </w:rPr>
              <w:t>19,570</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2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Aerospace</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4820" w:type="dxa"/>
            <w:vAlign w:val="bottom"/>
            <w:gridSpan w:val="4"/>
            <w:vMerge w:val="continue"/>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13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540" w:type="dxa"/>
            <w:vAlign w:val="bottom"/>
            <w:gridSpan w:val="6"/>
          </w:tcPr>
          <w:p>
            <w:pPr>
              <w:jc w:val="center"/>
              <w:ind w:right="40"/>
              <w:spacing w:after="0"/>
              <w:rPr>
                <w:sz w:val="20"/>
                <w:szCs w:val="20"/>
                <w:color w:val="auto"/>
              </w:rPr>
            </w:pPr>
            <w:r>
              <w:rPr>
                <w:rFonts w:ascii="Arial" w:cs="Arial" w:eastAsia="Arial" w:hAnsi="Arial"/>
                <w:sz w:val="14"/>
                <w:szCs w:val="14"/>
                <w:b w:val="1"/>
                <w:bCs w:val="1"/>
                <w:color w:val="auto"/>
              </w:rPr>
              <w:t>Three Months Ended</w:t>
            </w: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320" w:type="dxa"/>
            <w:vAlign w:val="bottom"/>
            <w:gridSpan w:val="4"/>
          </w:tcPr>
          <w:p>
            <w:pPr>
              <w:jc w:val="center"/>
              <w:spacing w:after="0"/>
              <w:rPr>
                <w:sz w:val="20"/>
                <w:szCs w:val="20"/>
                <w:color w:val="auto"/>
              </w:rPr>
            </w:pPr>
            <w:r>
              <w:rPr>
                <w:rFonts w:ascii="Arial" w:cs="Arial" w:eastAsia="Arial" w:hAnsi="Arial"/>
                <w:sz w:val="14"/>
                <w:szCs w:val="14"/>
                <w:b w:val="1"/>
                <w:bCs w:val="1"/>
                <w:color w:val="auto"/>
              </w:rPr>
              <w:t>Six Months Ended</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134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3"/>
          </w:tcPr>
          <w:p>
            <w:pPr>
              <w:jc w:val="center"/>
              <w:ind w:right="460"/>
              <w:spacing w:after="0"/>
              <w:rPr>
                <w:sz w:val="20"/>
                <w:szCs w:val="20"/>
                <w:color w:val="auto"/>
              </w:rPr>
            </w:pPr>
            <w:r>
              <w:rPr>
                <w:rFonts w:ascii="Arial" w:cs="Arial" w:eastAsia="Arial" w:hAnsi="Arial"/>
                <w:sz w:val="14"/>
                <w:szCs w:val="14"/>
                <w:b w:val="1"/>
                <w:bCs w:val="1"/>
                <w:color w:val="auto"/>
              </w:rPr>
              <w:t>June 30,</w:t>
            </w:r>
          </w:p>
        </w:tc>
        <w:tc>
          <w:tcPr>
            <w:tcW w:w="82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9"/>
              </w:rPr>
              <w:t>June 30,</w:t>
            </w:r>
          </w:p>
        </w:tc>
        <w:tc>
          <w:tcPr>
            <w:tcW w:w="9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34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center"/>
              <w:ind w:right="74"/>
              <w:spacing w:after="0" w:line="143"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75"/>
        </w:trPr>
        <w:tc>
          <w:tcPr>
            <w:tcW w:w="134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jc w:val="right"/>
              <w:ind w:right="152"/>
              <w:spacing w:after="0"/>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center"/>
              <w:ind w:right="53"/>
              <w:spacing w:after="0"/>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Change</w:t>
            </w:r>
          </w:p>
        </w:tc>
        <w:tc>
          <w:tcPr>
            <w:tcW w:w="160" w:type="dxa"/>
            <w:vAlign w:val="bottom"/>
          </w:tcPr>
          <w:p>
            <w:pPr>
              <w:spacing w:after="0"/>
              <w:rPr>
                <w:sz w:val="15"/>
                <w:szCs w:val="15"/>
                <w:color w:val="auto"/>
              </w:rPr>
            </w:pPr>
          </w:p>
        </w:tc>
        <w:tc>
          <w:tcPr>
            <w:tcW w:w="740" w:type="dxa"/>
            <w:vAlign w:val="bottom"/>
          </w:tcPr>
          <w:p>
            <w:pPr>
              <w:jc w:val="right"/>
              <w:ind w:right="212"/>
              <w:spacing w:after="0"/>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ind w:right="193"/>
              <w:spacing w:after="0"/>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5"/>
                <w:szCs w:val="15"/>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96"/>
        </w:trPr>
        <w:tc>
          <w:tcPr>
            <w:tcW w:w="4820" w:type="dxa"/>
            <w:vAlign w:val="bottom"/>
            <w:tcBorders>
              <w:top w:val="single" w:sz="8" w:color="E5FFFF"/>
            </w:tcBorders>
            <w:gridSpan w:val="4"/>
            <w:shd w:val="clear" w:color="auto" w:fill="E5FFFF"/>
          </w:tcPr>
          <w:p>
            <w:pPr>
              <w:spacing w:after="0" w:line="196" w:lineRule="exact"/>
              <w:rPr>
                <w:sz w:val="20"/>
                <w:szCs w:val="20"/>
                <w:color w:val="auto"/>
              </w:rPr>
            </w:pPr>
            <w:r>
              <w:rPr>
                <w:rFonts w:ascii="Arial" w:cs="Arial" w:eastAsia="Arial" w:hAnsi="Arial"/>
                <w:sz w:val="18"/>
                <w:szCs w:val="18"/>
                <w:color w:val="auto"/>
              </w:rPr>
              <w:t>Net sales</w:t>
            </w:r>
          </w:p>
        </w:tc>
        <w:tc>
          <w:tcPr>
            <w:tcW w:w="180" w:type="dxa"/>
            <w:vAlign w:val="bottom"/>
            <w:tcBorders>
              <w:top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4,058</w:t>
            </w:r>
          </w:p>
        </w:tc>
        <w:tc>
          <w:tcPr>
            <w:tcW w:w="60" w:type="dxa"/>
            <w:vAlign w:val="bottom"/>
            <w:tcBorders>
              <w:top w:val="single" w:sz="8" w:color="auto"/>
            </w:tcBorders>
            <w:shd w:val="clear" w:color="auto" w:fill="E5FFFF"/>
          </w:tcPr>
          <w:p>
            <w:pPr>
              <w:spacing w:after="0"/>
              <w:rPr>
                <w:sz w:val="17"/>
                <w:szCs w:val="17"/>
                <w:color w:val="auto"/>
              </w:rPr>
            </w:pPr>
          </w:p>
        </w:tc>
        <w:tc>
          <w:tcPr>
            <w:tcW w:w="240" w:type="dxa"/>
            <w:vAlign w:val="bottom"/>
            <w:tcBorders>
              <w:top w:val="single" w:sz="8" w:color="E5FFFF"/>
            </w:tcBorders>
            <w:shd w:val="clear" w:color="auto" w:fill="E5FFFF"/>
          </w:tcPr>
          <w:p>
            <w:pPr>
              <w:spacing w:after="0"/>
              <w:rPr>
                <w:sz w:val="17"/>
                <w:szCs w:val="17"/>
                <w:color w:val="auto"/>
              </w:rPr>
            </w:pPr>
          </w:p>
        </w:tc>
        <w:tc>
          <w:tcPr>
            <w:tcW w:w="120" w:type="dxa"/>
            <w:vAlign w:val="bottom"/>
            <w:tcBorders>
              <w:top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E5FFFF"/>
          </w:tcPr>
          <w:p>
            <w:pPr>
              <w:jc w:val="right"/>
              <w:ind w:right="13"/>
              <w:spacing w:after="0" w:line="196" w:lineRule="exact"/>
              <w:rPr>
                <w:sz w:val="20"/>
                <w:szCs w:val="20"/>
                <w:color w:val="auto"/>
              </w:rPr>
            </w:pPr>
            <w:r>
              <w:rPr>
                <w:rFonts w:ascii="Arial" w:cs="Arial" w:eastAsia="Arial" w:hAnsi="Arial"/>
                <w:sz w:val="18"/>
                <w:szCs w:val="18"/>
                <w:color w:val="auto"/>
              </w:rPr>
              <w:t>3,674</w:t>
            </w:r>
          </w:p>
        </w:tc>
        <w:tc>
          <w:tcPr>
            <w:tcW w:w="220" w:type="dxa"/>
            <w:vAlign w:val="bottom"/>
            <w:tcBorders>
              <w:top w:val="single" w:sz="8" w:color="E5FFFF"/>
            </w:tcBorders>
            <w:shd w:val="clear" w:color="auto" w:fill="E5FFFF"/>
          </w:tcPr>
          <w:p>
            <w:pPr>
              <w:spacing w:after="0"/>
              <w:rPr>
                <w:sz w:val="17"/>
                <w:szCs w:val="17"/>
                <w:color w:val="auto"/>
              </w:rPr>
            </w:pPr>
          </w:p>
        </w:tc>
        <w:tc>
          <w:tcPr>
            <w:tcW w:w="120" w:type="dxa"/>
            <w:vAlign w:val="bottom"/>
            <w:tcBorders>
              <w:top w:val="single" w:sz="8" w:color="auto"/>
            </w:tcBorders>
            <w:shd w:val="clear" w:color="auto" w:fill="E5FFFF"/>
          </w:tcPr>
          <w:p>
            <w:pPr>
              <w:spacing w:after="0"/>
              <w:rPr>
                <w:sz w:val="17"/>
                <w:szCs w:val="17"/>
                <w:color w:val="auto"/>
              </w:rPr>
            </w:pPr>
          </w:p>
        </w:tc>
        <w:tc>
          <w:tcPr>
            <w:tcW w:w="820" w:type="dxa"/>
            <w:vAlign w:val="bottom"/>
            <w:tcBorders>
              <w:top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10%</w:t>
            </w:r>
          </w:p>
        </w:tc>
        <w:tc>
          <w:tcPr>
            <w:tcW w:w="220" w:type="dxa"/>
            <w:vAlign w:val="bottom"/>
            <w:tcBorders>
              <w:top w:val="single" w:sz="8" w:color="E5FFFF"/>
            </w:tcBorders>
            <w:shd w:val="clear" w:color="auto" w:fill="E5FFFF"/>
          </w:tcPr>
          <w:p>
            <w:pPr>
              <w:spacing w:after="0"/>
              <w:rPr>
                <w:sz w:val="17"/>
                <w:szCs w:val="17"/>
                <w:color w:val="auto"/>
              </w:rPr>
            </w:pPr>
          </w:p>
        </w:tc>
        <w:tc>
          <w:tcPr>
            <w:tcW w:w="160" w:type="dxa"/>
            <w:vAlign w:val="bottom"/>
            <w:tcBorders>
              <w:top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E5FFFF"/>
          </w:tcPr>
          <w:p>
            <w:pPr>
              <w:jc w:val="right"/>
              <w:ind w:right="32"/>
              <w:spacing w:after="0" w:line="196" w:lineRule="exact"/>
              <w:rPr>
                <w:sz w:val="20"/>
                <w:szCs w:val="20"/>
                <w:color w:val="auto"/>
              </w:rPr>
            </w:pPr>
            <w:r>
              <w:rPr>
                <w:rFonts w:ascii="Arial" w:cs="Arial" w:eastAsia="Arial" w:hAnsi="Arial"/>
                <w:sz w:val="18"/>
                <w:szCs w:val="18"/>
                <w:color w:val="auto"/>
              </w:rPr>
              <w:t>8,035</w:t>
            </w:r>
          </w:p>
        </w:tc>
        <w:tc>
          <w:tcPr>
            <w:tcW w:w="200" w:type="dxa"/>
            <w:vAlign w:val="bottom"/>
            <w:tcBorders>
              <w:top w:val="single" w:sz="8" w:color="E5FFFF"/>
            </w:tcBorders>
            <w:shd w:val="clear" w:color="auto" w:fill="E5FFFF"/>
          </w:tcPr>
          <w:p>
            <w:pPr>
              <w:spacing w:after="0"/>
              <w:rPr>
                <w:sz w:val="17"/>
                <w:szCs w:val="17"/>
                <w:color w:val="auto"/>
              </w:rPr>
            </w:pPr>
          </w:p>
        </w:tc>
        <w:tc>
          <w:tcPr>
            <w:tcW w:w="140" w:type="dxa"/>
            <w:vAlign w:val="bottom"/>
            <w:tcBorders>
              <w:top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E5FFFF"/>
          </w:tcPr>
          <w:p>
            <w:pPr>
              <w:jc w:val="right"/>
              <w:ind w:right="13"/>
              <w:spacing w:after="0" w:line="196" w:lineRule="exact"/>
              <w:rPr>
                <w:sz w:val="20"/>
                <w:szCs w:val="20"/>
                <w:color w:val="auto"/>
              </w:rPr>
            </w:pPr>
            <w:r>
              <w:rPr>
                <w:rFonts w:ascii="Arial" w:cs="Arial" w:eastAsia="Arial" w:hAnsi="Arial"/>
                <w:sz w:val="18"/>
                <w:szCs w:val="18"/>
                <w:color w:val="auto"/>
              </w:rPr>
              <w:t>7,220</w:t>
            </w:r>
          </w:p>
        </w:tc>
        <w:tc>
          <w:tcPr>
            <w:tcW w:w="220" w:type="dxa"/>
            <w:vAlign w:val="bottom"/>
            <w:tcBorders>
              <w:top w:val="single" w:sz="8" w:color="E5FFFF"/>
            </w:tcBorders>
            <w:shd w:val="clear" w:color="auto" w:fill="E5FFFF"/>
          </w:tcPr>
          <w:p>
            <w:pPr>
              <w:spacing w:after="0"/>
              <w:rPr>
                <w:sz w:val="17"/>
                <w:szCs w:val="17"/>
                <w:color w:val="auto"/>
              </w:rPr>
            </w:pPr>
          </w:p>
        </w:tc>
        <w:tc>
          <w:tcPr>
            <w:tcW w:w="940" w:type="dxa"/>
            <w:vAlign w:val="bottom"/>
            <w:tcBorders>
              <w:top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3"/>
        </w:trPr>
        <w:tc>
          <w:tcPr>
            <w:tcW w:w="4820" w:type="dxa"/>
            <w:vAlign w:val="bottom"/>
            <w:gridSpan w:val="4"/>
          </w:tcPr>
          <w:p>
            <w:pPr>
              <w:ind w:left="180"/>
              <w:spacing w:after="0" w:line="202" w:lineRule="exact"/>
              <w:rPr>
                <w:sz w:val="20"/>
                <w:szCs w:val="20"/>
                <w:color w:val="auto"/>
              </w:rPr>
            </w:pPr>
            <w:r>
              <w:rPr>
                <w:rFonts w:ascii="Arial" w:cs="Arial" w:eastAsia="Arial" w:hAnsi="Arial"/>
                <w:sz w:val="18"/>
                <w:szCs w:val="18"/>
                <w:color w:val="auto"/>
              </w:rPr>
              <w:t>Cost of products and services sold</w:t>
            </w:r>
          </w:p>
        </w:tc>
        <w:tc>
          <w:tcPr>
            <w:tcW w:w="18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2,837</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2,579</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ind w:right="32"/>
              <w:spacing w:after="0" w:line="202" w:lineRule="exact"/>
              <w:rPr>
                <w:sz w:val="20"/>
                <w:szCs w:val="20"/>
                <w:color w:val="auto"/>
              </w:rPr>
            </w:pPr>
            <w:r>
              <w:rPr>
                <w:rFonts w:ascii="Arial" w:cs="Arial" w:eastAsia="Arial" w:hAnsi="Arial"/>
                <w:sz w:val="18"/>
                <w:szCs w:val="18"/>
                <w:color w:val="auto"/>
              </w:rPr>
              <w:t>5,627</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5,047</w:t>
            </w: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20" w:type="dxa"/>
            <w:vAlign w:val="bottom"/>
            <w:gridSpan w:val="4"/>
            <w:shd w:val="clear" w:color="auto" w:fill="E5FFFF"/>
          </w:tcPr>
          <w:p>
            <w:pPr>
              <w:ind w:left="180"/>
              <w:spacing w:after="0"/>
              <w:rPr>
                <w:sz w:val="20"/>
                <w:szCs w:val="20"/>
                <w:color w:val="auto"/>
              </w:rPr>
            </w:pPr>
            <w:r>
              <w:rPr>
                <w:rFonts w:ascii="Arial" w:cs="Arial" w:eastAsia="Arial" w:hAnsi="Arial"/>
                <w:sz w:val="18"/>
                <w:szCs w:val="18"/>
                <w:color w:val="auto"/>
              </w:rPr>
              <w:t>Selling, general and administrative and other expenses</w:t>
            </w:r>
          </w:p>
        </w:tc>
        <w:tc>
          <w:tcPr>
            <w:tcW w:w="180" w:type="dxa"/>
            <w:vAlign w:val="bottom"/>
            <w:tcBorders>
              <w:bottom w:val="single" w:sz="8" w:color="auto"/>
            </w:tcBorders>
            <w:shd w:val="clear" w:color="auto" w:fill="E5FFFF"/>
          </w:tcPr>
          <w:p>
            <w:pPr>
              <w:spacing w:after="0"/>
              <w:rPr>
                <w:sz w:val="18"/>
                <w:szCs w:val="18"/>
                <w:color w:val="auto"/>
              </w:rPr>
            </w:pPr>
          </w:p>
        </w:tc>
        <w:tc>
          <w:tcPr>
            <w:tcW w:w="6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303</w:t>
            </w:r>
          </w:p>
        </w:tc>
        <w:tc>
          <w:tcPr>
            <w:tcW w:w="60" w:type="dxa"/>
            <w:vAlign w:val="bottom"/>
            <w:tcBorders>
              <w:bottom w:val="single" w:sz="8" w:color="auto"/>
            </w:tcBorders>
            <w:shd w:val="clear" w:color="auto" w:fill="E5FFFF"/>
          </w:tcPr>
          <w:p>
            <w:pPr>
              <w:spacing w:after="0"/>
              <w:rPr>
                <w:sz w:val="18"/>
                <w:szCs w:val="18"/>
                <w:color w:val="auto"/>
              </w:rPr>
            </w:pPr>
          </w:p>
        </w:tc>
        <w:tc>
          <w:tcPr>
            <w:tcW w:w="240" w:type="dxa"/>
            <w:vAlign w:val="bottom"/>
            <w:shd w:val="clear" w:color="auto" w:fill="E5FFFF"/>
          </w:tcPr>
          <w:p>
            <w:pPr>
              <w:spacing w:after="0"/>
              <w:rPr>
                <w:sz w:val="18"/>
                <w:szCs w:val="18"/>
                <w:color w:val="auto"/>
              </w:rPr>
            </w:pPr>
          </w:p>
        </w:tc>
        <w:tc>
          <w:tcPr>
            <w:tcW w:w="120" w:type="dxa"/>
            <w:vAlign w:val="bottom"/>
            <w:tcBorders>
              <w:bottom w:val="single" w:sz="8" w:color="auto"/>
            </w:tcBorders>
            <w:shd w:val="clear" w:color="auto" w:fill="E5FFFF"/>
          </w:tcPr>
          <w:p>
            <w:pPr>
              <w:spacing w:after="0"/>
              <w:rPr>
                <w:sz w:val="18"/>
                <w:szCs w:val="18"/>
                <w:color w:val="auto"/>
              </w:rPr>
            </w:pPr>
          </w:p>
        </w:tc>
        <w:tc>
          <w:tcPr>
            <w:tcW w:w="780" w:type="dxa"/>
            <w:vAlign w:val="bottom"/>
            <w:tcBorders>
              <w:bottom w:val="single" w:sz="8" w:color="auto"/>
            </w:tcBorders>
            <w:shd w:val="clear" w:color="auto" w:fill="E5FFFF"/>
          </w:tcPr>
          <w:p>
            <w:pPr>
              <w:jc w:val="right"/>
              <w:ind w:right="13"/>
              <w:spacing w:after="0"/>
              <w:rPr>
                <w:sz w:val="20"/>
                <w:szCs w:val="20"/>
                <w:color w:val="auto"/>
              </w:rPr>
            </w:pPr>
            <w:r>
              <w:rPr>
                <w:rFonts w:ascii="Arial" w:cs="Arial" w:eastAsia="Arial" w:hAnsi="Arial"/>
                <w:sz w:val="18"/>
                <w:szCs w:val="18"/>
                <w:color w:val="auto"/>
              </w:rPr>
              <w:t>276</w:t>
            </w:r>
          </w:p>
        </w:tc>
        <w:tc>
          <w:tcPr>
            <w:tcW w:w="22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82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160" w:type="dxa"/>
            <w:vAlign w:val="bottom"/>
            <w:tcBorders>
              <w:bottom w:val="single" w:sz="8" w:color="auto"/>
            </w:tcBorders>
            <w:shd w:val="clear" w:color="auto" w:fill="E5FFFF"/>
          </w:tcPr>
          <w:p>
            <w:pPr>
              <w:spacing w:after="0"/>
              <w:rPr>
                <w:sz w:val="18"/>
                <w:szCs w:val="18"/>
                <w:color w:val="auto"/>
              </w:rPr>
            </w:pPr>
          </w:p>
        </w:tc>
        <w:tc>
          <w:tcPr>
            <w:tcW w:w="740" w:type="dxa"/>
            <w:vAlign w:val="bottom"/>
            <w:tcBorders>
              <w:bottom w:val="single" w:sz="8" w:color="auto"/>
            </w:tcBorders>
            <w:shd w:val="clear" w:color="auto" w:fill="E5FFFF"/>
          </w:tcPr>
          <w:p>
            <w:pPr>
              <w:jc w:val="right"/>
              <w:ind w:right="32"/>
              <w:spacing w:after="0"/>
              <w:rPr>
                <w:sz w:val="20"/>
                <w:szCs w:val="20"/>
                <w:color w:val="auto"/>
              </w:rPr>
            </w:pPr>
            <w:r>
              <w:rPr>
                <w:rFonts w:ascii="Arial" w:cs="Arial" w:eastAsia="Arial" w:hAnsi="Arial"/>
                <w:sz w:val="18"/>
                <w:szCs w:val="18"/>
                <w:color w:val="auto"/>
              </w:rPr>
              <w:t>597</w:t>
            </w:r>
          </w:p>
        </w:tc>
        <w:tc>
          <w:tcPr>
            <w:tcW w:w="200" w:type="dxa"/>
            <w:vAlign w:val="bottom"/>
            <w:shd w:val="clear" w:color="auto" w:fill="E5FFFF"/>
          </w:tcPr>
          <w:p>
            <w:pPr>
              <w:spacing w:after="0"/>
              <w:rPr>
                <w:sz w:val="18"/>
                <w:szCs w:val="18"/>
                <w:color w:val="auto"/>
              </w:rPr>
            </w:pPr>
          </w:p>
        </w:tc>
        <w:tc>
          <w:tcPr>
            <w:tcW w:w="140" w:type="dxa"/>
            <w:vAlign w:val="bottom"/>
            <w:tcBorders>
              <w:bottom w:val="single" w:sz="8" w:color="auto"/>
            </w:tcBorders>
            <w:shd w:val="clear" w:color="auto" w:fill="E5FFFF"/>
          </w:tcPr>
          <w:p>
            <w:pPr>
              <w:spacing w:after="0"/>
              <w:rPr>
                <w:sz w:val="18"/>
                <w:szCs w:val="18"/>
                <w:color w:val="auto"/>
              </w:rPr>
            </w:pPr>
          </w:p>
        </w:tc>
        <w:tc>
          <w:tcPr>
            <w:tcW w:w="760" w:type="dxa"/>
            <w:vAlign w:val="bottom"/>
            <w:tcBorders>
              <w:bottom w:val="single" w:sz="8" w:color="auto"/>
            </w:tcBorders>
            <w:shd w:val="clear" w:color="auto" w:fill="E5FFFF"/>
          </w:tcPr>
          <w:p>
            <w:pPr>
              <w:jc w:val="right"/>
              <w:ind w:right="13"/>
              <w:spacing w:after="0"/>
              <w:rPr>
                <w:sz w:val="20"/>
                <w:szCs w:val="20"/>
                <w:color w:val="auto"/>
              </w:rPr>
            </w:pPr>
            <w:r>
              <w:rPr>
                <w:rFonts w:ascii="Arial" w:cs="Arial" w:eastAsia="Arial" w:hAnsi="Arial"/>
                <w:sz w:val="18"/>
                <w:szCs w:val="18"/>
                <w:color w:val="auto"/>
              </w:rPr>
              <w:t>558</w:t>
            </w:r>
          </w:p>
        </w:tc>
        <w:tc>
          <w:tcPr>
            <w:tcW w:w="220" w:type="dxa"/>
            <w:vAlign w:val="bottom"/>
            <w:shd w:val="clear" w:color="auto" w:fill="E5FFFF"/>
          </w:tcPr>
          <w:p>
            <w:pPr>
              <w:spacing w:after="0"/>
              <w:rPr>
                <w:sz w:val="18"/>
                <w:szCs w:val="18"/>
                <w:color w:val="auto"/>
              </w:rPr>
            </w:pPr>
          </w:p>
        </w:tc>
        <w:tc>
          <w:tcPr>
            <w:tcW w:w="94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20" w:type="dxa"/>
            <w:vAlign w:val="bottom"/>
            <w:gridSpan w:val="4"/>
          </w:tcPr>
          <w:p>
            <w:pPr>
              <w:spacing w:after="0"/>
              <w:rPr>
                <w:sz w:val="20"/>
                <w:szCs w:val="20"/>
                <w:color w:val="auto"/>
              </w:rPr>
            </w:pPr>
            <w:r>
              <w:rPr>
                <w:rFonts w:ascii="Arial" w:cs="Arial" w:eastAsia="Arial" w:hAnsi="Arial"/>
                <w:sz w:val="18"/>
                <w:szCs w:val="18"/>
                <w:color w:val="auto"/>
              </w:rPr>
              <w:t>Segment profit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918</w:t>
            </w:r>
          </w:p>
        </w:tc>
        <w:tc>
          <w:tcPr>
            <w:tcW w:w="4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819</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w:t>
            </w: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1,811</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3"/>
              <w:spacing w:after="0"/>
              <w:rPr>
                <w:sz w:val="20"/>
                <w:szCs w:val="20"/>
                <w:color w:val="auto"/>
              </w:rPr>
            </w:pPr>
            <w:r>
              <w:rPr>
                <w:rFonts w:ascii="Arial" w:cs="Arial" w:eastAsia="Arial" w:hAnsi="Arial"/>
                <w:sz w:val="18"/>
                <w:szCs w:val="18"/>
                <w:color w:val="auto"/>
              </w:rPr>
              <w:t>1,615</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13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gridSpan w:val="3"/>
          </w:tcPr>
          <w:p>
            <w:pPr>
              <w:jc w:val="right"/>
              <w:ind w:right="160"/>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340" w:type="dxa"/>
            <w:vAlign w:val="bottom"/>
            <w:tcBorders>
              <w:bottom w:val="single" w:sz="8" w:color="C0C0C0"/>
            </w:tcBorders>
          </w:tcPr>
          <w:p>
            <w:pPr>
              <w:spacing w:after="0"/>
              <w:rPr>
                <w:sz w:val="20"/>
                <w:szCs w:val="20"/>
                <w:color w:val="auto"/>
              </w:rPr>
            </w:pPr>
          </w:p>
        </w:tc>
        <w:tc>
          <w:tcPr>
            <w:tcW w:w="1760" w:type="dxa"/>
            <w:vAlign w:val="bottom"/>
            <w:tcBorders>
              <w:bottom w:val="single" w:sz="8" w:color="C0C0C0"/>
            </w:tcBorders>
          </w:tcPr>
          <w:p>
            <w:pPr>
              <w:spacing w:after="0"/>
              <w:rPr>
                <w:sz w:val="20"/>
                <w:szCs w:val="20"/>
                <w:color w:val="auto"/>
              </w:rPr>
            </w:pPr>
          </w:p>
        </w:tc>
        <w:tc>
          <w:tcPr>
            <w:tcW w:w="640" w:type="dxa"/>
            <w:vAlign w:val="bottom"/>
            <w:tcBorders>
              <w:bottom w:val="single" w:sz="8" w:color="C0C0C0"/>
            </w:tcBorders>
          </w:tcPr>
          <w:p>
            <w:pPr>
              <w:spacing w:after="0"/>
              <w:rPr>
                <w:sz w:val="20"/>
                <w:szCs w:val="20"/>
                <w:color w:val="auto"/>
              </w:rPr>
            </w:pPr>
          </w:p>
        </w:tc>
        <w:tc>
          <w:tcPr>
            <w:tcW w:w="1080" w:type="dxa"/>
            <w:vAlign w:val="bottom"/>
            <w:tcBorders>
              <w:bottom w:val="single" w:sz="8" w:color="C0C0C0"/>
            </w:tcBorders>
          </w:tcPr>
          <w:p>
            <w:pPr>
              <w:spacing w:after="0"/>
              <w:rPr>
                <w:sz w:val="20"/>
                <w:szCs w:val="20"/>
                <w:color w:val="auto"/>
              </w:rPr>
            </w:pPr>
          </w:p>
        </w:tc>
        <w:tc>
          <w:tcPr>
            <w:tcW w:w="180" w:type="dxa"/>
            <w:vAlign w:val="bottom"/>
            <w:tcBorders>
              <w:bottom w:val="single" w:sz="8" w:color="C0C0C0"/>
            </w:tcBorders>
          </w:tcPr>
          <w:p>
            <w:pPr>
              <w:spacing w:after="0"/>
              <w:rPr>
                <w:sz w:val="20"/>
                <w:szCs w:val="20"/>
                <w:color w:val="auto"/>
              </w:rPr>
            </w:pPr>
          </w:p>
        </w:tc>
        <w:tc>
          <w:tcPr>
            <w:tcW w:w="680" w:type="dxa"/>
            <w:vAlign w:val="bottom"/>
            <w:tcBorders>
              <w:bottom w:val="single" w:sz="8" w:color="C0C0C0"/>
            </w:tcBorders>
          </w:tcPr>
          <w:p>
            <w:pPr>
              <w:spacing w:after="0"/>
              <w:rPr>
                <w:sz w:val="20"/>
                <w:szCs w:val="20"/>
                <w:color w:val="auto"/>
              </w:rPr>
            </w:pPr>
          </w:p>
        </w:tc>
        <w:tc>
          <w:tcPr>
            <w:tcW w:w="60" w:type="dxa"/>
            <w:vAlign w:val="bottom"/>
            <w:tcBorders>
              <w:bottom w:val="single" w:sz="8" w:color="C0C0C0"/>
            </w:tcBorders>
          </w:tcPr>
          <w:p>
            <w:pPr>
              <w:spacing w:after="0"/>
              <w:rPr>
                <w:sz w:val="20"/>
                <w:szCs w:val="20"/>
                <w:color w:val="auto"/>
              </w:rPr>
            </w:pPr>
          </w:p>
        </w:tc>
        <w:tc>
          <w:tcPr>
            <w:tcW w:w="240" w:type="dxa"/>
            <w:vAlign w:val="bottom"/>
            <w:tcBorders>
              <w:bottom w:val="single" w:sz="8" w:color="C0C0C0"/>
            </w:tcBorders>
          </w:tcPr>
          <w:p>
            <w:pPr>
              <w:spacing w:after="0"/>
              <w:rPr>
                <w:sz w:val="20"/>
                <w:szCs w:val="20"/>
                <w:color w:val="auto"/>
              </w:rPr>
            </w:pPr>
          </w:p>
        </w:tc>
        <w:tc>
          <w:tcPr>
            <w:tcW w:w="120" w:type="dxa"/>
            <w:vAlign w:val="bottom"/>
            <w:tcBorders>
              <w:bottom w:val="single" w:sz="8" w:color="C0C0C0"/>
            </w:tcBorders>
          </w:tcPr>
          <w:p>
            <w:pPr>
              <w:spacing w:after="0"/>
              <w:rPr>
                <w:sz w:val="20"/>
                <w:szCs w:val="20"/>
                <w:color w:val="auto"/>
              </w:rPr>
            </w:pPr>
          </w:p>
        </w:tc>
        <w:tc>
          <w:tcPr>
            <w:tcW w:w="780" w:type="dxa"/>
            <w:vAlign w:val="bottom"/>
            <w:tcBorders>
              <w:bottom w:val="single" w:sz="8" w:color="C0C0C0"/>
            </w:tcBorders>
          </w:tcPr>
          <w:p>
            <w:pPr>
              <w:spacing w:after="0"/>
              <w:rPr>
                <w:sz w:val="20"/>
                <w:szCs w:val="20"/>
                <w:color w:val="auto"/>
              </w:rPr>
            </w:pPr>
          </w:p>
        </w:tc>
        <w:tc>
          <w:tcPr>
            <w:tcW w:w="220" w:type="dxa"/>
            <w:vAlign w:val="bottom"/>
            <w:tcBorders>
              <w:bottom w:val="single" w:sz="8" w:color="C0C0C0"/>
            </w:tcBorders>
          </w:tcPr>
          <w:p>
            <w:pPr>
              <w:spacing w:after="0"/>
              <w:rPr>
                <w:sz w:val="20"/>
                <w:szCs w:val="20"/>
                <w:color w:val="auto"/>
              </w:rPr>
            </w:pPr>
          </w:p>
        </w:tc>
        <w:tc>
          <w:tcPr>
            <w:tcW w:w="120" w:type="dxa"/>
            <w:vAlign w:val="bottom"/>
            <w:tcBorders>
              <w:bottom w:val="single" w:sz="8" w:color="C0C0C0"/>
            </w:tcBorders>
          </w:tcPr>
          <w:p>
            <w:pPr>
              <w:spacing w:after="0"/>
              <w:rPr>
                <w:sz w:val="20"/>
                <w:szCs w:val="20"/>
                <w:color w:val="auto"/>
              </w:rPr>
            </w:pPr>
          </w:p>
        </w:tc>
        <w:tc>
          <w:tcPr>
            <w:tcW w:w="820" w:type="dxa"/>
            <w:vAlign w:val="bottom"/>
            <w:tcBorders>
              <w:bottom w:val="single" w:sz="8" w:color="C0C0C0"/>
            </w:tcBorders>
          </w:tcPr>
          <w:p>
            <w:pPr>
              <w:spacing w:after="0"/>
              <w:rPr>
                <w:sz w:val="20"/>
                <w:szCs w:val="20"/>
                <w:color w:val="auto"/>
              </w:rPr>
            </w:pPr>
          </w:p>
        </w:tc>
        <w:tc>
          <w:tcPr>
            <w:tcW w:w="220" w:type="dxa"/>
            <w:vAlign w:val="bottom"/>
            <w:tcBorders>
              <w:bottom w:val="single" w:sz="8" w:color="C0C0C0"/>
            </w:tcBorders>
          </w:tcPr>
          <w:p>
            <w:pPr>
              <w:spacing w:after="0"/>
              <w:rPr>
                <w:sz w:val="20"/>
                <w:szCs w:val="20"/>
                <w:color w:val="auto"/>
              </w:rPr>
            </w:pPr>
          </w:p>
        </w:tc>
        <w:tc>
          <w:tcPr>
            <w:tcW w:w="160" w:type="dxa"/>
            <w:vAlign w:val="bottom"/>
            <w:tcBorders>
              <w:bottom w:val="single" w:sz="8" w:color="C0C0C0"/>
            </w:tcBorders>
          </w:tcPr>
          <w:p>
            <w:pPr>
              <w:spacing w:after="0"/>
              <w:rPr>
                <w:sz w:val="20"/>
                <w:szCs w:val="20"/>
                <w:color w:val="auto"/>
              </w:rPr>
            </w:pPr>
          </w:p>
        </w:tc>
        <w:tc>
          <w:tcPr>
            <w:tcW w:w="740" w:type="dxa"/>
            <w:vAlign w:val="bottom"/>
            <w:tcBorders>
              <w:bottom w:val="single" w:sz="8" w:color="C0C0C0"/>
            </w:tcBorders>
          </w:tcPr>
          <w:p>
            <w:pPr>
              <w:spacing w:after="0"/>
              <w:rPr>
                <w:sz w:val="20"/>
                <w:szCs w:val="20"/>
                <w:color w:val="auto"/>
              </w:rPr>
            </w:pPr>
          </w:p>
        </w:tc>
        <w:tc>
          <w:tcPr>
            <w:tcW w:w="200" w:type="dxa"/>
            <w:vAlign w:val="bottom"/>
            <w:tcBorders>
              <w:bottom w:val="single" w:sz="8" w:color="C0C0C0"/>
            </w:tcBorders>
          </w:tcPr>
          <w:p>
            <w:pPr>
              <w:spacing w:after="0"/>
              <w:rPr>
                <w:sz w:val="20"/>
                <w:szCs w:val="20"/>
                <w:color w:val="auto"/>
              </w:rPr>
            </w:pPr>
          </w:p>
        </w:tc>
        <w:tc>
          <w:tcPr>
            <w:tcW w:w="140" w:type="dxa"/>
            <w:vAlign w:val="bottom"/>
            <w:tcBorders>
              <w:bottom w:val="single" w:sz="8" w:color="C0C0C0"/>
            </w:tcBorders>
          </w:tcPr>
          <w:p>
            <w:pPr>
              <w:spacing w:after="0"/>
              <w:rPr>
                <w:sz w:val="20"/>
                <w:szCs w:val="20"/>
                <w:color w:val="auto"/>
              </w:rPr>
            </w:pPr>
          </w:p>
        </w:tc>
        <w:tc>
          <w:tcPr>
            <w:tcW w:w="760" w:type="dxa"/>
            <w:vAlign w:val="bottom"/>
            <w:tcBorders>
              <w:bottom w:val="single" w:sz="8" w:color="C0C0C0"/>
            </w:tcBorders>
          </w:tcPr>
          <w:p>
            <w:pPr>
              <w:spacing w:after="0"/>
              <w:rPr>
                <w:sz w:val="20"/>
                <w:szCs w:val="20"/>
                <w:color w:val="auto"/>
              </w:rPr>
            </w:pPr>
          </w:p>
        </w:tc>
        <w:tc>
          <w:tcPr>
            <w:tcW w:w="220" w:type="dxa"/>
            <w:vAlign w:val="bottom"/>
            <w:tcBorders>
              <w:bottom w:val="single" w:sz="8" w:color="C0C0C0"/>
            </w:tcBorders>
          </w:tcPr>
          <w:p>
            <w:pPr>
              <w:spacing w:after="0"/>
              <w:rPr>
                <w:sz w:val="20"/>
                <w:szCs w:val="20"/>
                <w:color w:val="auto"/>
              </w:rPr>
            </w:pPr>
          </w:p>
        </w:tc>
        <w:tc>
          <w:tcPr>
            <w:tcW w:w="940" w:type="dxa"/>
            <w:vAlign w:val="bottom"/>
            <w:tcBorders>
              <w:bottom w:val="single" w:sz="8" w:color="C0C0C0"/>
            </w:tcBorders>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00" w:right="239" w:bottom="1440" w:gutter="0" w:footer="0" w:header="0"/>
        </w:sectPr>
      </w:pPr>
    </w:p>
    <w:bookmarkStart w:id="31" w:name="page32"/>
    <w:bookmarkEnd w:id="3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78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320" w:type="dxa"/>
            <w:vAlign w:val="bottom"/>
            <w:tcBorders>
              <w:bottom w:val="single" w:sz="8" w:color="auto"/>
            </w:tcBorders>
            <w:gridSpan w:val="4"/>
          </w:tcPr>
          <w:p>
            <w:pPr>
              <w:ind w:left="600"/>
              <w:spacing w:after="0"/>
              <w:rPr>
                <w:sz w:val="20"/>
                <w:szCs w:val="20"/>
                <w:color w:val="auto"/>
              </w:rPr>
            </w:pPr>
            <w:r>
              <w:rPr>
                <w:rFonts w:ascii="Arial" w:cs="Arial" w:eastAsia="Arial" w:hAnsi="Arial"/>
                <w:sz w:val="14"/>
                <w:szCs w:val="14"/>
                <w:b w:val="1"/>
                <w:bCs w:val="1"/>
                <w:color w:val="auto"/>
              </w:rPr>
              <w:t>2018 vs. 2017</w:t>
            </w:r>
          </w:p>
        </w:tc>
        <w:tc>
          <w:tcPr>
            <w:tcW w:w="840" w:type="dxa"/>
            <w:vAlign w:val="bottom"/>
            <w:tcBorders>
              <w:bottom w:val="single" w:sz="8" w:color="auto"/>
            </w:tcBorders>
          </w:tcPr>
          <w:p>
            <w:pPr>
              <w:spacing w:after="0"/>
              <w:rPr>
                <w:sz w:val="15"/>
                <w:szCs w:val="15"/>
                <w:color w:val="auto"/>
              </w:rPr>
            </w:pPr>
          </w:p>
        </w:tc>
      </w:tr>
      <w:tr>
        <w:trPr>
          <w:trHeight w:val="142"/>
        </w:trPr>
        <w:tc>
          <w:tcPr>
            <w:tcW w:w="478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2220" w:type="dxa"/>
            <w:vAlign w:val="bottom"/>
            <w:gridSpan w:val="4"/>
          </w:tcPr>
          <w:p>
            <w:pPr>
              <w:jc w:val="right"/>
              <w:ind w:right="500"/>
              <w:spacing w:after="0" w:line="143" w:lineRule="exact"/>
              <w:rPr>
                <w:sz w:val="20"/>
                <w:szCs w:val="20"/>
                <w:color w:val="auto"/>
              </w:rPr>
            </w:pPr>
            <w:r>
              <w:rPr>
                <w:rFonts w:ascii="Arial" w:cs="Arial" w:eastAsia="Arial" w:hAnsi="Arial"/>
                <w:sz w:val="14"/>
                <w:szCs w:val="14"/>
                <w:b w:val="1"/>
                <w:bCs w:val="1"/>
                <w:color w:val="auto"/>
              </w:rPr>
              <w:t>Three Months Ended</w:t>
            </w:r>
          </w:p>
        </w:tc>
        <w:tc>
          <w:tcPr>
            <w:tcW w:w="2000" w:type="dxa"/>
            <w:vAlign w:val="bottom"/>
            <w:gridSpan w:val="3"/>
          </w:tcPr>
          <w:p>
            <w:pPr>
              <w:jc w:val="right"/>
              <w:ind w:right="296"/>
              <w:spacing w:after="0" w:line="143" w:lineRule="exact"/>
              <w:rPr>
                <w:sz w:val="20"/>
                <w:szCs w:val="20"/>
                <w:color w:val="auto"/>
              </w:rPr>
            </w:pPr>
            <w:r>
              <w:rPr>
                <w:rFonts w:ascii="Arial" w:cs="Arial" w:eastAsia="Arial" w:hAnsi="Arial"/>
                <w:sz w:val="14"/>
                <w:szCs w:val="14"/>
                <w:b w:val="1"/>
                <w:bCs w:val="1"/>
                <w:color w:val="auto"/>
              </w:rPr>
              <w:t>Six Months Ended</w:t>
            </w:r>
          </w:p>
        </w:tc>
      </w:tr>
      <w:tr>
        <w:trPr>
          <w:trHeight w:val="175"/>
        </w:trPr>
        <w:tc>
          <w:tcPr>
            <w:tcW w:w="478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2220" w:type="dxa"/>
            <w:vAlign w:val="bottom"/>
            <w:gridSpan w:val="4"/>
          </w:tcPr>
          <w:p>
            <w:pPr>
              <w:ind w:left="720"/>
              <w:spacing w:after="0"/>
              <w:rPr>
                <w:sz w:val="20"/>
                <w:szCs w:val="20"/>
                <w:color w:val="auto"/>
              </w:rPr>
            </w:pPr>
            <w:r>
              <w:rPr>
                <w:rFonts w:ascii="Arial" w:cs="Arial" w:eastAsia="Arial" w:hAnsi="Arial"/>
                <w:sz w:val="14"/>
                <w:szCs w:val="14"/>
                <w:b w:val="1"/>
                <w:bCs w:val="1"/>
                <w:color w:val="auto"/>
              </w:rPr>
              <w:t>June 30,</w:t>
            </w:r>
          </w:p>
        </w:tc>
        <w:tc>
          <w:tcPr>
            <w:tcW w:w="2000" w:type="dxa"/>
            <w:vAlign w:val="bottom"/>
            <w:gridSpan w:val="3"/>
          </w:tcPr>
          <w:p>
            <w:pPr>
              <w:jc w:val="right"/>
              <w:ind w:right="636"/>
              <w:spacing w:after="0"/>
              <w:rPr>
                <w:sz w:val="20"/>
                <w:szCs w:val="20"/>
                <w:color w:val="auto"/>
              </w:rPr>
            </w:pPr>
            <w:r>
              <w:rPr>
                <w:rFonts w:ascii="Arial" w:cs="Arial" w:eastAsia="Arial" w:hAnsi="Arial"/>
                <w:sz w:val="14"/>
                <w:szCs w:val="14"/>
                <w:b w:val="1"/>
                <w:bCs w:val="1"/>
                <w:color w:val="auto"/>
              </w:rPr>
              <w:t>June 30,</w:t>
            </w:r>
          </w:p>
        </w:tc>
      </w:tr>
      <w:tr>
        <w:trPr>
          <w:trHeight w:val="142"/>
        </w:trPr>
        <w:tc>
          <w:tcPr>
            <w:tcW w:w="478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jc w:val="right"/>
              <w:ind w:right="78"/>
              <w:spacing w:after="0" w:line="143" w:lineRule="exact"/>
              <w:rPr>
                <w:sz w:val="20"/>
                <w:szCs w:val="20"/>
                <w:color w:val="auto"/>
              </w:rPr>
            </w:pPr>
            <w:r>
              <w:rPr>
                <w:rFonts w:ascii="Arial" w:cs="Arial" w:eastAsia="Arial" w:hAnsi="Arial"/>
                <w:sz w:val="14"/>
                <w:szCs w:val="14"/>
                <w:b w:val="1"/>
                <w:bCs w:val="1"/>
                <w:color w:val="auto"/>
              </w:rPr>
              <w:t>Segment</w:t>
            </w:r>
          </w:p>
        </w:tc>
        <w:tc>
          <w:tcPr>
            <w:tcW w:w="220" w:type="dxa"/>
            <w:vAlign w:val="bottom"/>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right"/>
              <w:ind w:right="36"/>
              <w:spacing w:after="0" w:line="143" w:lineRule="exact"/>
              <w:rPr>
                <w:sz w:val="20"/>
                <w:szCs w:val="20"/>
                <w:color w:val="auto"/>
              </w:rPr>
            </w:pPr>
            <w:r>
              <w:rPr>
                <w:rFonts w:ascii="Arial" w:cs="Arial" w:eastAsia="Arial" w:hAnsi="Arial"/>
                <w:sz w:val="14"/>
                <w:szCs w:val="14"/>
                <w:b w:val="1"/>
                <w:bCs w:val="1"/>
                <w:color w:val="auto"/>
              </w:rPr>
              <w:t>Segment</w:t>
            </w:r>
          </w:p>
        </w:tc>
      </w:tr>
      <w:tr>
        <w:trPr>
          <w:trHeight w:val="175"/>
        </w:trPr>
        <w:tc>
          <w:tcPr>
            <w:tcW w:w="7200" w:type="dxa"/>
            <w:vAlign w:val="bottom"/>
            <w:gridSpan w:val="2"/>
          </w:tcPr>
          <w:p>
            <w:pPr>
              <w:ind w:left="780"/>
              <w:spacing w:after="0"/>
              <w:rPr>
                <w:sz w:val="20"/>
                <w:szCs w:val="20"/>
                <w:color w:val="auto"/>
              </w:rPr>
            </w:pPr>
            <w:r>
              <w:rPr>
                <w:rFonts w:ascii="Arial" w:cs="Arial" w:eastAsia="Arial" w:hAnsi="Arial"/>
                <w:sz w:val="14"/>
                <w:szCs w:val="14"/>
                <w:b w:val="1"/>
                <w:bCs w:val="1"/>
                <w:color w:val="auto"/>
              </w:rPr>
              <w:t>Factors Contributing to Year-Over-Year Change</w:t>
            </w:r>
          </w:p>
        </w:tc>
        <w:tc>
          <w:tcPr>
            <w:tcW w:w="1060" w:type="dxa"/>
            <w:vAlign w:val="bottom"/>
            <w:gridSpan w:val="2"/>
          </w:tcPr>
          <w:p>
            <w:pPr>
              <w:ind w:left="240"/>
              <w:spacing w:after="0"/>
              <w:rPr>
                <w:sz w:val="20"/>
                <w:szCs w:val="20"/>
                <w:color w:val="auto"/>
              </w:rPr>
            </w:pPr>
            <w:r>
              <w:rPr>
                <w:rFonts w:ascii="Arial" w:cs="Arial" w:eastAsia="Arial" w:hAnsi="Arial"/>
                <w:sz w:val="14"/>
                <w:szCs w:val="14"/>
                <w:b w:val="1"/>
                <w:bCs w:val="1"/>
                <w:color w:val="auto"/>
              </w:rPr>
              <w:t>Sales</w:t>
            </w:r>
          </w:p>
        </w:tc>
        <w:tc>
          <w:tcPr>
            <w:tcW w:w="116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Profit</w:t>
            </w:r>
          </w:p>
        </w:tc>
        <w:tc>
          <w:tcPr>
            <w:tcW w:w="1160" w:type="dxa"/>
            <w:vAlign w:val="bottom"/>
            <w:gridSpan w:val="2"/>
          </w:tcPr>
          <w:p>
            <w:pPr>
              <w:ind w:left="280"/>
              <w:spacing w:after="0"/>
              <w:rPr>
                <w:sz w:val="20"/>
                <w:szCs w:val="20"/>
                <w:color w:val="auto"/>
              </w:rPr>
            </w:pPr>
            <w:r>
              <w:rPr>
                <w:rFonts w:ascii="Arial" w:cs="Arial" w:eastAsia="Arial" w:hAnsi="Arial"/>
                <w:sz w:val="14"/>
                <w:szCs w:val="14"/>
                <w:b w:val="1"/>
                <w:bCs w:val="1"/>
                <w:color w:val="auto"/>
              </w:rPr>
              <w:t>Sales</w:t>
            </w:r>
          </w:p>
        </w:tc>
        <w:tc>
          <w:tcPr>
            <w:tcW w:w="840" w:type="dxa"/>
            <w:vAlign w:val="bottom"/>
          </w:tcPr>
          <w:p>
            <w:pPr>
              <w:jc w:val="right"/>
              <w:ind w:right="156"/>
              <w:spacing w:after="0"/>
              <w:rPr>
                <w:sz w:val="20"/>
                <w:szCs w:val="20"/>
                <w:color w:val="auto"/>
              </w:rPr>
            </w:pPr>
            <w:r>
              <w:rPr>
                <w:rFonts w:ascii="Arial" w:cs="Arial" w:eastAsia="Arial" w:hAnsi="Arial"/>
                <w:sz w:val="14"/>
                <w:szCs w:val="14"/>
                <w:b w:val="1"/>
                <w:bCs w:val="1"/>
                <w:color w:val="auto"/>
              </w:rPr>
              <w:t>Profit</w:t>
            </w:r>
          </w:p>
        </w:tc>
      </w:tr>
      <w:tr>
        <w:trPr>
          <w:trHeight w:val="196"/>
        </w:trPr>
        <w:tc>
          <w:tcPr>
            <w:tcW w:w="4780" w:type="dxa"/>
            <w:vAlign w:val="bottom"/>
            <w:tcBorders>
              <w:top w:val="single" w:sz="8" w:color="auto"/>
            </w:tcBorders>
            <w:shd w:val="clear" w:color="auto" w:fill="E5FFFF"/>
          </w:tcPr>
          <w:p>
            <w:pPr>
              <w:spacing w:after="0" w:line="196" w:lineRule="exact"/>
              <w:rPr>
                <w:sz w:val="20"/>
                <w:szCs w:val="20"/>
                <w:color w:val="auto"/>
              </w:rPr>
            </w:pPr>
            <w:r>
              <w:rPr>
                <w:rFonts w:ascii="Arial" w:cs="Arial" w:eastAsia="Arial" w:hAnsi="Arial"/>
                <w:sz w:val="18"/>
                <w:szCs w:val="18"/>
                <w:color w:val="auto"/>
              </w:rPr>
              <w:t>Organic growth/ Operational segment profit</w:t>
            </w:r>
          </w:p>
        </w:tc>
        <w:tc>
          <w:tcPr>
            <w:tcW w:w="2420" w:type="dxa"/>
            <w:vAlign w:val="bottom"/>
            <w:tcBorders>
              <w:top w:val="single" w:sz="8" w:color="E5FFFF"/>
            </w:tcBorders>
            <w:shd w:val="clear" w:color="auto" w:fill="E5FFFF"/>
          </w:tcPr>
          <w:p>
            <w:pPr>
              <w:spacing w:after="0"/>
              <w:rPr>
                <w:sz w:val="17"/>
                <w:szCs w:val="17"/>
                <w:color w:val="auto"/>
              </w:rPr>
            </w:pPr>
          </w:p>
        </w:tc>
        <w:tc>
          <w:tcPr>
            <w:tcW w:w="840" w:type="dxa"/>
            <w:vAlign w:val="bottom"/>
            <w:tcBorders>
              <w:top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8%</w:t>
            </w:r>
          </w:p>
        </w:tc>
        <w:tc>
          <w:tcPr>
            <w:tcW w:w="220" w:type="dxa"/>
            <w:vAlign w:val="bottom"/>
            <w:tcBorders>
              <w:top w:val="single" w:sz="8" w:color="E5FFFF"/>
            </w:tcBorders>
            <w:shd w:val="clear" w:color="auto" w:fill="E5FFFF"/>
          </w:tcPr>
          <w:p>
            <w:pPr>
              <w:spacing w:after="0"/>
              <w:rPr>
                <w:sz w:val="17"/>
                <w:szCs w:val="17"/>
                <w:color w:val="auto"/>
              </w:rPr>
            </w:pPr>
          </w:p>
        </w:tc>
        <w:tc>
          <w:tcPr>
            <w:tcW w:w="940" w:type="dxa"/>
            <w:vAlign w:val="bottom"/>
            <w:tcBorders>
              <w:top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9%</w:t>
            </w:r>
          </w:p>
        </w:tc>
        <w:tc>
          <w:tcPr>
            <w:tcW w:w="220" w:type="dxa"/>
            <w:vAlign w:val="bottom"/>
            <w:tcBorders>
              <w:top w:val="single" w:sz="8" w:color="E5FFFF"/>
            </w:tcBorders>
            <w:shd w:val="clear" w:color="auto" w:fill="E5FFFF"/>
          </w:tcPr>
          <w:p>
            <w:pPr>
              <w:spacing w:after="0"/>
              <w:rPr>
                <w:sz w:val="17"/>
                <w:szCs w:val="17"/>
                <w:color w:val="auto"/>
              </w:rPr>
            </w:pPr>
          </w:p>
        </w:tc>
        <w:tc>
          <w:tcPr>
            <w:tcW w:w="940" w:type="dxa"/>
            <w:vAlign w:val="bottom"/>
            <w:tcBorders>
              <w:top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8%</w:t>
            </w:r>
          </w:p>
        </w:tc>
        <w:tc>
          <w:tcPr>
            <w:tcW w:w="220" w:type="dxa"/>
            <w:vAlign w:val="bottom"/>
            <w:tcBorders>
              <w:top w:val="single" w:sz="8" w:color="E5FFFF"/>
            </w:tcBorders>
            <w:shd w:val="clear" w:color="auto" w:fill="E5FFFF"/>
          </w:tcPr>
          <w:p>
            <w:pPr>
              <w:spacing w:after="0"/>
              <w:rPr>
                <w:sz w:val="17"/>
                <w:szCs w:val="17"/>
                <w:color w:val="auto"/>
              </w:rPr>
            </w:pPr>
          </w:p>
        </w:tc>
        <w:tc>
          <w:tcPr>
            <w:tcW w:w="840" w:type="dxa"/>
            <w:vAlign w:val="bottom"/>
            <w:tcBorders>
              <w:top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8%</w:t>
            </w:r>
          </w:p>
        </w:tc>
      </w:tr>
      <w:tr>
        <w:trPr>
          <w:trHeight w:val="203"/>
        </w:trPr>
        <w:tc>
          <w:tcPr>
            <w:tcW w:w="7200" w:type="dxa"/>
            <w:vAlign w:val="bottom"/>
            <w:gridSpan w:val="2"/>
          </w:tcPr>
          <w:p>
            <w:pPr>
              <w:spacing w:after="0" w:line="202" w:lineRule="exact"/>
              <w:rPr>
                <w:sz w:val="20"/>
                <w:szCs w:val="20"/>
                <w:color w:val="auto"/>
              </w:rPr>
            </w:pPr>
            <w:r>
              <w:rPr>
                <w:rFonts w:ascii="Arial" w:cs="Arial" w:eastAsia="Arial" w:hAnsi="Arial"/>
                <w:sz w:val="18"/>
                <w:szCs w:val="18"/>
                <w:color w:val="auto"/>
              </w:rPr>
              <w:t>Foreign currency translation</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1%</w:t>
            </w:r>
          </w:p>
        </w:tc>
        <w:tc>
          <w:tcPr>
            <w:tcW w:w="22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2%</w:t>
            </w:r>
          </w:p>
        </w:tc>
        <w:tc>
          <w:tcPr>
            <w:tcW w:w="22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2%</w:t>
            </w:r>
          </w:p>
        </w:tc>
        <w:tc>
          <w:tcPr>
            <w:tcW w:w="22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3%</w:t>
            </w:r>
          </w:p>
        </w:tc>
      </w:tr>
      <w:tr>
        <w:trPr>
          <w:trHeight w:val="203"/>
        </w:trPr>
        <w:tc>
          <w:tcPr>
            <w:tcW w:w="7200" w:type="dxa"/>
            <w:vAlign w:val="bottom"/>
            <w:gridSpan w:val="2"/>
            <w:shd w:val="clear" w:color="auto" w:fill="E5FFFF"/>
          </w:tcPr>
          <w:p>
            <w:pPr>
              <w:spacing w:after="0" w:line="202" w:lineRule="exact"/>
              <w:rPr>
                <w:sz w:val="20"/>
                <w:szCs w:val="20"/>
                <w:color w:val="auto"/>
              </w:rPr>
            </w:pPr>
            <w:r>
              <w:rPr>
                <w:rFonts w:ascii="Arial" w:cs="Arial" w:eastAsia="Arial" w:hAnsi="Arial"/>
                <w:sz w:val="18"/>
                <w:szCs w:val="18"/>
                <w:color w:val="auto"/>
              </w:rPr>
              <w:t>Acquisitions, divestitures and other, net</w:t>
            </w:r>
          </w:p>
        </w:tc>
        <w:tc>
          <w:tcPr>
            <w:tcW w:w="840" w:type="dxa"/>
            <w:vAlign w:val="bottom"/>
            <w:tcBorders>
              <w:bottom w:val="single" w:sz="8" w:color="auto"/>
            </w:tcBorders>
            <w:shd w:val="clear" w:color="auto" w:fill="E5FFFF"/>
          </w:tcPr>
          <w:p>
            <w:pPr>
              <w:jc w:val="right"/>
              <w:spacing w:after="0" w:line="202" w:lineRule="exact"/>
              <w:rPr>
                <w:sz w:val="20"/>
                <w:szCs w:val="20"/>
                <w:color w:val="auto"/>
              </w:rPr>
            </w:pPr>
            <w:r>
              <w:rPr>
                <w:rFonts w:ascii="Arial" w:cs="Arial" w:eastAsia="Arial" w:hAnsi="Arial"/>
                <w:sz w:val="18"/>
                <w:szCs w:val="18"/>
                <w:color w:val="auto"/>
              </w:rPr>
              <w:t>1%</w:t>
            </w:r>
          </w:p>
        </w:tc>
        <w:tc>
          <w:tcPr>
            <w:tcW w:w="220" w:type="dxa"/>
            <w:vAlign w:val="bottom"/>
            <w:shd w:val="clear" w:color="auto" w:fill="E5FFFF"/>
          </w:tcPr>
          <w:p>
            <w:pPr>
              <w:spacing w:after="0"/>
              <w:rPr>
                <w:sz w:val="17"/>
                <w:szCs w:val="17"/>
                <w:color w:val="auto"/>
              </w:rPr>
            </w:pPr>
          </w:p>
        </w:tc>
        <w:tc>
          <w:tcPr>
            <w:tcW w:w="940" w:type="dxa"/>
            <w:vAlign w:val="bottom"/>
            <w:tcBorders>
              <w:bottom w:val="single" w:sz="8" w:color="auto"/>
            </w:tcBorders>
            <w:shd w:val="clear" w:color="auto" w:fill="E5FFFF"/>
          </w:tcPr>
          <w:p>
            <w:pPr>
              <w:jc w:val="right"/>
              <w:spacing w:after="0" w:line="202" w:lineRule="exact"/>
              <w:rPr>
                <w:sz w:val="20"/>
                <w:szCs w:val="20"/>
                <w:color w:val="auto"/>
              </w:rPr>
            </w:pPr>
            <w:r>
              <w:rPr>
                <w:rFonts w:ascii="Arial" w:cs="Arial" w:eastAsia="Arial" w:hAnsi="Arial"/>
                <w:sz w:val="18"/>
                <w:szCs w:val="18"/>
                <w:color w:val="auto"/>
              </w:rPr>
              <w:t>1%</w:t>
            </w:r>
          </w:p>
        </w:tc>
        <w:tc>
          <w:tcPr>
            <w:tcW w:w="220" w:type="dxa"/>
            <w:vAlign w:val="bottom"/>
            <w:shd w:val="clear" w:color="auto" w:fill="E5FFFF"/>
          </w:tcPr>
          <w:p>
            <w:pPr>
              <w:spacing w:after="0"/>
              <w:rPr>
                <w:sz w:val="17"/>
                <w:szCs w:val="17"/>
                <w:color w:val="auto"/>
              </w:rPr>
            </w:pPr>
          </w:p>
        </w:tc>
        <w:tc>
          <w:tcPr>
            <w:tcW w:w="940" w:type="dxa"/>
            <w:vAlign w:val="bottom"/>
            <w:tcBorders>
              <w:bottom w:val="single" w:sz="8" w:color="auto"/>
            </w:tcBorders>
            <w:shd w:val="clear" w:color="auto" w:fill="E5FFFF"/>
          </w:tcPr>
          <w:p>
            <w:pPr>
              <w:jc w:val="right"/>
              <w:spacing w:after="0" w:line="202" w:lineRule="exact"/>
              <w:rPr>
                <w:sz w:val="20"/>
                <w:szCs w:val="20"/>
                <w:color w:val="auto"/>
              </w:rPr>
            </w:pPr>
            <w:r>
              <w:rPr>
                <w:rFonts w:ascii="Arial" w:cs="Arial" w:eastAsia="Arial" w:hAnsi="Arial"/>
                <w:sz w:val="18"/>
                <w:szCs w:val="18"/>
                <w:color w:val="auto"/>
              </w:rPr>
              <w:t>1%</w:t>
            </w:r>
          </w:p>
        </w:tc>
        <w:tc>
          <w:tcPr>
            <w:tcW w:w="220" w:type="dxa"/>
            <w:vAlign w:val="bottom"/>
            <w:shd w:val="clear" w:color="auto" w:fill="E5FFFF"/>
          </w:tcPr>
          <w:p>
            <w:pPr>
              <w:spacing w:after="0"/>
              <w:rPr>
                <w:sz w:val="17"/>
                <w:szCs w:val="17"/>
                <w:color w:val="auto"/>
              </w:rPr>
            </w:pPr>
          </w:p>
        </w:tc>
        <w:tc>
          <w:tcPr>
            <w:tcW w:w="840" w:type="dxa"/>
            <w:vAlign w:val="bottom"/>
            <w:tcBorders>
              <w:bottom w:val="single" w:sz="8" w:color="auto"/>
            </w:tcBorders>
            <w:shd w:val="clear" w:color="auto" w:fill="E5FFFF"/>
          </w:tcPr>
          <w:p>
            <w:pPr>
              <w:jc w:val="right"/>
              <w:spacing w:after="0" w:line="202" w:lineRule="exact"/>
              <w:rPr>
                <w:sz w:val="20"/>
                <w:szCs w:val="20"/>
                <w:color w:val="auto"/>
              </w:rPr>
            </w:pPr>
            <w:r>
              <w:rPr>
                <w:rFonts w:ascii="Arial" w:cs="Arial" w:eastAsia="Arial" w:hAnsi="Arial"/>
                <w:sz w:val="18"/>
                <w:szCs w:val="18"/>
                <w:color w:val="auto"/>
              </w:rPr>
              <w:t>1%</w:t>
            </w:r>
          </w:p>
        </w:tc>
      </w:tr>
      <w:tr>
        <w:trPr>
          <w:trHeight w:val="196"/>
        </w:trPr>
        <w:tc>
          <w:tcPr>
            <w:tcW w:w="7200" w:type="dxa"/>
            <w:vAlign w:val="bottom"/>
            <w:gridSpan w:val="2"/>
          </w:tcPr>
          <w:p>
            <w:pPr>
              <w:spacing w:after="0" w:line="196" w:lineRule="exact"/>
              <w:rPr>
                <w:sz w:val="20"/>
                <w:szCs w:val="20"/>
                <w:color w:val="auto"/>
              </w:rPr>
            </w:pPr>
            <w:r>
              <w:rPr>
                <w:rFonts w:ascii="Arial" w:cs="Arial" w:eastAsia="Arial" w:hAnsi="Arial"/>
                <w:sz w:val="18"/>
                <w:szCs w:val="18"/>
                <w:color w:val="auto"/>
              </w:rPr>
              <w:t>Total % change</w:t>
            </w:r>
          </w:p>
        </w:tc>
        <w:tc>
          <w:tcPr>
            <w:tcW w:w="8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w:t>
            </w:r>
          </w:p>
        </w:tc>
        <w:tc>
          <w:tcPr>
            <w:tcW w:w="220" w:type="dxa"/>
            <w:vAlign w:val="bottom"/>
          </w:tcPr>
          <w:p>
            <w:pPr>
              <w:spacing w:after="0"/>
              <w:rPr>
                <w:sz w:val="17"/>
                <w:szCs w:val="17"/>
                <w:color w:val="auto"/>
              </w:rPr>
            </w:pPr>
          </w:p>
        </w:tc>
        <w:tc>
          <w:tcPr>
            <w:tcW w:w="9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w:t>
            </w:r>
          </w:p>
        </w:tc>
        <w:tc>
          <w:tcPr>
            <w:tcW w:w="220" w:type="dxa"/>
            <w:vAlign w:val="bottom"/>
          </w:tcPr>
          <w:p>
            <w:pPr>
              <w:spacing w:after="0"/>
              <w:rPr>
                <w:sz w:val="17"/>
                <w:szCs w:val="17"/>
                <w:color w:val="auto"/>
              </w:rPr>
            </w:pPr>
          </w:p>
        </w:tc>
        <w:tc>
          <w:tcPr>
            <w:tcW w:w="9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w:t>
            </w:r>
          </w:p>
        </w:tc>
        <w:tc>
          <w:tcPr>
            <w:tcW w:w="220" w:type="dxa"/>
            <w:vAlign w:val="bottom"/>
          </w:tcPr>
          <w:p>
            <w:pPr>
              <w:spacing w:after="0"/>
              <w:rPr>
                <w:sz w:val="17"/>
                <w:szCs w:val="17"/>
                <w:color w:val="auto"/>
              </w:rPr>
            </w:pPr>
          </w:p>
        </w:tc>
        <w:tc>
          <w:tcPr>
            <w:tcW w:w="8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w:t>
            </w:r>
          </w:p>
        </w:tc>
      </w:tr>
      <w:tr>
        <w:trPr>
          <w:trHeight w:val="20"/>
        </w:trPr>
        <w:tc>
          <w:tcPr>
            <w:tcW w:w="47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Aerospace sales increased in the quarter and six months ended June 30, 2018 primarily due to organic sales growth, the favorable impact of foreign currency translation and the impact of the adoption of the new revenue recognition accounting standard (included within Acquisitions, divestitures and other, net in the table above).</w:t>
      </w:r>
    </w:p>
    <w:p>
      <w:pPr>
        <w:spacing w:after="0" w:line="176" w:lineRule="exact"/>
        <w:rPr>
          <w:sz w:val="20"/>
          <w:szCs w:val="20"/>
          <w:color w:val="auto"/>
        </w:rPr>
      </w:pPr>
    </w:p>
    <w:p>
      <w:pPr>
        <w:jc w:val="both"/>
        <w:ind w:left="980" w:hanging="324"/>
        <w:spacing w:after="0" w:line="239"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Commercial Aviation Original Equipment sales increased 11% (increased 7% organic) in the quarter and increased 12% (increased 8% organic) in the six months primarily due to increased demand from air transport, regional, and business aviation original equipment manufacturers (OEM), lower OEM incentives and the impact from the classification of nonrecurring engineering and development funding resulting from the adoption of the new revenue recognition accounting standard.</w:t>
      </w:r>
    </w:p>
    <w:p>
      <w:pPr>
        <w:spacing w:after="0" w:line="161" w:lineRule="exact"/>
        <w:rPr>
          <w:rFonts w:ascii="Arial" w:cs="Arial" w:eastAsia="Arial" w:hAnsi="Arial"/>
          <w:sz w:val="18"/>
          <w:szCs w:val="18"/>
          <w:color w:val="auto"/>
        </w:rPr>
      </w:pPr>
    </w:p>
    <w:p>
      <w:pPr>
        <w:jc w:val="both"/>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Commercial Aviation Aftermarket sales increased 5% (increased 4% organic) in the quarter and six months due to growth in air transport, regional and business aviation, and the impact to service program revenues resulting from the adoption of the new revenue recognition accounting standard.</w:t>
      </w:r>
    </w:p>
    <w:p>
      <w:pPr>
        <w:spacing w:after="0" w:line="162" w:lineRule="exact"/>
        <w:rPr>
          <w:rFonts w:ascii="Arial" w:cs="Arial" w:eastAsia="Arial" w:hAnsi="Arial"/>
          <w:sz w:val="18"/>
          <w:szCs w:val="18"/>
          <w:color w:val="auto"/>
        </w:rPr>
      </w:pPr>
    </w:p>
    <w:p>
      <w:pPr>
        <w:ind w:left="980" w:hanging="324"/>
        <w:spacing w:after="0" w:line="246"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Defense and Space sales increased 15% (increased 14% organic) in the quarter and six months primarily driven by growth in U.S. defense.</w:t>
      </w:r>
    </w:p>
    <w:p>
      <w:pPr>
        <w:spacing w:after="0" w:line="169" w:lineRule="exact"/>
        <w:rPr>
          <w:rFonts w:ascii="Arial" w:cs="Arial" w:eastAsia="Arial" w:hAnsi="Arial"/>
          <w:sz w:val="18"/>
          <w:szCs w:val="18"/>
          <w:color w:val="auto"/>
        </w:rPr>
      </w:pPr>
    </w:p>
    <w:p>
      <w:pPr>
        <w:jc w:val="both"/>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Transportation Systems sales increased 13% (increased 7% organic) in the quarter and increased 16% (increased 7% organic) in the six months primarily driven by higher volumes in light vehicle gas turbos and commercial vehicles and the favorable impact of foreign currency translation.</w:t>
      </w:r>
    </w:p>
    <w:p>
      <w:pPr>
        <w:spacing w:after="0" w:line="162" w:lineRule="exact"/>
        <w:rPr>
          <w:sz w:val="20"/>
          <w:szCs w:val="20"/>
          <w:color w:val="auto"/>
        </w:rPr>
      </w:pPr>
    </w:p>
    <w:p>
      <w:pPr>
        <w:ind w:right="40" w:firstLine="648"/>
        <w:spacing w:after="0" w:line="237" w:lineRule="auto"/>
        <w:rPr>
          <w:sz w:val="20"/>
          <w:szCs w:val="20"/>
          <w:color w:val="auto"/>
        </w:rPr>
      </w:pPr>
      <w:r>
        <w:rPr>
          <w:rFonts w:ascii="Arial" w:cs="Arial" w:eastAsia="Arial" w:hAnsi="Arial"/>
          <w:sz w:val="18"/>
          <w:szCs w:val="18"/>
          <w:color w:val="auto"/>
        </w:rPr>
        <w:t>Aerospace segment profit increased in the quarter and six months due to an increase in operational segment profit, the favorable impact of currency translation, and the impact on service programs from the adoption of the new revenue recognition accounting standard. The increase in operational segment profit in the quarter was driven primarily by higher organic sales volume, lower OEM incentives, partially offset by inflation impacts. The increase in operational segment profit in the six months was driven primarily by higher organic sales volume, lower OEM incentives, partially offset by the impact of nonrecurring customer contract close-outs and renewals in the prior year and inflation impacts. Cost of products and services sold increased in the quarter and six months primarily due to higher organic sales volume, the impact of foreign currency translation, and inflation in the six months.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Home and Building Technologies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60" w:type="dxa"/>
            <w:vAlign w:val="bottom"/>
            <w:gridSpan w:val="5"/>
          </w:tcPr>
          <w:p>
            <w:pPr>
              <w:jc w:val="center"/>
              <w:spacing w:after="0"/>
              <w:rPr>
                <w:sz w:val="20"/>
                <w:szCs w:val="20"/>
                <w:color w:val="auto"/>
              </w:rPr>
            </w:pPr>
            <w:r>
              <w:rPr>
                <w:rFonts w:ascii="Arial" w:cs="Arial" w:eastAsia="Arial" w:hAnsi="Arial"/>
                <w:sz w:val="14"/>
                <w:szCs w:val="14"/>
                <w:b w:val="1"/>
                <w:bCs w:val="1"/>
                <w:color w:val="auto"/>
              </w:rPr>
              <w:t>Three Months Ended</w:t>
            </w: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32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rPr>
              <w:t>Six Months Ended</w:t>
            </w:r>
          </w:p>
        </w:tc>
        <w:tc>
          <w:tcPr>
            <w:tcW w:w="840" w:type="dxa"/>
            <w:vAlign w:val="bottom"/>
          </w:tcPr>
          <w:p>
            <w:pPr>
              <w:spacing w:after="0"/>
              <w:rPr>
                <w:sz w:val="15"/>
                <w:szCs w:val="15"/>
                <w:color w:val="auto"/>
              </w:rPr>
            </w:pPr>
          </w:p>
        </w:tc>
      </w:tr>
      <w:tr>
        <w:trPr>
          <w:trHeight w:val="175"/>
        </w:trPr>
        <w:tc>
          <w:tcPr>
            <w:tcW w:w="50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2"/>
          </w:tcPr>
          <w:p>
            <w:pPr>
              <w:jc w:val="center"/>
              <w:ind w:right="440"/>
              <w:spacing w:after="0"/>
              <w:rPr>
                <w:sz w:val="20"/>
                <w:szCs w:val="20"/>
                <w:color w:val="auto"/>
              </w:rPr>
            </w:pPr>
            <w:r>
              <w:rPr>
                <w:rFonts w:ascii="Arial" w:cs="Arial" w:eastAsia="Arial" w:hAnsi="Arial"/>
                <w:sz w:val="14"/>
                <w:szCs w:val="14"/>
                <w:b w:val="1"/>
                <w:bCs w:val="1"/>
                <w:color w:val="auto"/>
              </w:rPr>
              <w:t>June 30,</w:t>
            </w:r>
          </w:p>
        </w:tc>
        <w:tc>
          <w:tcPr>
            <w:tcW w:w="84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gridSpan w:val="2"/>
          </w:tcPr>
          <w:p>
            <w:pPr>
              <w:jc w:val="center"/>
              <w:ind w:right="400"/>
              <w:spacing w:after="0"/>
              <w:rPr>
                <w:sz w:val="20"/>
                <w:szCs w:val="20"/>
                <w:color w:val="auto"/>
              </w:rPr>
            </w:pPr>
            <w:r>
              <w:rPr>
                <w:rFonts w:ascii="Arial" w:cs="Arial" w:eastAsia="Arial" w:hAnsi="Arial"/>
                <w:sz w:val="14"/>
                <w:szCs w:val="14"/>
                <w:b w:val="1"/>
                <w:bCs w:val="1"/>
                <w:color w:val="auto"/>
              </w:rPr>
              <w:t>June 30,</w:t>
            </w:r>
          </w:p>
        </w:tc>
        <w:tc>
          <w:tcPr>
            <w:tcW w:w="840" w:type="dxa"/>
            <w:vAlign w:val="bottom"/>
            <w:tcBorders>
              <w:bottom w:val="single" w:sz="8" w:color="auto"/>
            </w:tcBorders>
          </w:tcPr>
          <w:p>
            <w:pPr>
              <w:spacing w:after="0"/>
              <w:rPr>
                <w:sz w:val="15"/>
                <w:szCs w:val="15"/>
                <w:color w:val="auto"/>
              </w:rPr>
            </w:pPr>
          </w:p>
        </w:tc>
      </w:tr>
      <w:tr>
        <w:trPr>
          <w:trHeight w:val="169"/>
        </w:trPr>
        <w:tc>
          <w:tcPr>
            <w:tcW w:w="5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jc w:val="right"/>
              <w:ind w:right="113"/>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ind w:right="216"/>
              <w:spacing w:after="0"/>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4"/>
                <w:szCs w:val="14"/>
                <w:color w:val="auto"/>
              </w:rPr>
            </w:pPr>
          </w:p>
        </w:tc>
        <w:tc>
          <w:tcPr>
            <w:tcW w:w="1040" w:type="dxa"/>
            <w:vAlign w:val="bottom"/>
            <w:gridSpan w:val="2"/>
          </w:tcPr>
          <w:p>
            <w:pPr>
              <w:ind w:left="60"/>
              <w:spacing w:after="0"/>
              <w:rPr>
                <w:sz w:val="20"/>
                <w:szCs w:val="20"/>
                <w:color w:val="auto"/>
              </w:rPr>
            </w:pPr>
            <w:r>
              <w:rPr>
                <w:rFonts w:ascii="Arial" w:cs="Arial" w:eastAsia="Arial" w:hAnsi="Arial"/>
                <w:sz w:val="14"/>
                <w:szCs w:val="14"/>
                <w:b w:val="1"/>
                <w:bCs w:val="1"/>
                <w:color w:val="auto"/>
              </w:rPr>
              <w:t>% Change</w:t>
            </w:r>
          </w:p>
        </w:tc>
        <w:tc>
          <w:tcPr>
            <w:tcW w:w="200" w:type="dxa"/>
            <w:vAlign w:val="bottom"/>
          </w:tcPr>
          <w:p>
            <w:pPr>
              <w:spacing w:after="0"/>
              <w:rPr>
                <w:sz w:val="14"/>
                <w:szCs w:val="14"/>
                <w:color w:val="auto"/>
              </w:rPr>
            </w:pPr>
          </w:p>
        </w:tc>
        <w:tc>
          <w:tcPr>
            <w:tcW w:w="700" w:type="dxa"/>
            <w:vAlign w:val="bottom"/>
          </w:tcPr>
          <w:p>
            <w:pPr>
              <w:jc w:val="right"/>
              <w:ind w:right="194"/>
              <w:spacing w:after="0"/>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ind w:right="196"/>
              <w:spacing w:after="0"/>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 Change</w:t>
            </w:r>
          </w:p>
        </w:tc>
      </w:tr>
      <w:tr>
        <w:trPr>
          <w:trHeight w:val="196"/>
        </w:trPr>
        <w:tc>
          <w:tcPr>
            <w:tcW w:w="5040" w:type="dxa"/>
            <w:vAlign w:val="bottom"/>
            <w:tcBorders>
              <w:top w:val="single" w:sz="8" w:color="E5FFFF"/>
            </w:tcBorders>
            <w:shd w:val="clear" w:color="auto" w:fill="E5FFFF"/>
          </w:tcPr>
          <w:p>
            <w:pPr>
              <w:spacing w:after="0" w:line="196" w:lineRule="exact"/>
              <w:rPr>
                <w:sz w:val="20"/>
                <w:szCs w:val="20"/>
                <w:color w:val="auto"/>
              </w:rPr>
            </w:pPr>
            <w:r>
              <w:rPr>
                <w:rFonts w:ascii="Arial" w:cs="Arial" w:eastAsia="Arial" w:hAnsi="Arial"/>
                <w:sz w:val="18"/>
                <w:szCs w:val="18"/>
                <w:color w:val="auto"/>
              </w:rPr>
              <w:t>Net sales</w:t>
            </w:r>
          </w:p>
        </w:tc>
        <w:tc>
          <w:tcPr>
            <w:tcW w:w="200" w:type="dxa"/>
            <w:vAlign w:val="bottom"/>
            <w:tcBorders>
              <w:top w:val="single" w:sz="8" w:color="auto"/>
            </w:tcBorders>
            <w:shd w:val="clear" w:color="auto" w:fill="E5FF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2,546</w:t>
            </w:r>
          </w:p>
        </w:tc>
        <w:tc>
          <w:tcPr>
            <w:tcW w:w="100" w:type="dxa"/>
            <w:vAlign w:val="bottom"/>
            <w:tcBorders>
              <w:top w:val="single" w:sz="8" w:color="auto"/>
            </w:tcBorders>
            <w:shd w:val="clear" w:color="auto" w:fill="E5FFFF"/>
          </w:tcPr>
          <w:p>
            <w:pPr>
              <w:spacing w:after="0"/>
              <w:rPr>
                <w:sz w:val="17"/>
                <w:szCs w:val="17"/>
                <w:color w:val="auto"/>
              </w:rPr>
            </w:pPr>
          </w:p>
        </w:tc>
        <w:tc>
          <w:tcPr>
            <w:tcW w:w="240" w:type="dxa"/>
            <w:vAlign w:val="bottom"/>
            <w:tcBorders>
              <w:top w:val="single" w:sz="8" w:color="E5FFFF"/>
            </w:tcBorders>
            <w:shd w:val="clear" w:color="auto" w:fill="E5FFFF"/>
          </w:tcPr>
          <w:p>
            <w:pPr>
              <w:spacing w:after="0"/>
              <w:rPr>
                <w:sz w:val="17"/>
                <w:szCs w:val="17"/>
                <w:color w:val="auto"/>
              </w:rPr>
            </w:pPr>
          </w:p>
        </w:tc>
        <w:tc>
          <w:tcPr>
            <w:tcW w:w="100" w:type="dxa"/>
            <w:vAlign w:val="bottom"/>
            <w:tcBorders>
              <w:top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E5FFFF"/>
          </w:tcPr>
          <w:p>
            <w:pPr>
              <w:jc w:val="right"/>
              <w:ind w:right="16"/>
              <w:spacing w:after="0" w:line="196" w:lineRule="exact"/>
              <w:rPr>
                <w:sz w:val="20"/>
                <w:szCs w:val="20"/>
                <w:color w:val="auto"/>
              </w:rPr>
            </w:pPr>
            <w:r>
              <w:rPr>
                <w:rFonts w:ascii="Arial" w:cs="Arial" w:eastAsia="Arial" w:hAnsi="Arial"/>
                <w:sz w:val="18"/>
                <w:szCs w:val="18"/>
                <w:color w:val="auto"/>
              </w:rPr>
              <w:t>2,414</w:t>
            </w:r>
          </w:p>
        </w:tc>
        <w:tc>
          <w:tcPr>
            <w:tcW w:w="220" w:type="dxa"/>
            <w:vAlign w:val="bottom"/>
            <w:tcBorders>
              <w:top w:val="single" w:sz="8" w:color="E5FFFF"/>
            </w:tcBorders>
            <w:shd w:val="clear" w:color="auto" w:fill="E5FFFF"/>
          </w:tcPr>
          <w:p>
            <w:pPr>
              <w:spacing w:after="0"/>
              <w:rPr>
                <w:sz w:val="17"/>
                <w:szCs w:val="17"/>
                <w:color w:val="auto"/>
              </w:rPr>
            </w:pPr>
          </w:p>
        </w:tc>
        <w:tc>
          <w:tcPr>
            <w:tcW w:w="840" w:type="dxa"/>
            <w:vAlign w:val="bottom"/>
            <w:tcBorders>
              <w:top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5%</w:t>
            </w:r>
          </w:p>
        </w:tc>
        <w:tc>
          <w:tcPr>
            <w:tcW w:w="200" w:type="dxa"/>
            <w:vAlign w:val="bottom"/>
            <w:tcBorders>
              <w:top w:val="single" w:sz="8" w:color="E5FFFF"/>
            </w:tcBorders>
            <w:shd w:val="clear" w:color="auto" w:fill="E5FFFF"/>
          </w:tcPr>
          <w:p>
            <w:pPr>
              <w:spacing w:after="0"/>
              <w:rPr>
                <w:sz w:val="17"/>
                <w:szCs w:val="17"/>
                <w:color w:val="auto"/>
              </w:rPr>
            </w:pPr>
          </w:p>
        </w:tc>
        <w:tc>
          <w:tcPr>
            <w:tcW w:w="200" w:type="dxa"/>
            <w:vAlign w:val="bottom"/>
            <w:tcBorders>
              <w:top w:val="single" w:sz="8" w:color="auto"/>
            </w:tcBorders>
            <w:shd w:val="clear" w:color="auto" w:fill="E5FF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E5FFFF"/>
          </w:tcPr>
          <w:p>
            <w:pPr>
              <w:jc w:val="right"/>
              <w:ind w:right="14"/>
              <w:spacing w:after="0" w:line="196" w:lineRule="exact"/>
              <w:rPr>
                <w:sz w:val="20"/>
                <w:szCs w:val="20"/>
                <w:color w:val="auto"/>
              </w:rPr>
            </w:pPr>
            <w:r>
              <w:rPr>
                <w:rFonts w:ascii="Arial" w:cs="Arial" w:eastAsia="Arial" w:hAnsi="Arial"/>
                <w:sz w:val="18"/>
                <w:szCs w:val="18"/>
                <w:color w:val="auto"/>
              </w:rPr>
              <w:t>4,979</w:t>
            </w:r>
          </w:p>
        </w:tc>
        <w:tc>
          <w:tcPr>
            <w:tcW w:w="220" w:type="dxa"/>
            <w:vAlign w:val="bottom"/>
            <w:tcBorders>
              <w:top w:val="single" w:sz="8" w:color="E5FFFF"/>
            </w:tcBorders>
            <w:shd w:val="clear" w:color="auto" w:fill="E5FFFF"/>
          </w:tcPr>
          <w:p>
            <w:pPr>
              <w:spacing w:after="0"/>
              <w:rPr>
                <w:sz w:val="17"/>
                <w:szCs w:val="17"/>
                <w:color w:val="auto"/>
              </w:rPr>
            </w:pPr>
          </w:p>
        </w:tc>
        <w:tc>
          <w:tcPr>
            <w:tcW w:w="120" w:type="dxa"/>
            <w:vAlign w:val="bottom"/>
            <w:tcBorders>
              <w:top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E5FFFF"/>
          </w:tcPr>
          <w:p>
            <w:pPr>
              <w:jc w:val="right"/>
              <w:ind w:right="16"/>
              <w:spacing w:after="0" w:line="196" w:lineRule="exact"/>
              <w:rPr>
                <w:sz w:val="20"/>
                <w:szCs w:val="20"/>
                <w:color w:val="auto"/>
              </w:rPr>
            </w:pPr>
            <w:r>
              <w:rPr>
                <w:rFonts w:ascii="Arial" w:cs="Arial" w:eastAsia="Arial" w:hAnsi="Arial"/>
                <w:sz w:val="18"/>
                <w:szCs w:val="18"/>
                <w:color w:val="auto"/>
              </w:rPr>
              <w:t>4,683</w:t>
            </w:r>
          </w:p>
        </w:tc>
        <w:tc>
          <w:tcPr>
            <w:tcW w:w="220" w:type="dxa"/>
            <w:vAlign w:val="bottom"/>
            <w:tcBorders>
              <w:top w:val="single" w:sz="8" w:color="E5FFFF"/>
            </w:tcBorders>
            <w:shd w:val="clear" w:color="auto" w:fill="E5FFFF"/>
          </w:tcPr>
          <w:p>
            <w:pPr>
              <w:spacing w:after="0"/>
              <w:rPr>
                <w:sz w:val="17"/>
                <w:szCs w:val="17"/>
                <w:color w:val="auto"/>
              </w:rPr>
            </w:pPr>
          </w:p>
        </w:tc>
        <w:tc>
          <w:tcPr>
            <w:tcW w:w="840" w:type="dxa"/>
            <w:vAlign w:val="bottom"/>
            <w:tcBorders>
              <w:top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6%</w:t>
            </w:r>
          </w:p>
        </w:tc>
      </w:tr>
      <w:tr>
        <w:trPr>
          <w:trHeight w:val="203"/>
        </w:trPr>
        <w:tc>
          <w:tcPr>
            <w:tcW w:w="5040" w:type="dxa"/>
            <w:vAlign w:val="bottom"/>
          </w:tcPr>
          <w:p>
            <w:pPr>
              <w:ind w:left="180"/>
              <w:spacing w:after="0" w:line="202" w:lineRule="exact"/>
              <w:rPr>
                <w:sz w:val="20"/>
                <w:szCs w:val="20"/>
                <w:color w:val="auto"/>
              </w:rPr>
            </w:pPr>
            <w:r>
              <w:rPr>
                <w:rFonts w:ascii="Arial" w:cs="Arial" w:eastAsia="Arial" w:hAnsi="Arial"/>
                <w:sz w:val="18"/>
                <w:szCs w:val="18"/>
                <w:color w:val="auto"/>
              </w:rPr>
              <w:t>Cost of products and services sold</w:t>
            </w:r>
          </w:p>
        </w:tc>
        <w:tc>
          <w:tcPr>
            <w:tcW w:w="20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1,688</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ind w:right="16"/>
              <w:spacing w:after="0" w:line="202" w:lineRule="exact"/>
              <w:rPr>
                <w:sz w:val="20"/>
                <w:szCs w:val="20"/>
                <w:color w:val="auto"/>
              </w:rPr>
            </w:pPr>
            <w:r>
              <w:rPr>
                <w:rFonts w:ascii="Arial" w:cs="Arial" w:eastAsia="Arial" w:hAnsi="Arial"/>
                <w:sz w:val="18"/>
                <w:szCs w:val="18"/>
                <w:color w:val="auto"/>
              </w:rPr>
              <w:t>1,598</w:t>
            </w: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ind w:right="14"/>
              <w:spacing w:after="0" w:line="202" w:lineRule="exact"/>
              <w:rPr>
                <w:sz w:val="20"/>
                <w:szCs w:val="20"/>
                <w:color w:val="auto"/>
              </w:rPr>
            </w:pPr>
            <w:r>
              <w:rPr>
                <w:rFonts w:ascii="Arial" w:cs="Arial" w:eastAsia="Arial" w:hAnsi="Arial"/>
                <w:sz w:val="18"/>
                <w:szCs w:val="18"/>
                <w:color w:val="auto"/>
              </w:rPr>
              <w:t>3,274</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ind w:right="16"/>
              <w:spacing w:after="0" w:line="202" w:lineRule="exact"/>
              <w:rPr>
                <w:sz w:val="20"/>
                <w:szCs w:val="20"/>
                <w:color w:val="auto"/>
              </w:rPr>
            </w:pPr>
            <w:r>
              <w:rPr>
                <w:rFonts w:ascii="Arial" w:cs="Arial" w:eastAsia="Arial" w:hAnsi="Arial"/>
                <w:sz w:val="18"/>
                <w:szCs w:val="18"/>
                <w:color w:val="auto"/>
              </w:rPr>
              <w:t>3,078</w:t>
            </w: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16"/>
        </w:trPr>
        <w:tc>
          <w:tcPr>
            <w:tcW w:w="5040" w:type="dxa"/>
            <w:vAlign w:val="bottom"/>
            <w:shd w:val="clear" w:color="auto" w:fill="E5FFFF"/>
          </w:tcPr>
          <w:p>
            <w:pPr>
              <w:ind w:left="180"/>
              <w:spacing w:after="0"/>
              <w:rPr>
                <w:sz w:val="20"/>
                <w:szCs w:val="20"/>
                <w:color w:val="auto"/>
              </w:rPr>
            </w:pPr>
            <w:r>
              <w:rPr>
                <w:rFonts w:ascii="Arial" w:cs="Arial" w:eastAsia="Arial" w:hAnsi="Arial"/>
                <w:sz w:val="18"/>
                <w:szCs w:val="18"/>
                <w:color w:val="auto"/>
              </w:rPr>
              <w:t>Selling, general and administrative and other expenses</w:t>
            </w:r>
          </w:p>
        </w:tc>
        <w:tc>
          <w:tcPr>
            <w:tcW w:w="200" w:type="dxa"/>
            <w:vAlign w:val="bottom"/>
            <w:tcBorders>
              <w:bottom w:val="single" w:sz="8" w:color="auto"/>
            </w:tcBorders>
            <w:shd w:val="clear" w:color="auto" w:fill="E5FFFF"/>
          </w:tcPr>
          <w:p>
            <w:pPr>
              <w:spacing w:after="0"/>
              <w:rPr>
                <w:sz w:val="18"/>
                <w:szCs w:val="18"/>
                <w:color w:val="auto"/>
              </w:rPr>
            </w:pPr>
          </w:p>
        </w:tc>
        <w:tc>
          <w:tcPr>
            <w:tcW w:w="6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431</w:t>
            </w:r>
          </w:p>
        </w:tc>
        <w:tc>
          <w:tcPr>
            <w:tcW w:w="100" w:type="dxa"/>
            <w:vAlign w:val="bottom"/>
            <w:tcBorders>
              <w:bottom w:val="single" w:sz="8" w:color="auto"/>
            </w:tcBorders>
            <w:shd w:val="clear" w:color="auto" w:fill="E5FFFF"/>
          </w:tcPr>
          <w:p>
            <w:pPr>
              <w:spacing w:after="0"/>
              <w:rPr>
                <w:sz w:val="18"/>
                <w:szCs w:val="18"/>
                <w:color w:val="auto"/>
              </w:rPr>
            </w:pPr>
          </w:p>
        </w:tc>
        <w:tc>
          <w:tcPr>
            <w:tcW w:w="240" w:type="dxa"/>
            <w:vAlign w:val="bottom"/>
            <w:shd w:val="clear" w:color="auto" w:fill="E5FFFF"/>
          </w:tcPr>
          <w:p>
            <w:pPr>
              <w:spacing w:after="0"/>
              <w:rPr>
                <w:sz w:val="18"/>
                <w:szCs w:val="18"/>
                <w:color w:val="auto"/>
              </w:rPr>
            </w:pPr>
          </w:p>
        </w:tc>
        <w:tc>
          <w:tcPr>
            <w:tcW w:w="100" w:type="dxa"/>
            <w:vAlign w:val="bottom"/>
            <w:tcBorders>
              <w:bottom w:val="single" w:sz="8" w:color="auto"/>
            </w:tcBorders>
            <w:shd w:val="clear" w:color="auto" w:fill="E5FFFF"/>
          </w:tcPr>
          <w:p>
            <w:pPr>
              <w:spacing w:after="0"/>
              <w:rPr>
                <w:sz w:val="18"/>
                <w:szCs w:val="18"/>
                <w:color w:val="auto"/>
              </w:rPr>
            </w:pPr>
          </w:p>
        </w:tc>
        <w:tc>
          <w:tcPr>
            <w:tcW w:w="800" w:type="dxa"/>
            <w:vAlign w:val="bottom"/>
            <w:tcBorders>
              <w:bottom w:val="single" w:sz="8" w:color="auto"/>
            </w:tcBorders>
            <w:shd w:val="clear" w:color="auto" w:fill="E5FFFF"/>
          </w:tcPr>
          <w:p>
            <w:pPr>
              <w:jc w:val="right"/>
              <w:ind w:right="16"/>
              <w:spacing w:after="0"/>
              <w:rPr>
                <w:sz w:val="20"/>
                <w:szCs w:val="20"/>
                <w:color w:val="auto"/>
              </w:rPr>
            </w:pPr>
            <w:r>
              <w:rPr>
                <w:rFonts w:ascii="Arial" w:cs="Arial" w:eastAsia="Arial" w:hAnsi="Arial"/>
                <w:sz w:val="18"/>
                <w:szCs w:val="18"/>
                <w:color w:val="auto"/>
              </w:rPr>
              <w:t>425</w:t>
            </w:r>
          </w:p>
        </w:tc>
        <w:tc>
          <w:tcPr>
            <w:tcW w:w="220" w:type="dxa"/>
            <w:vAlign w:val="bottom"/>
            <w:shd w:val="clear" w:color="auto" w:fill="E5FFFF"/>
          </w:tcPr>
          <w:p>
            <w:pPr>
              <w:spacing w:after="0"/>
              <w:rPr>
                <w:sz w:val="18"/>
                <w:szCs w:val="18"/>
                <w:color w:val="auto"/>
              </w:rPr>
            </w:pPr>
          </w:p>
        </w:tc>
        <w:tc>
          <w:tcPr>
            <w:tcW w:w="84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200" w:type="dxa"/>
            <w:vAlign w:val="bottom"/>
            <w:tcBorders>
              <w:bottom w:val="single" w:sz="8" w:color="auto"/>
            </w:tcBorders>
            <w:shd w:val="clear" w:color="auto" w:fill="E5FFFF"/>
          </w:tcPr>
          <w:p>
            <w:pPr>
              <w:spacing w:after="0"/>
              <w:rPr>
                <w:sz w:val="18"/>
                <w:szCs w:val="18"/>
                <w:color w:val="auto"/>
              </w:rPr>
            </w:pPr>
          </w:p>
        </w:tc>
        <w:tc>
          <w:tcPr>
            <w:tcW w:w="700" w:type="dxa"/>
            <w:vAlign w:val="bottom"/>
            <w:tcBorders>
              <w:bottom w:val="single" w:sz="8" w:color="auto"/>
            </w:tcBorders>
            <w:shd w:val="clear" w:color="auto" w:fill="E5FFFF"/>
          </w:tcPr>
          <w:p>
            <w:pPr>
              <w:jc w:val="right"/>
              <w:ind w:right="14"/>
              <w:spacing w:after="0"/>
              <w:rPr>
                <w:sz w:val="20"/>
                <w:szCs w:val="20"/>
                <w:color w:val="auto"/>
              </w:rPr>
            </w:pPr>
            <w:r>
              <w:rPr>
                <w:rFonts w:ascii="Arial" w:cs="Arial" w:eastAsia="Arial" w:hAnsi="Arial"/>
                <w:sz w:val="18"/>
                <w:szCs w:val="18"/>
                <w:color w:val="auto"/>
              </w:rPr>
              <w:t>862</w:t>
            </w:r>
          </w:p>
        </w:tc>
        <w:tc>
          <w:tcPr>
            <w:tcW w:w="220" w:type="dxa"/>
            <w:vAlign w:val="bottom"/>
            <w:shd w:val="clear" w:color="auto" w:fill="E5FFFF"/>
          </w:tcPr>
          <w:p>
            <w:pPr>
              <w:spacing w:after="0"/>
              <w:rPr>
                <w:sz w:val="18"/>
                <w:szCs w:val="18"/>
                <w:color w:val="auto"/>
              </w:rPr>
            </w:pPr>
          </w:p>
        </w:tc>
        <w:tc>
          <w:tcPr>
            <w:tcW w:w="120" w:type="dxa"/>
            <w:vAlign w:val="bottom"/>
            <w:tcBorders>
              <w:bottom w:val="single" w:sz="8" w:color="auto"/>
            </w:tcBorders>
            <w:shd w:val="clear" w:color="auto" w:fill="E5FFFF"/>
          </w:tcPr>
          <w:p>
            <w:pPr>
              <w:spacing w:after="0"/>
              <w:rPr>
                <w:sz w:val="18"/>
                <w:szCs w:val="18"/>
                <w:color w:val="auto"/>
              </w:rPr>
            </w:pPr>
          </w:p>
        </w:tc>
        <w:tc>
          <w:tcPr>
            <w:tcW w:w="760" w:type="dxa"/>
            <w:vAlign w:val="bottom"/>
            <w:tcBorders>
              <w:bottom w:val="single" w:sz="8" w:color="auto"/>
            </w:tcBorders>
            <w:shd w:val="clear" w:color="auto" w:fill="E5FFFF"/>
          </w:tcPr>
          <w:p>
            <w:pPr>
              <w:jc w:val="right"/>
              <w:ind w:right="16"/>
              <w:spacing w:after="0"/>
              <w:rPr>
                <w:sz w:val="20"/>
                <w:szCs w:val="20"/>
                <w:color w:val="auto"/>
              </w:rPr>
            </w:pPr>
            <w:r>
              <w:rPr>
                <w:rFonts w:ascii="Arial" w:cs="Arial" w:eastAsia="Arial" w:hAnsi="Arial"/>
                <w:sz w:val="18"/>
                <w:szCs w:val="18"/>
                <w:color w:val="auto"/>
              </w:rPr>
              <w:t>837</w:t>
            </w:r>
          </w:p>
        </w:tc>
        <w:tc>
          <w:tcPr>
            <w:tcW w:w="220" w:type="dxa"/>
            <w:vAlign w:val="bottom"/>
            <w:shd w:val="clear" w:color="auto" w:fill="E5FFFF"/>
          </w:tcPr>
          <w:p>
            <w:pPr>
              <w:spacing w:after="0"/>
              <w:rPr>
                <w:sz w:val="18"/>
                <w:szCs w:val="18"/>
                <w:color w:val="auto"/>
              </w:rPr>
            </w:pPr>
          </w:p>
        </w:tc>
        <w:tc>
          <w:tcPr>
            <w:tcW w:w="840" w:type="dxa"/>
            <w:vAlign w:val="bottom"/>
            <w:shd w:val="clear" w:color="auto" w:fill="E5FFFF"/>
          </w:tcPr>
          <w:p>
            <w:pPr>
              <w:spacing w:after="0"/>
              <w:rPr>
                <w:sz w:val="18"/>
                <w:szCs w:val="18"/>
                <w:color w:val="auto"/>
              </w:rPr>
            </w:pPr>
          </w:p>
        </w:tc>
      </w:tr>
      <w:tr>
        <w:trPr>
          <w:trHeight w:val="196"/>
        </w:trPr>
        <w:tc>
          <w:tcPr>
            <w:tcW w:w="5040" w:type="dxa"/>
            <w:vAlign w:val="bottom"/>
          </w:tcPr>
          <w:p>
            <w:pPr>
              <w:spacing w:after="0" w:line="196" w:lineRule="exact"/>
              <w:rPr>
                <w:sz w:val="20"/>
                <w:szCs w:val="20"/>
                <w:color w:val="auto"/>
              </w:rPr>
            </w:pPr>
            <w:r>
              <w:rPr>
                <w:rFonts w:ascii="Arial" w:cs="Arial" w:eastAsia="Arial" w:hAnsi="Arial"/>
                <w:sz w:val="18"/>
                <w:szCs w:val="18"/>
                <w:color w:val="auto"/>
              </w:rPr>
              <w:t>Segment profit</w:t>
            </w:r>
          </w:p>
        </w:tc>
        <w:tc>
          <w:tcPr>
            <w:tcW w:w="20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427</w:t>
            </w:r>
          </w:p>
        </w:tc>
        <w:tc>
          <w:tcPr>
            <w:tcW w:w="10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ind w:right="16"/>
              <w:spacing w:after="0" w:line="196" w:lineRule="exact"/>
              <w:rPr>
                <w:sz w:val="20"/>
                <w:szCs w:val="20"/>
                <w:color w:val="auto"/>
              </w:rPr>
            </w:pPr>
            <w:r>
              <w:rPr>
                <w:rFonts w:ascii="Arial" w:cs="Arial" w:eastAsia="Arial" w:hAnsi="Arial"/>
                <w:sz w:val="18"/>
                <w:szCs w:val="18"/>
                <w:color w:val="auto"/>
              </w:rPr>
              <w:t>391</w:t>
            </w:r>
          </w:p>
        </w:tc>
        <w:tc>
          <w:tcPr>
            <w:tcW w:w="220" w:type="dxa"/>
            <w:vAlign w:val="bottom"/>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c>
          <w:tcPr>
            <w:tcW w:w="200" w:type="dxa"/>
            <w:vAlign w:val="bottom"/>
          </w:tcPr>
          <w:p>
            <w:pPr>
              <w:spacing w:after="0"/>
              <w:rPr>
                <w:sz w:val="17"/>
                <w:szCs w:val="17"/>
                <w:color w:val="auto"/>
              </w:rPr>
            </w:pPr>
          </w:p>
        </w:tc>
        <w:tc>
          <w:tcPr>
            <w:tcW w:w="20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ind w:right="14"/>
              <w:spacing w:after="0" w:line="196" w:lineRule="exact"/>
              <w:rPr>
                <w:sz w:val="20"/>
                <w:szCs w:val="20"/>
                <w:color w:val="auto"/>
              </w:rPr>
            </w:pPr>
            <w:r>
              <w:rPr>
                <w:rFonts w:ascii="Arial" w:cs="Arial" w:eastAsia="Arial" w:hAnsi="Arial"/>
                <w:sz w:val="18"/>
                <w:szCs w:val="18"/>
                <w:color w:val="auto"/>
              </w:rPr>
              <w:t>843</w:t>
            </w:r>
          </w:p>
        </w:tc>
        <w:tc>
          <w:tcPr>
            <w:tcW w:w="220" w:type="dxa"/>
            <w:vAlign w:val="bottom"/>
          </w:tcPr>
          <w:p>
            <w:pPr>
              <w:spacing w:after="0"/>
              <w:rPr>
                <w:sz w:val="17"/>
                <w:szCs w:val="17"/>
                <w:color w:val="auto"/>
              </w:rPr>
            </w:pPr>
          </w:p>
        </w:tc>
        <w:tc>
          <w:tcPr>
            <w:tcW w:w="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ind w:right="16"/>
              <w:spacing w:after="0" w:line="196" w:lineRule="exact"/>
              <w:rPr>
                <w:sz w:val="20"/>
                <w:szCs w:val="20"/>
                <w:color w:val="auto"/>
              </w:rPr>
            </w:pPr>
            <w:r>
              <w:rPr>
                <w:rFonts w:ascii="Arial" w:cs="Arial" w:eastAsia="Arial" w:hAnsi="Arial"/>
                <w:sz w:val="18"/>
                <w:szCs w:val="18"/>
                <w:color w:val="auto"/>
              </w:rPr>
              <w:t>768</w:t>
            </w:r>
          </w:p>
        </w:tc>
        <w:tc>
          <w:tcPr>
            <w:tcW w:w="220" w:type="dxa"/>
            <w:vAlign w:val="bottom"/>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r>
      <w:tr>
        <w:trPr>
          <w:trHeight w:val="20"/>
        </w:trPr>
        <w:tc>
          <w:tcPr>
            <w:tcW w:w="50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372"/>
        </w:trPr>
        <w:tc>
          <w:tcPr>
            <w:tcW w:w="5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37"/>
        </w:trPr>
        <w:tc>
          <w:tcPr>
            <w:tcW w:w="5040" w:type="dxa"/>
            <w:vAlign w:val="bottom"/>
            <w:tcBorders>
              <w:bottom w:val="single" w:sz="8" w:color="C0C0C0"/>
            </w:tcBorders>
          </w:tcPr>
          <w:p>
            <w:pPr>
              <w:spacing w:after="0"/>
              <w:rPr>
                <w:sz w:val="20"/>
                <w:szCs w:val="20"/>
                <w:color w:val="auto"/>
              </w:rPr>
            </w:pPr>
          </w:p>
        </w:tc>
        <w:tc>
          <w:tcPr>
            <w:tcW w:w="200" w:type="dxa"/>
            <w:vAlign w:val="bottom"/>
            <w:tcBorders>
              <w:bottom w:val="single" w:sz="8" w:color="C0C0C0"/>
            </w:tcBorders>
          </w:tcPr>
          <w:p>
            <w:pPr>
              <w:spacing w:after="0"/>
              <w:rPr>
                <w:sz w:val="20"/>
                <w:szCs w:val="20"/>
                <w:color w:val="auto"/>
              </w:rPr>
            </w:pPr>
          </w:p>
        </w:tc>
        <w:tc>
          <w:tcPr>
            <w:tcW w:w="620" w:type="dxa"/>
            <w:vAlign w:val="bottom"/>
            <w:tcBorders>
              <w:bottom w:val="single" w:sz="8" w:color="C0C0C0"/>
            </w:tcBorders>
          </w:tcPr>
          <w:p>
            <w:pPr>
              <w:spacing w:after="0"/>
              <w:rPr>
                <w:sz w:val="20"/>
                <w:szCs w:val="20"/>
                <w:color w:val="auto"/>
              </w:rPr>
            </w:pPr>
          </w:p>
        </w:tc>
        <w:tc>
          <w:tcPr>
            <w:tcW w:w="100" w:type="dxa"/>
            <w:vAlign w:val="bottom"/>
            <w:tcBorders>
              <w:bottom w:val="single" w:sz="8" w:color="C0C0C0"/>
            </w:tcBorders>
          </w:tcPr>
          <w:p>
            <w:pPr>
              <w:spacing w:after="0"/>
              <w:rPr>
                <w:sz w:val="20"/>
                <w:szCs w:val="20"/>
                <w:color w:val="auto"/>
              </w:rPr>
            </w:pPr>
          </w:p>
        </w:tc>
        <w:tc>
          <w:tcPr>
            <w:tcW w:w="240" w:type="dxa"/>
            <w:vAlign w:val="bottom"/>
            <w:tcBorders>
              <w:bottom w:val="single" w:sz="8" w:color="C0C0C0"/>
            </w:tcBorders>
          </w:tcPr>
          <w:p>
            <w:pPr>
              <w:spacing w:after="0"/>
              <w:rPr>
                <w:sz w:val="20"/>
                <w:szCs w:val="20"/>
                <w:color w:val="auto"/>
              </w:rPr>
            </w:pPr>
          </w:p>
        </w:tc>
        <w:tc>
          <w:tcPr>
            <w:tcW w:w="100" w:type="dxa"/>
            <w:vAlign w:val="bottom"/>
            <w:tcBorders>
              <w:bottom w:val="single" w:sz="8" w:color="C0C0C0"/>
            </w:tcBorders>
          </w:tcPr>
          <w:p>
            <w:pPr>
              <w:spacing w:after="0"/>
              <w:rPr>
                <w:sz w:val="20"/>
                <w:szCs w:val="20"/>
                <w:color w:val="auto"/>
              </w:rPr>
            </w:pPr>
          </w:p>
        </w:tc>
        <w:tc>
          <w:tcPr>
            <w:tcW w:w="800" w:type="dxa"/>
            <w:vAlign w:val="bottom"/>
            <w:tcBorders>
              <w:bottom w:val="single" w:sz="8" w:color="C0C0C0"/>
            </w:tcBorders>
          </w:tcPr>
          <w:p>
            <w:pPr>
              <w:spacing w:after="0"/>
              <w:rPr>
                <w:sz w:val="20"/>
                <w:szCs w:val="20"/>
                <w:color w:val="auto"/>
              </w:rPr>
            </w:pPr>
          </w:p>
        </w:tc>
        <w:tc>
          <w:tcPr>
            <w:tcW w:w="220" w:type="dxa"/>
            <w:vAlign w:val="bottom"/>
            <w:tcBorders>
              <w:bottom w:val="single" w:sz="8" w:color="C0C0C0"/>
            </w:tcBorders>
          </w:tcPr>
          <w:p>
            <w:pPr>
              <w:spacing w:after="0"/>
              <w:rPr>
                <w:sz w:val="20"/>
                <w:szCs w:val="20"/>
                <w:color w:val="auto"/>
              </w:rPr>
            </w:pPr>
          </w:p>
        </w:tc>
        <w:tc>
          <w:tcPr>
            <w:tcW w:w="840" w:type="dxa"/>
            <w:vAlign w:val="bottom"/>
            <w:tcBorders>
              <w:bottom w:val="single" w:sz="8" w:color="C0C0C0"/>
            </w:tcBorders>
          </w:tcPr>
          <w:p>
            <w:pPr>
              <w:spacing w:after="0"/>
              <w:rPr>
                <w:sz w:val="20"/>
                <w:szCs w:val="20"/>
                <w:color w:val="auto"/>
              </w:rPr>
            </w:pPr>
          </w:p>
        </w:tc>
        <w:tc>
          <w:tcPr>
            <w:tcW w:w="200" w:type="dxa"/>
            <w:vAlign w:val="bottom"/>
            <w:tcBorders>
              <w:bottom w:val="single" w:sz="8" w:color="C0C0C0"/>
            </w:tcBorders>
          </w:tcPr>
          <w:p>
            <w:pPr>
              <w:spacing w:after="0"/>
              <w:rPr>
                <w:sz w:val="20"/>
                <w:szCs w:val="20"/>
                <w:color w:val="auto"/>
              </w:rPr>
            </w:pPr>
          </w:p>
        </w:tc>
        <w:tc>
          <w:tcPr>
            <w:tcW w:w="200" w:type="dxa"/>
            <w:vAlign w:val="bottom"/>
            <w:tcBorders>
              <w:bottom w:val="single" w:sz="8" w:color="C0C0C0"/>
            </w:tcBorders>
          </w:tcPr>
          <w:p>
            <w:pPr>
              <w:spacing w:after="0"/>
              <w:rPr>
                <w:sz w:val="20"/>
                <w:szCs w:val="20"/>
                <w:color w:val="auto"/>
              </w:rPr>
            </w:pPr>
          </w:p>
        </w:tc>
        <w:tc>
          <w:tcPr>
            <w:tcW w:w="700" w:type="dxa"/>
            <w:vAlign w:val="bottom"/>
            <w:tcBorders>
              <w:bottom w:val="single" w:sz="8" w:color="C0C0C0"/>
            </w:tcBorders>
          </w:tcPr>
          <w:p>
            <w:pPr>
              <w:spacing w:after="0"/>
              <w:rPr>
                <w:sz w:val="20"/>
                <w:szCs w:val="20"/>
                <w:color w:val="auto"/>
              </w:rPr>
            </w:pPr>
          </w:p>
        </w:tc>
        <w:tc>
          <w:tcPr>
            <w:tcW w:w="220" w:type="dxa"/>
            <w:vAlign w:val="bottom"/>
            <w:tcBorders>
              <w:bottom w:val="single" w:sz="8" w:color="C0C0C0"/>
            </w:tcBorders>
          </w:tcPr>
          <w:p>
            <w:pPr>
              <w:spacing w:after="0"/>
              <w:rPr>
                <w:sz w:val="20"/>
                <w:szCs w:val="20"/>
                <w:color w:val="auto"/>
              </w:rPr>
            </w:pPr>
          </w:p>
        </w:tc>
        <w:tc>
          <w:tcPr>
            <w:tcW w:w="120" w:type="dxa"/>
            <w:vAlign w:val="bottom"/>
            <w:tcBorders>
              <w:bottom w:val="single" w:sz="8" w:color="C0C0C0"/>
            </w:tcBorders>
          </w:tcPr>
          <w:p>
            <w:pPr>
              <w:spacing w:after="0"/>
              <w:rPr>
                <w:sz w:val="20"/>
                <w:szCs w:val="20"/>
                <w:color w:val="auto"/>
              </w:rPr>
            </w:pPr>
          </w:p>
        </w:tc>
        <w:tc>
          <w:tcPr>
            <w:tcW w:w="760" w:type="dxa"/>
            <w:vAlign w:val="bottom"/>
            <w:tcBorders>
              <w:bottom w:val="single" w:sz="8" w:color="C0C0C0"/>
            </w:tcBorders>
          </w:tcPr>
          <w:p>
            <w:pPr>
              <w:spacing w:after="0"/>
              <w:rPr>
                <w:sz w:val="20"/>
                <w:szCs w:val="20"/>
                <w:color w:val="auto"/>
              </w:rPr>
            </w:pPr>
          </w:p>
        </w:tc>
        <w:tc>
          <w:tcPr>
            <w:tcW w:w="220" w:type="dxa"/>
            <w:vAlign w:val="bottom"/>
            <w:tcBorders>
              <w:bottom w:val="single" w:sz="8" w:color="C0C0C0"/>
            </w:tcBorders>
          </w:tcPr>
          <w:p>
            <w:pPr>
              <w:spacing w:after="0"/>
              <w:rPr>
                <w:sz w:val="20"/>
                <w:szCs w:val="20"/>
                <w:color w:val="auto"/>
              </w:rPr>
            </w:pPr>
          </w:p>
        </w:tc>
        <w:tc>
          <w:tcPr>
            <w:tcW w:w="840" w:type="dxa"/>
            <w:vAlign w:val="bottom"/>
            <w:tcBorders>
              <w:bottom w:val="single" w:sz="8" w:color="C0C0C0"/>
            </w:tcBorders>
          </w:tcPr>
          <w:p>
            <w:pPr>
              <w:spacing w:after="0"/>
              <w:rPr>
                <w:sz w:val="20"/>
                <w:szCs w:val="20"/>
                <w:color w:val="auto"/>
              </w:rPr>
            </w:pPr>
          </w:p>
        </w:tc>
      </w:tr>
    </w:tbl>
    <w:p>
      <w:pPr>
        <w:sectPr>
          <w:pgSz w:w="11900" w:h="16838" w:orient="portrait"/>
          <w:cols w:equalWidth="0" w:num="1">
            <w:col w:w="11420"/>
          </w:cols>
          <w:pgMar w:left="240" w:top="410" w:right="239" w:bottom="1440" w:gutter="0" w:footer="0" w:header="0"/>
        </w:sectPr>
      </w:pPr>
    </w:p>
    <w:bookmarkStart w:id="32" w:name="page33"/>
    <w:bookmarkEnd w:id="3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78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320" w:type="dxa"/>
            <w:vAlign w:val="bottom"/>
            <w:tcBorders>
              <w:bottom w:val="single" w:sz="8" w:color="auto"/>
            </w:tcBorders>
            <w:gridSpan w:val="4"/>
          </w:tcPr>
          <w:p>
            <w:pPr>
              <w:ind w:left="600"/>
              <w:spacing w:after="0"/>
              <w:rPr>
                <w:sz w:val="20"/>
                <w:szCs w:val="20"/>
                <w:color w:val="auto"/>
              </w:rPr>
            </w:pPr>
            <w:r>
              <w:rPr>
                <w:rFonts w:ascii="Arial" w:cs="Arial" w:eastAsia="Arial" w:hAnsi="Arial"/>
                <w:sz w:val="14"/>
                <w:szCs w:val="14"/>
                <w:b w:val="1"/>
                <w:bCs w:val="1"/>
                <w:color w:val="auto"/>
              </w:rPr>
              <w:t>2018 vs. 2017</w:t>
            </w:r>
          </w:p>
        </w:tc>
        <w:tc>
          <w:tcPr>
            <w:tcW w:w="840" w:type="dxa"/>
            <w:vAlign w:val="bottom"/>
            <w:tcBorders>
              <w:bottom w:val="single" w:sz="8" w:color="auto"/>
            </w:tcBorders>
          </w:tcPr>
          <w:p>
            <w:pPr>
              <w:spacing w:after="0"/>
              <w:rPr>
                <w:sz w:val="15"/>
                <w:szCs w:val="15"/>
                <w:color w:val="auto"/>
              </w:rPr>
            </w:pPr>
          </w:p>
        </w:tc>
      </w:tr>
      <w:tr>
        <w:trPr>
          <w:trHeight w:val="142"/>
        </w:trPr>
        <w:tc>
          <w:tcPr>
            <w:tcW w:w="478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2220" w:type="dxa"/>
            <w:vAlign w:val="bottom"/>
            <w:gridSpan w:val="4"/>
          </w:tcPr>
          <w:p>
            <w:pPr>
              <w:jc w:val="right"/>
              <w:ind w:right="500"/>
              <w:spacing w:after="0" w:line="143" w:lineRule="exact"/>
              <w:rPr>
                <w:sz w:val="20"/>
                <w:szCs w:val="20"/>
                <w:color w:val="auto"/>
              </w:rPr>
            </w:pPr>
            <w:r>
              <w:rPr>
                <w:rFonts w:ascii="Arial" w:cs="Arial" w:eastAsia="Arial" w:hAnsi="Arial"/>
                <w:sz w:val="14"/>
                <w:szCs w:val="14"/>
                <w:b w:val="1"/>
                <w:bCs w:val="1"/>
                <w:color w:val="auto"/>
              </w:rPr>
              <w:t>Three Months Ended</w:t>
            </w:r>
          </w:p>
        </w:tc>
        <w:tc>
          <w:tcPr>
            <w:tcW w:w="2000" w:type="dxa"/>
            <w:vAlign w:val="bottom"/>
            <w:gridSpan w:val="3"/>
          </w:tcPr>
          <w:p>
            <w:pPr>
              <w:ind w:left="380"/>
              <w:spacing w:after="0" w:line="143" w:lineRule="exact"/>
              <w:rPr>
                <w:sz w:val="20"/>
                <w:szCs w:val="20"/>
                <w:color w:val="auto"/>
              </w:rPr>
            </w:pPr>
            <w:r>
              <w:rPr>
                <w:rFonts w:ascii="Arial" w:cs="Arial" w:eastAsia="Arial" w:hAnsi="Arial"/>
                <w:sz w:val="14"/>
                <w:szCs w:val="14"/>
                <w:b w:val="1"/>
                <w:bCs w:val="1"/>
                <w:color w:val="auto"/>
              </w:rPr>
              <w:t>Six Months Ended</w:t>
            </w:r>
          </w:p>
        </w:tc>
      </w:tr>
      <w:tr>
        <w:trPr>
          <w:trHeight w:val="175"/>
        </w:trPr>
        <w:tc>
          <w:tcPr>
            <w:tcW w:w="478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2220" w:type="dxa"/>
            <w:vAlign w:val="bottom"/>
            <w:gridSpan w:val="4"/>
          </w:tcPr>
          <w:p>
            <w:pPr>
              <w:ind w:left="720"/>
              <w:spacing w:after="0"/>
              <w:rPr>
                <w:sz w:val="20"/>
                <w:szCs w:val="20"/>
                <w:color w:val="auto"/>
              </w:rPr>
            </w:pPr>
            <w:r>
              <w:rPr>
                <w:rFonts w:ascii="Arial" w:cs="Arial" w:eastAsia="Arial" w:hAnsi="Arial"/>
                <w:sz w:val="14"/>
                <w:szCs w:val="14"/>
                <w:b w:val="1"/>
                <w:bCs w:val="1"/>
                <w:color w:val="auto"/>
              </w:rPr>
              <w:t>June 30,</w:t>
            </w:r>
          </w:p>
        </w:tc>
        <w:tc>
          <w:tcPr>
            <w:tcW w:w="2000" w:type="dxa"/>
            <w:vAlign w:val="bottom"/>
            <w:gridSpan w:val="3"/>
          </w:tcPr>
          <w:p>
            <w:pPr>
              <w:ind w:left="720"/>
              <w:spacing w:after="0"/>
              <w:rPr>
                <w:sz w:val="20"/>
                <w:szCs w:val="20"/>
                <w:color w:val="auto"/>
              </w:rPr>
            </w:pPr>
            <w:r>
              <w:rPr>
                <w:rFonts w:ascii="Arial" w:cs="Arial" w:eastAsia="Arial" w:hAnsi="Arial"/>
                <w:sz w:val="14"/>
                <w:szCs w:val="14"/>
                <w:b w:val="1"/>
                <w:bCs w:val="1"/>
                <w:color w:val="auto"/>
              </w:rPr>
              <w:t>June 30,</w:t>
            </w:r>
          </w:p>
        </w:tc>
      </w:tr>
      <w:tr>
        <w:trPr>
          <w:trHeight w:val="142"/>
        </w:trPr>
        <w:tc>
          <w:tcPr>
            <w:tcW w:w="478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jc w:val="right"/>
              <w:ind w:right="79"/>
              <w:spacing w:after="0" w:line="143" w:lineRule="exact"/>
              <w:rPr>
                <w:sz w:val="20"/>
                <w:szCs w:val="20"/>
                <w:color w:val="auto"/>
              </w:rPr>
            </w:pPr>
            <w:r>
              <w:rPr>
                <w:rFonts w:ascii="Arial" w:cs="Arial" w:eastAsia="Arial" w:hAnsi="Arial"/>
                <w:sz w:val="14"/>
                <w:szCs w:val="14"/>
                <w:b w:val="1"/>
                <w:bCs w:val="1"/>
                <w:color w:val="auto"/>
              </w:rPr>
              <w:t>Segment</w:t>
            </w:r>
          </w:p>
        </w:tc>
        <w:tc>
          <w:tcPr>
            <w:tcW w:w="220" w:type="dxa"/>
            <w:vAlign w:val="bottom"/>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right"/>
              <w:ind w:right="37"/>
              <w:spacing w:after="0" w:line="143" w:lineRule="exact"/>
              <w:rPr>
                <w:sz w:val="20"/>
                <w:szCs w:val="20"/>
                <w:color w:val="auto"/>
              </w:rPr>
            </w:pPr>
            <w:r>
              <w:rPr>
                <w:rFonts w:ascii="Arial" w:cs="Arial" w:eastAsia="Arial" w:hAnsi="Arial"/>
                <w:sz w:val="14"/>
                <w:szCs w:val="14"/>
                <w:b w:val="1"/>
                <w:bCs w:val="1"/>
                <w:color w:val="auto"/>
              </w:rPr>
              <w:t>Segment</w:t>
            </w:r>
          </w:p>
        </w:tc>
      </w:tr>
      <w:tr>
        <w:trPr>
          <w:trHeight w:val="175"/>
        </w:trPr>
        <w:tc>
          <w:tcPr>
            <w:tcW w:w="7200" w:type="dxa"/>
            <w:vAlign w:val="bottom"/>
            <w:gridSpan w:val="2"/>
          </w:tcPr>
          <w:p>
            <w:pPr>
              <w:ind w:left="780"/>
              <w:spacing w:after="0"/>
              <w:rPr>
                <w:sz w:val="20"/>
                <w:szCs w:val="20"/>
                <w:color w:val="auto"/>
              </w:rPr>
            </w:pPr>
            <w:r>
              <w:rPr>
                <w:rFonts w:ascii="Arial" w:cs="Arial" w:eastAsia="Arial" w:hAnsi="Arial"/>
                <w:sz w:val="14"/>
                <w:szCs w:val="14"/>
                <w:b w:val="1"/>
                <w:bCs w:val="1"/>
                <w:color w:val="auto"/>
              </w:rPr>
              <w:t>Factors Contributing to Year-Over-Year Change</w:t>
            </w:r>
          </w:p>
        </w:tc>
        <w:tc>
          <w:tcPr>
            <w:tcW w:w="1060" w:type="dxa"/>
            <w:vAlign w:val="bottom"/>
            <w:gridSpan w:val="2"/>
          </w:tcPr>
          <w:p>
            <w:pPr>
              <w:ind w:left="240"/>
              <w:spacing w:after="0"/>
              <w:rPr>
                <w:sz w:val="20"/>
                <w:szCs w:val="20"/>
                <w:color w:val="auto"/>
              </w:rPr>
            </w:pPr>
            <w:r>
              <w:rPr>
                <w:rFonts w:ascii="Arial" w:cs="Arial" w:eastAsia="Arial" w:hAnsi="Arial"/>
                <w:sz w:val="14"/>
                <w:szCs w:val="14"/>
                <w:b w:val="1"/>
                <w:bCs w:val="1"/>
                <w:color w:val="auto"/>
              </w:rPr>
              <w:t>Sales</w:t>
            </w:r>
          </w:p>
        </w:tc>
        <w:tc>
          <w:tcPr>
            <w:tcW w:w="116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Profit</w:t>
            </w:r>
          </w:p>
        </w:tc>
        <w:tc>
          <w:tcPr>
            <w:tcW w:w="1160" w:type="dxa"/>
            <w:vAlign w:val="bottom"/>
            <w:gridSpan w:val="2"/>
          </w:tcPr>
          <w:p>
            <w:pPr>
              <w:ind w:left="280"/>
              <w:spacing w:after="0"/>
              <w:rPr>
                <w:sz w:val="20"/>
                <w:szCs w:val="20"/>
                <w:color w:val="auto"/>
              </w:rPr>
            </w:pPr>
            <w:r>
              <w:rPr>
                <w:rFonts w:ascii="Arial" w:cs="Arial" w:eastAsia="Arial" w:hAnsi="Arial"/>
                <w:sz w:val="14"/>
                <w:szCs w:val="14"/>
                <w:b w:val="1"/>
                <w:bCs w:val="1"/>
                <w:color w:val="auto"/>
              </w:rPr>
              <w:t>Sales</w:t>
            </w:r>
          </w:p>
        </w:tc>
        <w:tc>
          <w:tcPr>
            <w:tcW w:w="840" w:type="dxa"/>
            <w:vAlign w:val="bottom"/>
          </w:tcPr>
          <w:p>
            <w:pPr>
              <w:jc w:val="right"/>
              <w:ind w:right="157"/>
              <w:spacing w:after="0"/>
              <w:rPr>
                <w:sz w:val="20"/>
                <w:szCs w:val="20"/>
                <w:color w:val="auto"/>
              </w:rPr>
            </w:pPr>
            <w:r>
              <w:rPr>
                <w:rFonts w:ascii="Arial" w:cs="Arial" w:eastAsia="Arial" w:hAnsi="Arial"/>
                <w:sz w:val="14"/>
                <w:szCs w:val="14"/>
                <w:b w:val="1"/>
                <w:bCs w:val="1"/>
                <w:color w:val="auto"/>
              </w:rPr>
              <w:t>Profit</w:t>
            </w:r>
          </w:p>
        </w:tc>
      </w:tr>
      <w:tr>
        <w:trPr>
          <w:trHeight w:val="196"/>
        </w:trPr>
        <w:tc>
          <w:tcPr>
            <w:tcW w:w="4780" w:type="dxa"/>
            <w:vAlign w:val="bottom"/>
            <w:tcBorders>
              <w:top w:val="single" w:sz="8" w:color="auto"/>
            </w:tcBorders>
            <w:shd w:val="clear" w:color="auto" w:fill="E5FFFF"/>
          </w:tcPr>
          <w:p>
            <w:pPr>
              <w:spacing w:after="0" w:line="196" w:lineRule="exact"/>
              <w:rPr>
                <w:sz w:val="20"/>
                <w:szCs w:val="20"/>
                <w:color w:val="auto"/>
              </w:rPr>
            </w:pPr>
            <w:r>
              <w:rPr>
                <w:rFonts w:ascii="Arial" w:cs="Arial" w:eastAsia="Arial" w:hAnsi="Arial"/>
                <w:sz w:val="18"/>
                <w:szCs w:val="18"/>
                <w:color w:val="auto"/>
              </w:rPr>
              <w:t>Organic growth/ Operational segment profit</w:t>
            </w:r>
          </w:p>
        </w:tc>
        <w:tc>
          <w:tcPr>
            <w:tcW w:w="2420" w:type="dxa"/>
            <w:vAlign w:val="bottom"/>
            <w:tcBorders>
              <w:top w:val="single" w:sz="8" w:color="E5FFFF"/>
            </w:tcBorders>
            <w:shd w:val="clear" w:color="auto" w:fill="E5FFFF"/>
          </w:tcPr>
          <w:p>
            <w:pPr>
              <w:spacing w:after="0"/>
              <w:rPr>
                <w:sz w:val="17"/>
                <w:szCs w:val="17"/>
                <w:color w:val="auto"/>
              </w:rPr>
            </w:pPr>
          </w:p>
        </w:tc>
        <w:tc>
          <w:tcPr>
            <w:tcW w:w="840" w:type="dxa"/>
            <w:vAlign w:val="bottom"/>
            <w:tcBorders>
              <w:top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3%</w:t>
            </w:r>
          </w:p>
        </w:tc>
        <w:tc>
          <w:tcPr>
            <w:tcW w:w="220" w:type="dxa"/>
            <w:vAlign w:val="bottom"/>
            <w:tcBorders>
              <w:top w:val="single" w:sz="8" w:color="E5FFFF"/>
            </w:tcBorders>
            <w:shd w:val="clear" w:color="auto" w:fill="E5FFFF"/>
          </w:tcPr>
          <w:p>
            <w:pPr>
              <w:spacing w:after="0"/>
              <w:rPr>
                <w:sz w:val="17"/>
                <w:szCs w:val="17"/>
                <w:color w:val="auto"/>
              </w:rPr>
            </w:pPr>
          </w:p>
        </w:tc>
        <w:tc>
          <w:tcPr>
            <w:tcW w:w="940" w:type="dxa"/>
            <w:vAlign w:val="bottom"/>
            <w:tcBorders>
              <w:top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7%</w:t>
            </w:r>
          </w:p>
        </w:tc>
        <w:tc>
          <w:tcPr>
            <w:tcW w:w="220" w:type="dxa"/>
            <w:vAlign w:val="bottom"/>
            <w:tcBorders>
              <w:top w:val="single" w:sz="8" w:color="E5FFFF"/>
            </w:tcBorders>
            <w:shd w:val="clear" w:color="auto" w:fill="E5FFFF"/>
          </w:tcPr>
          <w:p>
            <w:pPr>
              <w:spacing w:after="0"/>
              <w:rPr>
                <w:sz w:val="17"/>
                <w:szCs w:val="17"/>
                <w:color w:val="auto"/>
              </w:rPr>
            </w:pPr>
          </w:p>
        </w:tc>
        <w:tc>
          <w:tcPr>
            <w:tcW w:w="940" w:type="dxa"/>
            <w:vAlign w:val="bottom"/>
            <w:tcBorders>
              <w:top w:val="single" w:sz="8" w:color="auto"/>
            </w:tcBorders>
            <w:shd w:val="clear" w:color="auto" w:fill="E5FFFF"/>
          </w:tcPr>
          <w:p>
            <w:pPr>
              <w:ind w:left="680"/>
              <w:spacing w:after="0" w:line="196" w:lineRule="exact"/>
              <w:rPr>
                <w:sz w:val="20"/>
                <w:szCs w:val="20"/>
                <w:color w:val="auto"/>
              </w:rPr>
            </w:pPr>
            <w:r>
              <w:rPr>
                <w:rFonts w:ascii="Arial" w:cs="Arial" w:eastAsia="Arial" w:hAnsi="Arial"/>
                <w:sz w:val="18"/>
                <w:szCs w:val="18"/>
                <w:color w:val="auto"/>
                <w:w w:val="92"/>
              </w:rPr>
              <w:t>3%</w:t>
            </w:r>
          </w:p>
        </w:tc>
        <w:tc>
          <w:tcPr>
            <w:tcW w:w="220" w:type="dxa"/>
            <w:vAlign w:val="bottom"/>
            <w:tcBorders>
              <w:top w:val="single" w:sz="8" w:color="E5FFFF"/>
            </w:tcBorders>
            <w:shd w:val="clear" w:color="auto" w:fill="E5FFFF"/>
          </w:tcPr>
          <w:p>
            <w:pPr>
              <w:spacing w:after="0"/>
              <w:rPr>
                <w:sz w:val="17"/>
                <w:szCs w:val="17"/>
                <w:color w:val="auto"/>
              </w:rPr>
            </w:pPr>
          </w:p>
        </w:tc>
        <w:tc>
          <w:tcPr>
            <w:tcW w:w="840" w:type="dxa"/>
            <w:vAlign w:val="bottom"/>
            <w:tcBorders>
              <w:top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6%</w:t>
            </w:r>
          </w:p>
        </w:tc>
      </w:tr>
      <w:tr>
        <w:trPr>
          <w:trHeight w:val="216"/>
        </w:trPr>
        <w:tc>
          <w:tcPr>
            <w:tcW w:w="7200" w:type="dxa"/>
            <w:vAlign w:val="bottom"/>
            <w:tcBorders>
              <w:bottom w:val="single" w:sz="8" w:color="E5FFFF"/>
            </w:tcBorders>
            <w:gridSpan w:val="2"/>
          </w:tcPr>
          <w:p>
            <w:pPr>
              <w:spacing w:after="0"/>
              <w:rPr>
                <w:sz w:val="20"/>
                <w:szCs w:val="20"/>
                <w:color w:val="auto"/>
              </w:rPr>
            </w:pPr>
            <w:r>
              <w:rPr>
                <w:rFonts w:ascii="Arial" w:cs="Arial" w:eastAsia="Arial" w:hAnsi="Arial"/>
                <w:sz w:val="18"/>
                <w:szCs w:val="18"/>
                <w:color w:val="auto"/>
              </w:rPr>
              <w:t>Foreign currency translation</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20" w:type="dxa"/>
            <w:vAlign w:val="bottom"/>
            <w:tcBorders>
              <w:bottom w:val="single" w:sz="8" w:color="E5FFFF"/>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20" w:type="dxa"/>
            <w:vAlign w:val="bottom"/>
            <w:tcBorders>
              <w:bottom w:val="single" w:sz="8" w:color="E5FFFF"/>
            </w:tcBorders>
          </w:tcPr>
          <w:p>
            <w:pPr>
              <w:spacing w:after="0"/>
              <w:rPr>
                <w:sz w:val="18"/>
                <w:szCs w:val="18"/>
                <w:color w:val="auto"/>
              </w:rPr>
            </w:pPr>
          </w:p>
        </w:tc>
        <w:tc>
          <w:tcPr>
            <w:tcW w:w="940" w:type="dxa"/>
            <w:vAlign w:val="bottom"/>
            <w:tcBorders>
              <w:bottom w:val="single" w:sz="8" w:color="auto"/>
            </w:tcBorders>
          </w:tcPr>
          <w:p>
            <w:pPr>
              <w:ind w:left="680"/>
              <w:spacing w:after="0"/>
              <w:rPr>
                <w:sz w:val="20"/>
                <w:szCs w:val="20"/>
                <w:color w:val="auto"/>
              </w:rPr>
            </w:pPr>
            <w:r>
              <w:rPr>
                <w:rFonts w:ascii="Arial" w:cs="Arial" w:eastAsia="Arial" w:hAnsi="Arial"/>
                <w:sz w:val="18"/>
                <w:szCs w:val="18"/>
                <w:color w:val="auto"/>
                <w:w w:val="92"/>
              </w:rPr>
              <w:t>3%</w:t>
            </w:r>
          </w:p>
        </w:tc>
        <w:tc>
          <w:tcPr>
            <w:tcW w:w="220" w:type="dxa"/>
            <w:vAlign w:val="bottom"/>
            <w:tcBorders>
              <w:bottom w:val="single" w:sz="8" w:color="E5FFFF"/>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r>
      <w:tr>
        <w:trPr>
          <w:trHeight w:val="210"/>
        </w:trPr>
        <w:tc>
          <w:tcPr>
            <w:tcW w:w="7200" w:type="dxa"/>
            <w:vAlign w:val="bottom"/>
            <w:tcBorders>
              <w:bottom w:val="single" w:sz="8" w:color="E5FFFF"/>
            </w:tcBorders>
            <w:gridSpan w:val="2"/>
            <w:shd w:val="clear" w:color="auto" w:fill="E5FFFF"/>
          </w:tcPr>
          <w:p>
            <w:pPr>
              <w:spacing w:after="0" w:line="197" w:lineRule="exact"/>
              <w:rPr>
                <w:sz w:val="20"/>
                <w:szCs w:val="20"/>
                <w:color w:val="auto"/>
              </w:rPr>
            </w:pPr>
            <w:r>
              <w:rPr>
                <w:rFonts w:ascii="Arial" w:cs="Arial" w:eastAsia="Arial" w:hAnsi="Arial"/>
                <w:sz w:val="18"/>
                <w:szCs w:val="18"/>
                <w:color w:val="auto"/>
              </w:rPr>
              <w:t>Total % change</w:t>
            </w:r>
          </w:p>
        </w:tc>
        <w:tc>
          <w:tcPr>
            <w:tcW w:w="8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5%</w:t>
            </w:r>
          </w:p>
        </w:tc>
        <w:tc>
          <w:tcPr>
            <w:tcW w:w="220" w:type="dxa"/>
            <w:vAlign w:val="bottom"/>
            <w:tcBorders>
              <w:bottom w:val="single" w:sz="8" w:color="E5FFFF"/>
            </w:tcBorders>
            <w:shd w:val="clear" w:color="auto" w:fill="E5FFFF"/>
          </w:tcPr>
          <w:p>
            <w:pPr>
              <w:spacing w:after="0"/>
              <w:rPr>
                <w:sz w:val="18"/>
                <w:szCs w:val="18"/>
                <w:color w:val="auto"/>
              </w:rPr>
            </w:pPr>
          </w:p>
        </w:tc>
        <w:tc>
          <w:tcPr>
            <w:tcW w:w="9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9%</w:t>
            </w:r>
          </w:p>
        </w:tc>
        <w:tc>
          <w:tcPr>
            <w:tcW w:w="220" w:type="dxa"/>
            <w:vAlign w:val="bottom"/>
            <w:tcBorders>
              <w:bottom w:val="single" w:sz="8" w:color="E5FFFF"/>
            </w:tcBorders>
            <w:shd w:val="clear" w:color="auto" w:fill="E5FFFF"/>
          </w:tcPr>
          <w:p>
            <w:pPr>
              <w:spacing w:after="0"/>
              <w:rPr>
                <w:sz w:val="18"/>
                <w:szCs w:val="18"/>
                <w:color w:val="auto"/>
              </w:rPr>
            </w:pPr>
          </w:p>
        </w:tc>
        <w:tc>
          <w:tcPr>
            <w:tcW w:w="940" w:type="dxa"/>
            <w:vAlign w:val="bottom"/>
            <w:tcBorders>
              <w:bottom w:val="single" w:sz="8" w:color="auto"/>
            </w:tcBorders>
            <w:shd w:val="clear" w:color="auto" w:fill="E5FFFF"/>
          </w:tcPr>
          <w:p>
            <w:pPr>
              <w:ind w:left="680"/>
              <w:spacing w:after="0"/>
              <w:rPr>
                <w:sz w:val="20"/>
                <w:szCs w:val="20"/>
                <w:color w:val="auto"/>
              </w:rPr>
            </w:pPr>
            <w:r>
              <w:rPr>
                <w:rFonts w:ascii="Arial" w:cs="Arial" w:eastAsia="Arial" w:hAnsi="Arial"/>
                <w:sz w:val="18"/>
                <w:szCs w:val="18"/>
                <w:color w:val="auto"/>
                <w:w w:val="92"/>
              </w:rPr>
              <w:t>6%</w:t>
            </w:r>
          </w:p>
        </w:tc>
        <w:tc>
          <w:tcPr>
            <w:tcW w:w="220" w:type="dxa"/>
            <w:vAlign w:val="bottom"/>
            <w:tcBorders>
              <w:bottom w:val="single" w:sz="8" w:color="E5FFFF"/>
            </w:tcBorders>
            <w:shd w:val="clear" w:color="auto" w:fill="E5FFFF"/>
          </w:tcPr>
          <w:p>
            <w:pPr>
              <w:spacing w:after="0"/>
              <w:rPr>
                <w:sz w:val="18"/>
                <w:szCs w:val="18"/>
                <w:color w:val="auto"/>
              </w:rPr>
            </w:pPr>
          </w:p>
        </w:tc>
        <w:tc>
          <w:tcPr>
            <w:tcW w:w="8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10%</w:t>
            </w:r>
          </w:p>
        </w:tc>
      </w:tr>
      <w:tr>
        <w:trPr>
          <w:trHeight w:val="20"/>
        </w:trPr>
        <w:tc>
          <w:tcPr>
            <w:tcW w:w="47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8"/>
          <w:szCs w:val="18"/>
          <w:color w:val="auto"/>
        </w:rPr>
        <w:t>Home and Building Technologies sales increased in the quarter and six months ended June 30, 2018 primarily driven by organic growth and the favorable impact of foreign currency.</w:t>
      </w:r>
    </w:p>
    <w:p>
      <w:pPr>
        <w:spacing w:after="0" w:line="170" w:lineRule="exact"/>
        <w:rPr>
          <w:sz w:val="20"/>
          <w:szCs w:val="20"/>
          <w:color w:val="auto"/>
        </w:rPr>
      </w:pPr>
    </w:p>
    <w:p>
      <w:pPr>
        <w:ind w:left="980" w:right="20" w:hanging="324"/>
        <w:spacing w:after="0" w:line="246"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Sales in Homes increased 9% (increased 7% organic) in the quarter and increased 10% (increased 7% organic) in the six months primarily due to growth across Products and Distribution (ADI) and the favorable impact of foreign currency translation.</w:t>
      </w:r>
    </w:p>
    <w:p>
      <w:pPr>
        <w:spacing w:after="0" w:line="156" w:lineRule="exact"/>
        <w:rPr>
          <w:rFonts w:ascii="Arial" w:cs="Arial" w:eastAsia="Arial" w:hAnsi="Arial"/>
          <w:sz w:val="18"/>
          <w:szCs w:val="18"/>
          <w:color w:val="auto"/>
        </w:rPr>
      </w:pPr>
    </w:p>
    <w:p>
      <w:pPr>
        <w:jc w:val="both"/>
        <w:ind w:left="980" w:hanging="324"/>
        <w:spacing w:after="0" w:line="239"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Sales in Buildings increased 2% (flat organic) in the quarter and increased 4% (flat organic) in the six months principally due to the favorable impact of foreign currency translation. Organic sales growth in the quarter was primarily due to Connected Buildings offset by lower volumes in Building Products and Building Solutions. Organic sales growth in the six months was primarily driven by higher volumes in Building Solutions and Connected Buildings offset by lower sales in Building Products.</w:t>
      </w:r>
    </w:p>
    <w:p>
      <w:pPr>
        <w:spacing w:after="0" w:line="161"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Home and Building Technologies segment profit increased in the quarter and six months due to higher operational segment profit and the favorable impact of foreign currency translation. The increase in operational segment profit in the quarter was primarily driven by higher organic sales volumes and pricing. The increase in operational segment profit in the six months was primarily driven by higher organic sales volumes and pricing, partially offset by higher sales of lower margin products. Cost of products and services sold increased in the quarter and the six months primarily due to foreign currency translation and higher organic sales volumes.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Materials and Technologies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60" w:type="dxa"/>
            <w:vAlign w:val="bottom"/>
            <w:gridSpan w:val="5"/>
          </w:tcPr>
          <w:p>
            <w:pPr>
              <w:jc w:val="center"/>
              <w:spacing w:after="0"/>
              <w:rPr>
                <w:sz w:val="20"/>
                <w:szCs w:val="20"/>
                <w:color w:val="auto"/>
              </w:rPr>
            </w:pPr>
            <w:r>
              <w:rPr>
                <w:rFonts w:ascii="Arial" w:cs="Arial" w:eastAsia="Arial" w:hAnsi="Arial"/>
                <w:sz w:val="14"/>
                <w:szCs w:val="14"/>
                <w:b w:val="1"/>
                <w:bCs w:val="1"/>
                <w:color w:val="auto"/>
              </w:rPr>
              <w:t>Three Months Ended</w:t>
            </w: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320" w:type="dxa"/>
            <w:vAlign w:val="bottom"/>
            <w:gridSpan w:val="5"/>
          </w:tcPr>
          <w:p>
            <w:pPr>
              <w:jc w:val="center"/>
              <w:ind w:right="40"/>
              <w:spacing w:after="0"/>
              <w:rPr>
                <w:sz w:val="20"/>
                <w:szCs w:val="20"/>
                <w:color w:val="auto"/>
              </w:rPr>
            </w:pPr>
            <w:r>
              <w:rPr>
                <w:rFonts w:ascii="Arial" w:cs="Arial" w:eastAsia="Arial" w:hAnsi="Arial"/>
                <w:sz w:val="14"/>
                <w:szCs w:val="14"/>
                <w:b w:val="1"/>
                <w:bCs w:val="1"/>
                <w:color w:val="auto"/>
              </w:rPr>
              <w:t>Six Months Ended</w:t>
            </w:r>
          </w:p>
        </w:tc>
        <w:tc>
          <w:tcPr>
            <w:tcW w:w="840" w:type="dxa"/>
            <w:vAlign w:val="bottom"/>
          </w:tcPr>
          <w:p>
            <w:pPr>
              <w:spacing w:after="0"/>
              <w:rPr>
                <w:sz w:val="15"/>
                <w:szCs w:val="15"/>
                <w:color w:val="auto"/>
              </w:rPr>
            </w:pPr>
          </w:p>
        </w:tc>
      </w:tr>
      <w:tr>
        <w:trPr>
          <w:trHeight w:val="175"/>
        </w:trPr>
        <w:tc>
          <w:tcPr>
            <w:tcW w:w="50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2"/>
          </w:tcPr>
          <w:p>
            <w:pPr>
              <w:jc w:val="center"/>
              <w:ind w:right="440"/>
              <w:spacing w:after="0"/>
              <w:rPr>
                <w:sz w:val="20"/>
                <w:szCs w:val="20"/>
                <w:color w:val="auto"/>
              </w:rPr>
            </w:pPr>
            <w:r>
              <w:rPr>
                <w:rFonts w:ascii="Arial" w:cs="Arial" w:eastAsia="Arial" w:hAnsi="Arial"/>
                <w:sz w:val="14"/>
                <w:szCs w:val="14"/>
                <w:b w:val="1"/>
                <w:bCs w:val="1"/>
                <w:color w:val="auto"/>
              </w:rPr>
              <w:t>June 30,</w:t>
            </w:r>
          </w:p>
        </w:tc>
        <w:tc>
          <w:tcPr>
            <w:tcW w:w="84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gridSpan w:val="2"/>
          </w:tcPr>
          <w:p>
            <w:pPr>
              <w:jc w:val="center"/>
              <w:ind w:right="400"/>
              <w:spacing w:after="0"/>
              <w:rPr>
                <w:sz w:val="20"/>
                <w:szCs w:val="20"/>
                <w:color w:val="auto"/>
              </w:rPr>
            </w:pPr>
            <w:r>
              <w:rPr>
                <w:rFonts w:ascii="Arial" w:cs="Arial" w:eastAsia="Arial" w:hAnsi="Arial"/>
                <w:sz w:val="14"/>
                <w:szCs w:val="14"/>
                <w:b w:val="1"/>
                <w:bCs w:val="1"/>
                <w:color w:val="auto"/>
              </w:rPr>
              <w:t>June 30,</w:t>
            </w:r>
          </w:p>
        </w:tc>
        <w:tc>
          <w:tcPr>
            <w:tcW w:w="840" w:type="dxa"/>
            <w:vAlign w:val="bottom"/>
            <w:tcBorders>
              <w:bottom w:val="single" w:sz="8" w:color="auto"/>
            </w:tcBorders>
          </w:tcPr>
          <w:p>
            <w:pPr>
              <w:spacing w:after="0"/>
              <w:rPr>
                <w:sz w:val="15"/>
                <w:szCs w:val="15"/>
                <w:color w:val="auto"/>
              </w:rPr>
            </w:pPr>
          </w:p>
        </w:tc>
      </w:tr>
      <w:tr>
        <w:trPr>
          <w:trHeight w:val="142"/>
        </w:trPr>
        <w:tc>
          <w:tcPr>
            <w:tcW w:w="5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jc w:val="right"/>
              <w:ind w:right="279"/>
              <w:spacing w:after="0" w:line="143"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jc w:val="right"/>
              <w:ind w:right="279"/>
              <w:spacing w:after="0" w:line="143" w:lineRule="exact"/>
              <w:rPr>
                <w:sz w:val="20"/>
                <w:szCs w:val="20"/>
                <w:color w:val="auto"/>
              </w:rPr>
            </w:pPr>
            <w:r>
              <w:rPr>
                <w:rFonts w:ascii="Arial" w:cs="Arial" w:eastAsia="Arial" w:hAnsi="Arial"/>
                <w:sz w:val="14"/>
                <w:szCs w:val="14"/>
                <w:b w:val="1"/>
                <w:bCs w:val="1"/>
                <w:color w:val="auto"/>
              </w:rPr>
              <w:t>%</w:t>
            </w:r>
          </w:p>
        </w:tc>
      </w:tr>
      <w:tr>
        <w:trPr>
          <w:trHeight w:val="175"/>
        </w:trPr>
        <w:tc>
          <w:tcPr>
            <w:tcW w:w="5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Pr>
          <w:p>
            <w:pPr>
              <w:jc w:val="right"/>
              <w:ind w:right="114"/>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ind w:right="216"/>
              <w:spacing w:after="0"/>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5"/>
                <w:szCs w:val="15"/>
                <w:color w:val="auto"/>
              </w:rPr>
            </w:pPr>
          </w:p>
        </w:tc>
        <w:tc>
          <w:tcPr>
            <w:tcW w:w="1040" w:type="dxa"/>
            <w:vAlign w:val="bottom"/>
            <w:gridSpan w:val="2"/>
          </w:tcPr>
          <w:p>
            <w:pPr>
              <w:ind w:left="140"/>
              <w:spacing w:after="0"/>
              <w:rPr>
                <w:sz w:val="20"/>
                <w:szCs w:val="20"/>
                <w:color w:val="auto"/>
              </w:rPr>
            </w:pPr>
            <w:r>
              <w:rPr>
                <w:rFonts w:ascii="Arial" w:cs="Arial" w:eastAsia="Arial" w:hAnsi="Arial"/>
                <w:sz w:val="14"/>
                <w:szCs w:val="14"/>
                <w:b w:val="1"/>
                <w:bCs w:val="1"/>
                <w:color w:val="auto"/>
              </w:rPr>
              <w:t>Change</w:t>
            </w:r>
          </w:p>
        </w:tc>
        <w:tc>
          <w:tcPr>
            <w:tcW w:w="200" w:type="dxa"/>
            <w:vAlign w:val="bottom"/>
          </w:tcPr>
          <w:p>
            <w:pPr>
              <w:spacing w:after="0"/>
              <w:rPr>
                <w:sz w:val="15"/>
                <w:szCs w:val="15"/>
                <w:color w:val="auto"/>
              </w:rPr>
            </w:pPr>
          </w:p>
        </w:tc>
        <w:tc>
          <w:tcPr>
            <w:tcW w:w="700" w:type="dxa"/>
            <w:vAlign w:val="bottom"/>
          </w:tcPr>
          <w:p>
            <w:pPr>
              <w:jc w:val="right"/>
              <w:ind w:right="194"/>
              <w:spacing w:after="0"/>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ind w:right="196"/>
              <w:spacing w:after="0"/>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5"/>
                <w:szCs w:val="15"/>
                <w:color w:val="auto"/>
              </w:rPr>
            </w:pPr>
          </w:p>
        </w:tc>
        <w:tc>
          <w:tcPr>
            <w:tcW w:w="840" w:type="dxa"/>
            <w:vAlign w:val="bottom"/>
          </w:tcPr>
          <w:p>
            <w:pPr>
              <w:jc w:val="right"/>
              <w:ind w:right="79"/>
              <w:spacing w:after="0"/>
              <w:rPr>
                <w:sz w:val="20"/>
                <w:szCs w:val="20"/>
                <w:color w:val="auto"/>
              </w:rPr>
            </w:pPr>
            <w:r>
              <w:rPr>
                <w:rFonts w:ascii="Arial" w:cs="Arial" w:eastAsia="Arial" w:hAnsi="Arial"/>
                <w:sz w:val="14"/>
                <w:szCs w:val="14"/>
                <w:b w:val="1"/>
                <w:bCs w:val="1"/>
                <w:color w:val="auto"/>
              </w:rPr>
              <w:t>Change</w:t>
            </w:r>
          </w:p>
        </w:tc>
      </w:tr>
      <w:tr>
        <w:trPr>
          <w:trHeight w:val="196"/>
        </w:trPr>
        <w:tc>
          <w:tcPr>
            <w:tcW w:w="5040" w:type="dxa"/>
            <w:vAlign w:val="bottom"/>
            <w:tcBorders>
              <w:top w:val="single" w:sz="8" w:color="E5FFFF"/>
            </w:tcBorders>
            <w:shd w:val="clear" w:color="auto" w:fill="E5FFFF"/>
          </w:tcPr>
          <w:p>
            <w:pPr>
              <w:spacing w:after="0" w:line="196" w:lineRule="exact"/>
              <w:rPr>
                <w:sz w:val="20"/>
                <w:szCs w:val="20"/>
                <w:color w:val="auto"/>
              </w:rPr>
            </w:pPr>
            <w:r>
              <w:rPr>
                <w:rFonts w:ascii="Arial" w:cs="Arial" w:eastAsia="Arial" w:hAnsi="Arial"/>
                <w:sz w:val="18"/>
                <w:szCs w:val="18"/>
                <w:color w:val="auto"/>
              </w:rPr>
              <w:t>Net sales</w:t>
            </w:r>
          </w:p>
        </w:tc>
        <w:tc>
          <w:tcPr>
            <w:tcW w:w="200" w:type="dxa"/>
            <w:vAlign w:val="bottom"/>
            <w:tcBorders>
              <w:top w:val="single" w:sz="8" w:color="auto"/>
            </w:tcBorders>
            <w:shd w:val="clear" w:color="auto" w:fill="E5FF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2,698</w:t>
            </w:r>
          </w:p>
        </w:tc>
        <w:tc>
          <w:tcPr>
            <w:tcW w:w="100" w:type="dxa"/>
            <w:vAlign w:val="bottom"/>
            <w:tcBorders>
              <w:top w:val="single" w:sz="8" w:color="auto"/>
            </w:tcBorders>
            <w:shd w:val="clear" w:color="auto" w:fill="E5FFFF"/>
          </w:tcPr>
          <w:p>
            <w:pPr>
              <w:spacing w:after="0"/>
              <w:rPr>
                <w:sz w:val="17"/>
                <w:szCs w:val="17"/>
                <w:color w:val="auto"/>
              </w:rPr>
            </w:pPr>
          </w:p>
        </w:tc>
        <w:tc>
          <w:tcPr>
            <w:tcW w:w="240" w:type="dxa"/>
            <w:vAlign w:val="bottom"/>
            <w:tcBorders>
              <w:top w:val="single" w:sz="8" w:color="E5FFFF"/>
            </w:tcBorders>
            <w:shd w:val="clear" w:color="auto" w:fill="E5FFFF"/>
          </w:tcPr>
          <w:p>
            <w:pPr>
              <w:spacing w:after="0"/>
              <w:rPr>
                <w:sz w:val="17"/>
                <w:szCs w:val="17"/>
                <w:color w:val="auto"/>
              </w:rPr>
            </w:pPr>
          </w:p>
        </w:tc>
        <w:tc>
          <w:tcPr>
            <w:tcW w:w="100" w:type="dxa"/>
            <w:vAlign w:val="bottom"/>
            <w:tcBorders>
              <w:top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E5FFFF"/>
          </w:tcPr>
          <w:p>
            <w:pPr>
              <w:jc w:val="right"/>
              <w:ind w:right="16"/>
              <w:spacing w:after="0" w:line="196" w:lineRule="exact"/>
              <w:rPr>
                <w:sz w:val="20"/>
                <w:szCs w:val="20"/>
                <w:color w:val="auto"/>
              </w:rPr>
            </w:pPr>
            <w:r>
              <w:rPr>
                <w:rFonts w:ascii="Arial" w:cs="Arial" w:eastAsia="Arial" w:hAnsi="Arial"/>
                <w:sz w:val="18"/>
                <w:szCs w:val="18"/>
                <w:color w:val="auto"/>
              </w:rPr>
              <w:t>2,561</w:t>
            </w:r>
          </w:p>
        </w:tc>
        <w:tc>
          <w:tcPr>
            <w:tcW w:w="220" w:type="dxa"/>
            <w:vAlign w:val="bottom"/>
            <w:tcBorders>
              <w:top w:val="single" w:sz="8" w:color="E5FFFF"/>
            </w:tcBorders>
            <w:shd w:val="clear" w:color="auto" w:fill="E5FFFF"/>
          </w:tcPr>
          <w:p>
            <w:pPr>
              <w:spacing w:after="0"/>
              <w:rPr>
                <w:sz w:val="17"/>
                <w:szCs w:val="17"/>
                <w:color w:val="auto"/>
              </w:rPr>
            </w:pPr>
          </w:p>
        </w:tc>
        <w:tc>
          <w:tcPr>
            <w:tcW w:w="840" w:type="dxa"/>
            <w:vAlign w:val="bottom"/>
            <w:tcBorders>
              <w:top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5%</w:t>
            </w:r>
          </w:p>
        </w:tc>
        <w:tc>
          <w:tcPr>
            <w:tcW w:w="200" w:type="dxa"/>
            <w:vAlign w:val="bottom"/>
            <w:tcBorders>
              <w:top w:val="single" w:sz="8" w:color="E5FFFF"/>
            </w:tcBorders>
            <w:shd w:val="clear" w:color="auto" w:fill="E5FFFF"/>
          </w:tcPr>
          <w:p>
            <w:pPr>
              <w:spacing w:after="0"/>
              <w:rPr>
                <w:sz w:val="17"/>
                <w:szCs w:val="17"/>
                <w:color w:val="auto"/>
              </w:rPr>
            </w:pPr>
          </w:p>
        </w:tc>
        <w:tc>
          <w:tcPr>
            <w:tcW w:w="200" w:type="dxa"/>
            <w:vAlign w:val="bottom"/>
            <w:tcBorders>
              <w:top w:val="single" w:sz="8" w:color="auto"/>
            </w:tcBorders>
            <w:shd w:val="clear" w:color="auto" w:fill="E5FF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E5FFFF"/>
          </w:tcPr>
          <w:p>
            <w:pPr>
              <w:jc w:val="right"/>
              <w:ind w:right="14"/>
              <w:spacing w:after="0" w:line="196" w:lineRule="exact"/>
              <w:rPr>
                <w:sz w:val="20"/>
                <w:szCs w:val="20"/>
                <w:color w:val="auto"/>
              </w:rPr>
            </w:pPr>
            <w:r>
              <w:rPr>
                <w:rFonts w:ascii="Arial" w:cs="Arial" w:eastAsia="Arial" w:hAnsi="Arial"/>
                <w:sz w:val="18"/>
                <w:szCs w:val="18"/>
                <w:color w:val="auto"/>
              </w:rPr>
              <w:t>5,232</w:t>
            </w:r>
          </w:p>
        </w:tc>
        <w:tc>
          <w:tcPr>
            <w:tcW w:w="240" w:type="dxa"/>
            <w:vAlign w:val="bottom"/>
            <w:tcBorders>
              <w:top w:val="single" w:sz="8" w:color="E5FFFF"/>
            </w:tcBorders>
            <w:gridSpan w:val="2"/>
            <w:shd w:val="clear" w:color="auto" w:fill="E5FFFF"/>
          </w:tcPr>
          <w:p>
            <w:pPr>
              <w:spacing w:after="0"/>
              <w:rPr>
                <w:sz w:val="17"/>
                <w:szCs w:val="17"/>
                <w:color w:val="auto"/>
              </w:rPr>
            </w:pPr>
          </w:p>
        </w:tc>
        <w:tc>
          <w:tcPr>
            <w:tcW w:w="10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E5FFFF"/>
          </w:tcPr>
          <w:p>
            <w:pPr>
              <w:jc w:val="right"/>
              <w:ind w:right="16"/>
              <w:spacing w:after="0" w:line="196" w:lineRule="exact"/>
              <w:rPr>
                <w:sz w:val="20"/>
                <w:szCs w:val="20"/>
                <w:color w:val="auto"/>
              </w:rPr>
            </w:pPr>
            <w:r>
              <w:rPr>
                <w:rFonts w:ascii="Arial" w:cs="Arial" w:eastAsia="Arial" w:hAnsi="Arial"/>
                <w:sz w:val="18"/>
                <w:szCs w:val="18"/>
                <w:color w:val="auto"/>
              </w:rPr>
              <w:t>4,914</w:t>
            </w:r>
          </w:p>
        </w:tc>
        <w:tc>
          <w:tcPr>
            <w:tcW w:w="220" w:type="dxa"/>
            <w:vAlign w:val="bottom"/>
            <w:tcBorders>
              <w:top w:val="single" w:sz="8" w:color="E5FFFF"/>
            </w:tcBorders>
            <w:shd w:val="clear" w:color="auto" w:fill="E5FFFF"/>
          </w:tcPr>
          <w:p>
            <w:pPr>
              <w:spacing w:after="0"/>
              <w:rPr>
                <w:sz w:val="17"/>
                <w:szCs w:val="17"/>
                <w:color w:val="auto"/>
              </w:rPr>
            </w:pPr>
          </w:p>
        </w:tc>
        <w:tc>
          <w:tcPr>
            <w:tcW w:w="840" w:type="dxa"/>
            <w:vAlign w:val="bottom"/>
            <w:tcBorders>
              <w:top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6%</w:t>
            </w:r>
          </w:p>
        </w:tc>
      </w:tr>
      <w:tr>
        <w:trPr>
          <w:trHeight w:val="203"/>
        </w:trPr>
        <w:tc>
          <w:tcPr>
            <w:tcW w:w="5040" w:type="dxa"/>
            <w:vAlign w:val="bottom"/>
          </w:tcPr>
          <w:p>
            <w:pPr>
              <w:ind w:left="180"/>
              <w:spacing w:after="0" w:line="202" w:lineRule="exact"/>
              <w:rPr>
                <w:sz w:val="20"/>
                <w:szCs w:val="20"/>
                <w:color w:val="auto"/>
              </w:rPr>
            </w:pPr>
            <w:r>
              <w:rPr>
                <w:rFonts w:ascii="Arial" w:cs="Arial" w:eastAsia="Arial" w:hAnsi="Arial"/>
                <w:sz w:val="18"/>
                <w:szCs w:val="18"/>
                <w:color w:val="auto"/>
              </w:rPr>
              <w:t>Cost of products and services sold</w:t>
            </w:r>
          </w:p>
        </w:tc>
        <w:tc>
          <w:tcPr>
            <w:tcW w:w="20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1,745</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ind w:right="16"/>
              <w:spacing w:after="0" w:line="202" w:lineRule="exact"/>
              <w:rPr>
                <w:sz w:val="20"/>
                <w:szCs w:val="20"/>
                <w:color w:val="auto"/>
              </w:rPr>
            </w:pPr>
            <w:r>
              <w:rPr>
                <w:rFonts w:ascii="Arial" w:cs="Arial" w:eastAsia="Arial" w:hAnsi="Arial"/>
                <w:sz w:val="18"/>
                <w:szCs w:val="18"/>
                <w:color w:val="auto"/>
              </w:rPr>
              <w:t>1,678</w:t>
            </w: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ind w:right="14"/>
              <w:spacing w:after="0" w:line="202" w:lineRule="exact"/>
              <w:rPr>
                <w:sz w:val="20"/>
                <w:szCs w:val="20"/>
                <w:color w:val="auto"/>
              </w:rPr>
            </w:pPr>
            <w:r>
              <w:rPr>
                <w:rFonts w:ascii="Arial" w:cs="Arial" w:eastAsia="Arial" w:hAnsi="Arial"/>
                <w:sz w:val="18"/>
                <w:szCs w:val="18"/>
                <w:color w:val="auto"/>
              </w:rPr>
              <w:t>3,426</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ind w:right="16"/>
              <w:spacing w:after="0" w:line="202" w:lineRule="exact"/>
              <w:rPr>
                <w:sz w:val="20"/>
                <w:szCs w:val="20"/>
                <w:color w:val="auto"/>
              </w:rPr>
            </w:pPr>
            <w:r>
              <w:rPr>
                <w:rFonts w:ascii="Arial" w:cs="Arial" w:eastAsia="Arial" w:hAnsi="Arial"/>
                <w:sz w:val="18"/>
                <w:szCs w:val="18"/>
                <w:color w:val="auto"/>
              </w:rPr>
              <w:t>3,225</w:t>
            </w: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16"/>
        </w:trPr>
        <w:tc>
          <w:tcPr>
            <w:tcW w:w="5040" w:type="dxa"/>
            <w:vAlign w:val="bottom"/>
            <w:shd w:val="clear" w:color="auto" w:fill="E5FFFF"/>
          </w:tcPr>
          <w:p>
            <w:pPr>
              <w:ind w:left="180"/>
              <w:spacing w:after="0"/>
              <w:rPr>
                <w:sz w:val="20"/>
                <w:szCs w:val="20"/>
                <w:color w:val="auto"/>
              </w:rPr>
            </w:pPr>
            <w:r>
              <w:rPr>
                <w:rFonts w:ascii="Arial" w:cs="Arial" w:eastAsia="Arial" w:hAnsi="Arial"/>
                <w:sz w:val="18"/>
                <w:szCs w:val="18"/>
                <w:color w:val="auto"/>
              </w:rPr>
              <w:t>Selling, general and administrative and other expenses</w:t>
            </w:r>
          </w:p>
        </w:tc>
        <w:tc>
          <w:tcPr>
            <w:tcW w:w="200" w:type="dxa"/>
            <w:vAlign w:val="bottom"/>
            <w:tcBorders>
              <w:bottom w:val="single" w:sz="8" w:color="auto"/>
            </w:tcBorders>
            <w:shd w:val="clear" w:color="auto" w:fill="E5FFFF"/>
          </w:tcPr>
          <w:p>
            <w:pPr>
              <w:spacing w:after="0"/>
              <w:rPr>
                <w:sz w:val="18"/>
                <w:szCs w:val="18"/>
                <w:color w:val="auto"/>
              </w:rPr>
            </w:pPr>
          </w:p>
        </w:tc>
        <w:tc>
          <w:tcPr>
            <w:tcW w:w="6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356</w:t>
            </w:r>
          </w:p>
        </w:tc>
        <w:tc>
          <w:tcPr>
            <w:tcW w:w="100" w:type="dxa"/>
            <w:vAlign w:val="bottom"/>
            <w:tcBorders>
              <w:bottom w:val="single" w:sz="8" w:color="auto"/>
            </w:tcBorders>
            <w:shd w:val="clear" w:color="auto" w:fill="E5FFFF"/>
          </w:tcPr>
          <w:p>
            <w:pPr>
              <w:spacing w:after="0"/>
              <w:rPr>
                <w:sz w:val="18"/>
                <w:szCs w:val="18"/>
                <w:color w:val="auto"/>
              </w:rPr>
            </w:pPr>
          </w:p>
        </w:tc>
        <w:tc>
          <w:tcPr>
            <w:tcW w:w="240" w:type="dxa"/>
            <w:vAlign w:val="bottom"/>
            <w:shd w:val="clear" w:color="auto" w:fill="E5FFFF"/>
          </w:tcPr>
          <w:p>
            <w:pPr>
              <w:spacing w:after="0"/>
              <w:rPr>
                <w:sz w:val="18"/>
                <w:szCs w:val="18"/>
                <w:color w:val="auto"/>
              </w:rPr>
            </w:pPr>
          </w:p>
        </w:tc>
        <w:tc>
          <w:tcPr>
            <w:tcW w:w="100" w:type="dxa"/>
            <w:vAlign w:val="bottom"/>
            <w:tcBorders>
              <w:bottom w:val="single" w:sz="8" w:color="auto"/>
            </w:tcBorders>
            <w:shd w:val="clear" w:color="auto" w:fill="E5FFFF"/>
          </w:tcPr>
          <w:p>
            <w:pPr>
              <w:spacing w:after="0"/>
              <w:rPr>
                <w:sz w:val="18"/>
                <w:szCs w:val="18"/>
                <w:color w:val="auto"/>
              </w:rPr>
            </w:pPr>
          </w:p>
        </w:tc>
        <w:tc>
          <w:tcPr>
            <w:tcW w:w="800" w:type="dxa"/>
            <w:vAlign w:val="bottom"/>
            <w:tcBorders>
              <w:bottom w:val="single" w:sz="8" w:color="auto"/>
            </w:tcBorders>
            <w:shd w:val="clear" w:color="auto" w:fill="E5FFFF"/>
          </w:tcPr>
          <w:p>
            <w:pPr>
              <w:jc w:val="right"/>
              <w:ind w:right="16"/>
              <w:spacing w:after="0"/>
              <w:rPr>
                <w:sz w:val="20"/>
                <w:szCs w:val="20"/>
                <w:color w:val="auto"/>
              </w:rPr>
            </w:pPr>
            <w:r>
              <w:rPr>
                <w:rFonts w:ascii="Arial" w:cs="Arial" w:eastAsia="Arial" w:hAnsi="Arial"/>
                <w:sz w:val="18"/>
                <w:szCs w:val="18"/>
                <w:color w:val="auto"/>
              </w:rPr>
              <w:t>330</w:t>
            </w:r>
          </w:p>
        </w:tc>
        <w:tc>
          <w:tcPr>
            <w:tcW w:w="220" w:type="dxa"/>
            <w:vAlign w:val="bottom"/>
            <w:shd w:val="clear" w:color="auto" w:fill="E5FFFF"/>
          </w:tcPr>
          <w:p>
            <w:pPr>
              <w:spacing w:after="0"/>
              <w:rPr>
                <w:sz w:val="18"/>
                <w:szCs w:val="18"/>
                <w:color w:val="auto"/>
              </w:rPr>
            </w:pPr>
          </w:p>
        </w:tc>
        <w:tc>
          <w:tcPr>
            <w:tcW w:w="84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200" w:type="dxa"/>
            <w:vAlign w:val="bottom"/>
            <w:tcBorders>
              <w:bottom w:val="single" w:sz="8" w:color="auto"/>
            </w:tcBorders>
            <w:shd w:val="clear" w:color="auto" w:fill="E5FFFF"/>
          </w:tcPr>
          <w:p>
            <w:pPr>
              <w:spacing w:after="0"/>
              <w:rPr>
                <w:sz w:val="18"/>
                <w:szCs w:val="18"/>
                <w:color w:val="auto"/>
              </w:rPr>
            </w:pPr>
          </w:p>
        </w:tc>
        <w:tc>
          <w:tcPr>
            <w:tcW w:w="700" w:type="dxa"/>
            <w:vAlign w:val="bottom"/>
            <w:tcBorders>
              <w:bottom w:val="single" w:sz="8" w:color="auto"/>
            </w:tcBorders>
            <w:shd w:val="clear" w:color="auto" w:fill="E5FFFF"/>
          </w:tcPr>
          <w:p>
            <w:pPr>
              <w:jc w:val="right"/>
              <w:ind w:right="14"/>
              <w:spacing w:after="0"/>
              <w:rPr>
                <w:sz w:val="20"/>
                <w:szCs w:val="20"/>
                <w:color w:val="auto"/>
              </w:rPr>
            </w:pPr>
            <w:r>
              <w:rPr>
                <w:rFonts w:ascii="Arial" w:cs="Arial" w:eastAsia="Arial" w:hAnsi="Arial"/>
                <w:sz w:val="18"/>
                <w:szCs w:val="18"/>
                <w:color w:val="auto"/>
              </w:rPr>
              <w:t>690</w:t>
            </w:r>
          </w:p>
        </w:tc>
        <w:tc>
          <w:tcPr>
            <w:tcW w:w="22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100" w:type="dxa"/>
            <w:vAlign w:val="bottom"/>
            <w:tcBorders>
              <w:bottom w:val="single" w:sz="8" w:color="auto"/>
            </w:tcBorders>
            <w:shd w:val="clear" w:color="auto" w:fill="E5FFFF"/>
          </w:tcPr>
          <w:p>
            <w:pPr>
              <w:spacing w:after="0"/>
              <w:rPr>
                <w:sz w:val="18"/>
                <w:szCs w:val="18"/>
                <w:color w:val="auto"/>
              </w:rPr>
            </w:pPr>
          </w:p>
        </w:tc>
        <w:tc>
          <w:tcPr>
            <w:tcW w:w="760" w:type="dxa"/>
            <w:vAlign w:val="bottom"/>
            <w:tcBorders>
              <w:bottom w:val="single" w:sz="8" w:color="auto"/>
            </w:tcBorders>
            <w:shd w:val="clear" w:color="auto" w:fill="E5FFFF"/>
          </w:tcPr>
          <w:p>
            <w:pPr>
              <w:jc w:val="right"/>
              <w:ind w:right="16"/>
              <w:spacing w:after="0"/>
              <w:rPr>
                <w:sz w:val="20"/>
                <w:szCs w:val="20"/>
                <w:color w:val="auto"/>
              </w:rPr>
            </w:pPr>
            <w:r>
              <w:rPr>
                <w:rFonts w:ascii="Arial" w:cs="Arial" w:eastAsia="Arial" w:hAnsi="Arial"/>
                <w:sz w:val="18"/>
                <w:szCs w:val="18"/>
                <w:color w:val="auto"/>
              </w:rPr>
              <w:t>653</w:t>
            </w:r>
          </w:p>
        </w:tc>
        <w:tc>
          <w:tcPr>
            <w:tcW w:w="220" w:type="dxa"/>
            <w:vAlign w:val="bottom"/>
            <w:shd w:val="clear" w:color="auto" w:fill="E5FFFF"/>
          </w:tcPr>
          <w:p>
            <w:pPr>
              <w:spacing w:after="0"/>
              <w:rPr>
                <w:sz w:val="18"/>
                <w:szCs w:val="18"/>
                <w:color w:val="auto"/>
              </w:rPr>
            </w:pPr>
          </w:p>
        </w:tc>
        <w:tc>
          <w:tcPr>
            <w:tcW w:w="840" w:type="dxa"/>
            <w:vAlign w:val="bottom"/>
            <w:shd w:val="clear" w:color="auto" w:fill="E5FFFF"/>
          </w:tcPr>
          <w:p>
            <w:pPr>
              <w:spacing w:after="0"/>
              <w:rPr>
                <w:sz w:val="18"/>
                <w:szCs w:val="18"/>
                <w:color w:val="auto"/>
              </w:rPr>
            </w:pPr>
          </w:p>
        </w:tc>
      </w:tr>
      <w:tr>
        <w:trPr>
          <w:trHeight w:val="196"/>
        </w:trPr>
        <w:tc>
          <w:tcPr>
            <w:tcW w:w="5040" w:type="dxa"/>
            <w:vAlign w:val="bottom"/>
          </w:tcPr>
          <w:p>
            <w:pPr>
              <w:spacing w:after="0" w:line="196" w:lineRule="exact"/>
              <w:rPr>
                <w:sz w:val="20"/>
                <w:szCs w:val="20"/>
                <w:color w:val="auto"/>
              </w:rPr>
            </w:pPr>
            <w:r>
              <w:rPr>
                <w:rFonts w:ascii="Arial" w:cs="Arial" w:eastAsia="Arial" w:hAnsi="Arial"/>
                <w:sz w:val="18"/>
                <w:szCs w:val="18"/>
                <w:color w:val="auto"/>
              </w:rPr>
              <w:t>Segment profit</w:t>
            </w:r>
          </w:p>
        </w:tc>
        <w:tc>
          <w:tcPr>
            <w:tcW w:w="200" w:type="dxa"/>
            <w:vAlign w:val="bottom"/>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line="196" w:lineRule="exact"/>
              <w:rPr>
                <w:sz w:val="20"/>
                <w:szCs w:val="20"/>
                <w:color w:val="auto"/>
              </w:rPr>
            </w:pPr>
            <w:r>
              <w:rPr>
                <w:rFonts w:ascii="Arial" w:cs="Arial" w:eastAsia="Arial" w:hAnsi="Arial"/>
                <w:sz w:val="18"/>
                <w:szCs w:val="18"/>
                <w:color w:val="auto"/>
              </w:rPr>
              <w:t>597</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Pr>
          <w:p>
            <w:pPr>
              <w:jc w:val="right"/>
              <w:ind w:right="16"/>
              <w:spacing w:after="0" w:line="196" w:lineRule="exact"/>
              <w:rPr>
                <w:sz w:val="20"/>
                <w:szCs w:val="20"/>
                <w:color w:val="auto"/>
              </w:rPr>
            </w:pPr>
            <w:r>
              <w:rPr>
                <w:rFonts w:ascii="Arial" w:cs="Arial" w:eastAsia="Arial" w:hAnsi="Arial"/>
                <w:sz w:val="18"/>
                <w:szCs w:val="18"/>
                <w:color w:val="auto"/>
              </w:rPr>
              <w:t>553</w:t>
            </w:r>
          </w:p>
        </w:tc>
        <w:tc>
          <w:tcPr>
            <w:tcW w:w="220" w:type="dxa"/>
            <w:vAlign w:val="bottom"/>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c>
          <w:tcPr>
            <w:tcW w:w="200" w:type="dxa"/>
            <w:vAlign w:val="bottom"/>
          </w:tcPr>
          <w:p>
            <w:pPr>
              <w:spacing w:after="0"/>
              <w:rPr>
                <w:sz w:val="17"/>
                <w:szCs w:val="17"/>
                <w:color w:val="auto"/>
              </w:rPr>
            </w:pPr>
          </w:p>
        </w:tc>
        <w:tc>
          <w:tcPr>
            <w:tcW w:w="200" w:type="dxa"/>
            <w:vAlign w:val="bottom"/>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tcPr>
          <w:p>
            <w:pPr>
              <w:jc w:val="right"/>
              <w:ind w:right="14"/>
              <w:spacing w:after="0" w:line="196" w:lineRule="exact"/>
              <w:rPr>
                <w:sz w:val="20"/>
                <w:szCs w:val="20"/>
                <w:color w:val="auto"/>
              </w:rPr>
            </w:pPr>
            <w:r>
              <w:rPr>
                <w:rFonts w:ascii="Arial" w:cs="Arial" w:eastAsia="Arial" w:hAnsi="Arial"/>
                <w:sz w:val="18"/>
                <w:szCs w:val="18"/>
                <w:color w:val="auto"/>
              </w:rPr>
              <w:t>1,116</w:t>
            </w:r>
          </w:p>
        </w:tc>
        <w:tc>
          <w:tcPr>
            <w:tcW w:w="240" w:type="dxa"/>
            <w:vAlign w:val="bottom"/>
            <w:gridSpan w:val="2"/>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ind w:right="16"/>
              <w:spacing w:after="0" w:line="196" w:lineRule="exact"/>
              <w:rPr>
                <w:sz w:val="20"/>
                <w:szCs w:val="20"/>
                <w:color w:val="auto"/>
              </w:rPr>
            </w:pPr>
            <w:r>
              <w:rPr>
                <w:rFonts w:ascii="Arial" w:cs="Arial" w:eastAsia="Arial" w:hAnsi="Arial"/>
                <w:sz w:val="18"/>
                <w:szCs w:val="18"/>
                <w:color w:val="auto"/>
              </w:rPr>
              <w:t>1,036</w:t>
            </w:r>
          </w:p>
        </w:tc>
        <w:tc>
          <w:tcPr>
            <w:tcW w:w="220" w:type="dxa"/>
            <w:vAlign w:val="bottom"/>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r>
      <w:tr>
        <w:trPr>
          <w:trHeight w:val="20"/>
        </w:trPr>
        <w:tc>
          <w:tcPr>
            <w:tcW w:w="50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bl>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78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320" w:type="dxa"/>
            <w:vAlign w:val="bottom"/>
            <w:tcBorders>
              <w:bottom w:val="single" w:sz="8" w:color="auto"/>
            </w:tcBorders>
            <w:gridSpan w:val="4"/>
          </w:tcPr>
          <w:p>
            <w:pPr>
              <w:ind w:left="600"/>
              <w:spacing w:after="0"/>
              <w:rPr>
                <w:sz w:val="20"/>
                <w:szCs w:val="20"/>
                <w:color w:val="auto"/>
              </w:rPr>
            </w:pPr>
            <w:r>
              <w:rPr>
                <w:rFonts w:ascii="Arial" w:cs="Arial" w:eastAsia="Arial" w:hAnsi="Arial"/>
                <w:sz w:val="14"/>
                <w:szCs w:val="14"/>
                <w:b w:val="1"/>
                <w:bCs w:val="1"/>
                <w:color w:val="auto"/>
              </w:rPr>
              <w:t>2018 vs. 2017</w:t>
            </w:r>
          </w:p>
        </w:tc>
        <w:tc>
          <w:tcPr>
            <w:tcW w:w="840" w:type="dxa"/>
            <w:vAlign w:val="bottom"/>
            <w:tcBorders>
              <w:bottom w:val="single" w:sz="8" w:color="auto"/>
            </w:tcBorders>
          </w:tcPr>
          <w:p>
            <w:pPr>
              <w:spacing w:after="0"/>
              <w:rPr>
                <w:sz w:val="15"/>
                <w:szCs w:val="15"/>
                <w:color w:val="auto"/>
              </w:rPr>
            </w:pPr>
          </w:p>
        </w:tc>
      </w:tr>
      <w:tr>
        <w:trPr>
          <w:trHeight w:val="142"/>
        </w:trPr>
        <w:tc>
          <w:tcPr>
            <w:tcW w:w="478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2220" w:type="dxa"/>
            <w:vAlign w:val="bottom"/>
            <w:gridSpan w:val="4"/>
          </w:tcPr>
          <w:p>
            <w:pPr>
              <w:jc w:val="right"/>
              <w:ind w:right="500"/>
              <w:spacing w:after="0" w:line="143" w:lineRule="exact"/>
              <w:rPr>
                <w:sz w:val="20"/>
                <w:szCs w:val="20"/>
                <w:color w:val="auto"/>
              </w:rPr>
            </w:pPr>
            <w:r>
              <w:rPr>
                <w:rFonts w:ascii="Arial" w:cs="Arial" w:eastAsia="Arial" w:hAnsi="Arial"/>
                <w:sz w:val="14"/>
                <w:szCs w:val="14"/>
                <w:b w:val="1"/>
                <w:bCs w:val="1"/>
                <w:color w:val="auto"/>
              </w:rPr>
              <w:t>Three Months Ended</w:t>
            </w:r>
          </w:p>
        </w:tc>
        <w:tc>
          <w:tcPr>
            <w:tcW w:w="2000" w:type="dxa"/>
            <w:vAlign w:val="bottom"/>
            <w:gridSpan w:val="3"/>
          </w:tcPr>
          <w:p>
            <w:pPr>
              <w:ind w:left="380"/>
              <w:spacing w:after="0" w:line="143" w:lineRule="exact"/>
              <w:rPr>
                <w:sz w:val="20"/>
                <w:szCs w:val="20"/>
                <w:color w:val="auto"/>
              </w:rPr>
            </w:pPr>
            <w:r>
              <w:rPr>
                <w:rFonts w:ascii="Arial" w:cs="Arial" w:eastAsia="Arial" w:hAnsi="Arial"/>
                <w:sz w:val="14"/>
                <w:szCs w:val="14"/>
                <w:b w:val="1"/>
                <w:bCs w:val="1"/>
                <w:color w:val="auto"/>
              </w:rPr>
              <w:t>Six Months Ended</w:t>
            </w:r>
          </w:p>
        </w:tc>
      </w:tr>
      <w:tr>
        <w:trPr>
          <w:trHeight w:val="175"/>
        </w:trPr>
        <w:tc>
          <w:tcPr>
            <w:tcW w:w="478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2220" w:type="dxa"/>
            <w:vAlign w:val="bottom"/>
            <w:gridSpan w:val="4"/>
          </w:tcPr>
          <w:p>
            <w:pPr>
              <w:ind w:left="720"/>
              <w:spacing w:after="0"/>
              <w:rPr>
                <w:sz w:val="20"/>
                <w:szCs w:val="20"/>
                <w:color w:val="auto"/>
              </w:rPr>
            </w:pPr>
            <w:r>
              <w:rPr>
                <w:rFonts w:ascii="Arial" w:cs="Arial" w:eastAsia="Arial" w:hAnsi="Arial"/>
                <w:sz w:val="14"/>
                <w:szCs w:val="14"/>
                <w:b w:val="1"/>
                <w:bCs w:val="1"/>
                <w:color w:val="auto"/>
              </w:rPr>
              <w:t>June 30,</w:t>
            </w:r>
          </w:p>
        </w:tc>
        <w:tc>
          <w:tcPr>
            <w:tcW w:w="2000" w:type="dxa"/>
            <w:vAlign w:val="bottom"/>
            <w:gridSpan w:val="3"/>
          </w:tcPr>
          <w:p>
            <w:pPr>
              <w:ind w:left="720"/>
              <w:spacing w:after="0"/>
              <w:rPr>
                <w:sz w:val="20"/>
                <w:szCs w:val="20"/>
                <w:color w:val="auto"/>
              </w:rPr>
            </w:pPr>
            <w:r>
              <w:rPr>
                <w:rFonts w:ascii="Arial" w:cs="Arial" w:eastAsia="Arial" w:hAnsi="Arial"/>
                <w:sz w:val="14"/>
                <w:szCs w:val="14"/>
                <w:b w:val="1"/>
                <w:bCs w:val="1"/>
                <w:color w:val="auto"/>
              </w:rPr>
              <w:t>June 30,</w:t>
            </w:r>
          </w:p>
        </w:tc>
      </w:tr>
      <w:tr>
        <w:trPr>
          <w:trHeight w:val="142"/>
        </w:trPr>
        <w:tc>
          <w:tcPr>
            <w:tcW w:w="478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jc w:val="right"/>
              <w:ind w:right="79"/>
              <w:spacing w:after="0" w:line="143" w:lineRule="exact"/>
              <w:rPr>
                <w:sz w:val="20"/>
                <w:szCs w:val="20"/>
                <w:color w:val="auto"/>
              </w:rPr>
            </w:pPr>
            <w:r>
              <w:rPr>
                <w:rFonts w:ascii="Arial" w:cs="Arial" w:eastAsia="Arial" w:hAnsi="Arial"/>
                <w:sz w:val="14"/>
                <w:szCs w:val="14"/>
                <w:b w:val="1"/>
                <w:bCs w:val="1"/>
                <w:color w:val="auto"/>
              </w:rPr>
              <w:t>Segment</w:t>
            </w:r>
          </w:p>
        </w:tc>
        <w:tc>
          <w:tcPr>
            <w:tcW w:w="220" w:type="dxa"/>
            <w:vAlign w:val="bottom"/>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right"/>
              <w:ind w:right="37"/>
              <w:spacing w:after="0" w:line="143" w:lineRule="exact"/>
              <w:rPr>
                <w:sz w:val="20"/>
                <w:szCs w:val="20"/>
                <w:color w:val="auto"/>
              </w:rPr>
            </w:pPr>
            <w:r>
              <w:rPr>
                <w:rFonts w:ascii="Arial" w:cs="Arial" w:eastAsia="Arial" w:hAnsi="Arial"/>
                <w:sz w:val="14"/>
                <w:szCs w:val="14"/>
                <w:b w:val="1"/>
                <w:bCs w:val="1"/>
                <w:color w:val="auto"/>
              </w:rPr>
              <w:t>Segment</w:t>
            </w:r>
          </w:p>
        </w:tc>
      </w:tr>
      <w:tr>
        <w:trPr>
          <w:trHeight w:val="175"/>
        </w:trPr>
        <w:tc>
          <w:tcPr>
            <w:tcW w:w="7200" w:type="dxa"/>
            <w:vAlign w:val="bottom"/>
            <w:gridSpan w:val="2"/>
          </w:tcPr>
          <w:p>
            <w:pPr>
              <w:ind w:left="780"/>
              <w:spacing w:after="0"/>
              <w:rPr>
                <w:sz w:val="20"/>
                <w:szCs w:val="20"/>
                <w:color w:val="auto"/>
              </w:rPr>
            </w:pPr>
            <w:r>
              <w:rPr>
                <w:rFonts w:ascii="Arial" w:cs="Arial" w:eastAsia="Arial" w:hAnsi="Arial"/>
                <w:sz w:val="14"/>
                <w:szCs w:val="14"/>
                <w:b w:val="1"/>
                <w:bCs w:val="1"/>
                <w:color w:val="auto"/>
              </w:rPr>
              <w:t>Factors Contributing to Year-Over-Year Change</w:t>
            </w:r>
          </w:p>
        </w:tc>
        <w:tc>
          <w:tcPr>
            <w:tcW w:w="1060" w:type="dxa"/>
            <w:vAlign w:val="bottom"/>
            <w:gridSpan w:val="2"/>
          </w:tcPr>
          <w:p>
            <w:pPr>
              <w:ind w:left="240"/>
              <w:spacing w:after="0"/>
              <w:rPr>
                <w:sz w:val="20"/>
                <w:szCs w:val="20"/>
                <w:color w:val="auto"/>
              </w:rPr>
            </w:pPr>
            <w:r>
              <w:rPr>
                <w:rFonts w:ascii="Arial" w:cs="Arial" w:eastAsia="Arial" w:hAnsi="Arial"/>
                <w:sz w:val="14"/>
                <w:szCs w:val="14"/>
                <w:b w:val="1"/>
                <w:bCs w:val="1"/>
                <w:color w:val="auto"/>
              </w:rPr>
              <w:t>Sales</w:t>
            </w:r>
          </w:p>
        </w:tc>
        <w:tc>
          <w:tcPr>
            <w:tcW w:w="116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Profit</w:t>
            </w:r>
          </w:p>
        </w:tc>
        <w:tc>
          <w:tcPr>
            <w:tcW w:w="1160" w:type="dxa"/>
            <w:vAlign w:val="bottom"/>
            <w:gridSpan w:val="2"/>
          </w:tcPr>
          <w:p>
            <w:pPr>
              <w:ind w:left="280"/>
              <w:spacing w:after="0"/>
              <w:rPr>
                <w:sz w:val="20"/>
                <w:szCs w:val="20"/>
                <w:color w:val="auto"/>
              </w:rPr>
            </w:pPr>
            <w:r>
              <w:rPr>
                <w:rFonts w:ascii="Arial" w:cs="Arial" w:eastAsia="Arial" w:hAnsi="Arial"/>
                <w:sz w:val="14"/>
                <w:szCs w:val="14"/>
                <w:b w:val="1"/>
                <w:bCs w:val="1"/>
                <w:color w:val="auto"/>
              </w:rPr>
              <w:t>Sales</w:t>
            </w:r>
          </w:p>
        </w:tc>
        <w:tc>
          <w:tcPr>
            <w:tcW w:w="840" w:type="dxa"/>
            <w:vAlign w:val="bottom"/>
          </w:tcPr>
          <w:p>
            <w:pPr>
              <w:jc w:val="right"/>
              <w:ind w:right="157"/>
              <w:spacing w:after="0"/>
              <w:rPr>
                <w:sz w:val="20"/>
                <w:szCs w:val="20"/>
                <w:color w:val="auto"/>
              </w:rPr>
            </w:pPr>
            <w:r>
              <w:rPr>
                <w:rFonts w:ascii="Arial" w:cs="Arial" w:eastAsia="Arial" w:hAnsi="Arial"/>
                <w:sz w:val="14"/>
                <w:szCs w:val="14"/>
                <w:b w:val="1"/>
                <w:bCs w:val="1"/>
                <w:color w:val="auto"/>
              </w:rPr>
              <w:t>Profit</w:t>
            </w:r>
          </w:p>
        </w:tc>
      </w:tr>
      <w:tr>
        <w:trPr>
          <w:trHeight w:val="196"/>
        </w:trPr>
        <w:tc>
          <w:tcPr>
            <w:tcW w:w="4780" w:type="dxa"/>
            <w:vAlign w:val="bottom"/>
            <w:tcBorders>
              <w:top w:val="single" w:sz="8" w:color="auto"/>
            </w:tcBorders>
            <w:shd w:val="clear" w:color="auto" w:fill="E5FFFF"/>
          </w:tcPr>
          <w:p>
            <w:pPr>
              <w:spacing w:after="0" w:line="196" w:lineRule="exact"/>
              <w:rPr>
                <w:sz w:val="20"/>
                <w:szCs w:val="20"/>
                <w:color w:val="auto"/>
              </w:rPr>
            </w:pPr>
            <w:r>
              <w:rPr>
                <w:rFonts w:ascii="Arial" w:cs="Arial" w:eastAsia="Arial" w:hAnsi="Arial"/>
                <w:sz w:val="18"/>
                <w:szCs w:val="18"/>
                <w:color w:val="auto"/>
              </w:rPr>
              <w:t>Organic growth/ Operational segment profit</w:t>
            </w:r>
          </w:p>
        </w:tc>
        <w:tc>
          <w:tcPr>
            <w:tcW w:w="2420" w:type="dxa"/>
            <w:vAlign w:val="bottom"/>
            <w:tcBorders>
              <w:top w:val="single" w:sz="8" w:color="E5FFFF"/>
            </w:tcBorders>
            <w:shd w:val="clear" w:color="auto" w:fill="E5FFFF"/>
          </w:tcPr>
          <w:p>
            <w:pPr>
              <w:spacing w:after="0"/>
              <w:rPr>
                <w:sz w:val="17"/>
                <w:szCs w:val="17"/>
                <w:color w:val="auto"/>
              </w:rPr>
            </w:pPr>
          </w:p>
        </w:tc>
        <w:tc>
          <w:tcPr>
            <w:tcW w:w="840" w:type="dxa"/>
            <w:vAlign w:val="bottom"/>
            <w:tcBorders>
              <w:top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3%</w:t>
            </w:r>
          </w:p>
        </w:tc>
        <w:tc>
          <w:tcPr>
            <w:tcW w:w="220" w:type="dxa"/>
            <w:vAlign w:val="bottom"/>
            <w:tcBorders>
              <w:top w:val="single" w:sz="8" w:color="E5FFFF"/>
            </w:tcBorders>
            <w:shd w:val="clear" w:color="auto" w:fill="E5FFFF"/>
          </w:tcPr>
          <w:p>
            <w:pPr>
              <w:spacing w:after="0"/>
              <w:rPr>
                <w:sz w:val="17"/>
                <w:szCs w:val="17"/>
                <w:color w:val="auto"/>
              </w:rPr>
            </w:pPr>
          </w:p>
        </w:tc>
        <w:tc>
          <w:tcPr>
            <w:tcW w:w="940" w:type="dxa"/>
            <w:vAlign w:val="bottom"/>
            <w:tcBorders>
              <w:top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6%</w:t>
            </w:r>
          </w:p>
        </w:tc>
        <w:tc>
          <w:tcPr>
            <w:tcW w:w="220" w:type="dxa"/>
            <w:vAlign w:val="bottom"/>
            <w:tcBorders>
              <w:top w:val="single" w:sz="8" w:color="E5FFFF"/>
            </w:tcBorders>
            <w:shd w:val="clear" w:color="auto" w:fill="E5FFFF"/>
          </w:tcPr>
          <w:p>
            <w:pPr>
              <w:spacing w:after="0"/>
              <w:rPr>
                <w:sz w:val="17"/>
                <w:szCs w:val="17"/>
                <w:color w:val="auto"/>
              </w:rPr>
            </w:pPr>
          </w:p>
        </w:tc>
        <w:tc>
          <w:tcPr>
            <w:tcW w:w="940" w:type="dxa"/>
            <w:vAlign w:val="bottom"/>
            <w:tcBorders>
              <w:top w:val="single" w:sz="8" w:color="auto"/>
            </w:tcBorders>
            <w:shd w:val="clear" w:color="auto" w:fill="E5FFFF"/>
          </w:tcPr>
          <w:p>
            <w:pPr>
              <w:ind w:left="680"/>
              <w:spacing w:after="0" w:line="196" w:lineRule="exact"/>
              <w:rPr>
                <w:sz w:val="20"/>
                <w:szCs w:val="20"/>
                <w:color w:val="auto"/>
              </w:rPr>
            </w:pPr>
            <w:r>
              <w:rPr>
                <w:rFonts w:ascii="Arial" w:cs="Arial" w:eastAsia="Arial" w:hAnsi="Arial"/>
                <w:sz w:val="18"/>
                <w:szCs w:val="18"/>
                <w:color w:val="auto"/>
                <w:w w:val="92"/>
              </w:rPr>
              <w:t>3%</w:t>
            </w:r>
          </w:p>
        </w:tc>
        <w:tc>
          <w:tcPr>
            <w:tcW w:w="220" w:type="dxa"/>
            <w:vAlign w:val="bottom"/>
            <w:tcBorders>
              <w:top w:val="single" w:sz="8" w:color="E5FFFF"/>
            </w:tcBorders>
            <w:shd w:val="clear" w:color="auto" w:fill="E5FFFF"/>
          </w:tcPr>
          <w:p>
            <w:pPr>
              <w:spacing w:after="0"/>
              <w:rPr>
                <w:sz w:val="17"/>
                <w:szCs w:val="17"/>
                <w:color w:val="auto"/>
              </w:rPr>
            </w:pPr>
          </w:p>
        </w:tc>
        <w:tc>
          <w:tcPr>
            <w:tcW w:w="840" w:type="dxa"/>
            <w:vAlign w:val="bottom"/>
            <w:tcBorders>
              <w:top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5%</w:t>
            </w:r>
          </w:p>
        </w:tc>
      </w:tr>
      <w:tr>
        <w:trPr>
          <w:trHeight w:val="216"/>
        </w:trPr>
        <w:tc>
          <w:tcPr>
            <w:tcW w:w="7200" w:type="dxa"/>
            <w:vAlign w:val="bottom"/>
            <w:tcBorders>
              <w:bottom w:val="single" w:sz="8" w:color="E5FFFF"/>
            </w:tcBorders>
            <w:gridSpan w:val="2"/>
          </w:tcPr>
          <w:p>
            <w:pPr>
              <w:spacing w:after="0"/>
              <w:rPr>
                <w:sz w:val="20"/>
                <w:szCs w:val="20"/>
                <w:color w:val="auto"/>
              </w:rPr>
            </w:pPr>
            <w:r>
              <w:rPr>
                <w:rFonts w:ascii="Arial" w:cs="Arial" w:eastAsia="Arial" w:hAnsi="Arial"/>
                <w:sz w:val="18"/>
                <w:szCs w:val="18"/>
                <w:color w:val="auto"/>
              </w:rPr>
              <w:t>Foreign currency translation</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20" w:type="dxa"/>
            <w:vAlign w:val="bottom"/>
            <w:tcBorders>
              <w:bottom w:val="single" w:sz="8" w:color="E5FFFF"/>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20" w:type="dxa"/>
            <w:vAlign w:val="bottom"/>
            <w:tcBorders>
              <w:bottom w:val="single" w:sz="8" w:color="E5FFFF"/>
            </w:tcBorders>
          </w:tcPr>
          <w:p>
            <w:pPr>
              <w:spacing w:after="0"/>
              <w:rPr>
                <w:sz w:val="18"/>
                <w:szCs w:val="18"/>
                <w:color w:val="auto"/>
              </w:rPr>
            </w:pPr>
          </w:p>
        </w:tc>
        <w:tc>
          <w:tcPr>
            <w:tcW w:w="940" w:type="dxa"/>
            <w:vAlign w:val="bottom"/>
            <w:tcBorders>
              <w:bottom w:val="single" w:sz="8" w:color="auto"/>
            </w:tcBorders>
          </w:tcPr>
          <w:p>
            <w:pPr>
              <w:ind w:left="680"/>
              <w:spacing w:after="0"/>
              <w:rPr>
                <w:sz w:val="20"/>
                <w:szCs w:val="20"/>
                <w:color w:val="auto"/>
              </w:rPr>
            </w:pPr>
            <w:r>
              <w:rPr>
                <w:rFonts w:ascii="Arial" w:cs="Arial" w:eastAsia="Arial" w:hAnsi="Arial"/>
                <w:sz w:val="18"/>
                <w:szCs w:val="18"/>
                <w:color w:val="auto"/>
                <w:w w:val="92"/>
              </w:rPr>
              <w:t>3%</w:t>
            </w:r>
          </w:p>
        </w:tc>
        <w:tc>
          <w:tcPr>
            <w:tcW w:w="220" w:type="dxa"/>
            <w:vAlign w:val="bottom"/>
            <w:tcBorders>
              <w:bottom w:val="single" w:sz="8" w:color="E5FFFF"/>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r>
      <w:tr>
        <w:trPr>
          <w:trHeight w:val="210"/>
        </w:trPr>
        <w:tc>
          <w:tcPr>
            <w:tcW w:w="7200" w:type="dxa"/>
            <w:vAlign w:val="bottom"/>
            <w:tcBorders>
              <w:bottom w:val="single" w:sz="8" w:color="E5FFFF"/>
            </w:tcBorders>
            <w:gridSpan w:val="2"/>
            <w:shd w:val="clear" w:color="auto" w:fill="E5FFFF"/>
          </w:tcPr>
          <w:p>
            <w:pPr>
              <w:spacing w:after="0" w:line="197" w:lineRule="exact"/>
              <w:rPr>
                <w:sz w:val="20"/>
                <w:szCs w:val="20"/>
                <w:color w:val="auto"/>
              </w:rPr>
            </w:pPr>
            <w:r>
              <w:rPr>
                <w:rFonts w:ascii="Arial" w:cs="Arial" w:eastAsia="Arial" w:hAnsi="Arial"/>
                <w:sz w:val="18"/>
                <w:szCs w:val="18"/>
                <w:color w:val="auto"/>
              </w:rPr>
              <w:t>Total % change</w:t>
            </w:r>
          </w:p>
        </w:tc>
        <w:tc>
          <w:tcPr>
            <w:tcW w:w="8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5%</w:t>
            </w:r>
          </w:p>
        </w:tc>
        <w:tc>
          <w:tcPr>
            <w:tcW w:w="220" w:type="dxa"/>
            <w:vAlign w:val="bottom"/>
            <w:tcBorders>
              <w:bottom w:val="single" w:sz="8" w:color="E5FFFF"/>
            </w:tcBorders>
            <w:shd w:val="clear" w:color="auto" w:fill="E5FFFF"/>
          </w:tcPr>
          <w:p>
            <w:pPr>
              <w:spacing w:after="0"/>
              <w:rPr>
                <w:sz w:val="18"/>
                <w:szCs w:val="18"/>
                <w:color w:val="auto"/>
              </w:rPr>
            </w:pPr>
          </w:p>
        </w:tc>
        <w:tc>
          <w:tcPr>
            <w:tcW w:w="9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8%</w:t>
            </w:r>
          </w:p>
        </w:tc>
        <w:tc>
          <w:tcPr>
            <w:tcW w:w="220" w:type="dxa"/>
            <w:vAlign w:val="bottom"/>
            <w:tcBorders>
              <w:bottom w:val="single" w:sz="8" w:color="E5FFFF"/>
            </w:tcBorders>
            <w:shd w:val="clear" w:color="auto" w:fill="E5FFFF"/>
          </w:tcPr>
          <w:p>
            <w:pPr>
              <w:spacing w:after="0"/>
              <w:rPr>
                <w:sz w:val="18"/>
                <w:szCs w:val="18"/>
                <w:color w:val="auto"/>
              </w:rPr>
            </w:pPr>
          </w:p>
        </w:tc>
        <w:tc>
          <w:tcPr>
            <w:tcW w:w="940" w:type="dxa"/>
            <w:vAlign w:val="bottom"/>
            <w:tcBorders>
              <w:bottom w:val="single" w:sz="8" w:color="auto"/>
            </w:tcBorders>
            <w:shd w:val="clear" w:color="auto" w:fill="E5FFFF"/>
          </w:tcPr>
          <w:p>
            <w:pPr>
              <w:ind w:left="680"/>
              <w:spacing w:after="0"/>
              <w:rPr>
                <w:sz w:val="20"/>
                <w:szCs w:val="20"/>
                <w:color w:val="auto"/>
              </w:rPr>
            </w:pPr>
            <w:r>
              <w:rPr>
                <w:rFonts w:ascii="Arial" w:cs="Arial" w:eastAsia="Arial" w:hAnsi="Arial"/>
                <w:sz w:val="18"/>
                <w:szCs w:val="18"/>
                <w:color w:val="auto"/>
                <w:w w:val="92"/>
              </w:rPr>
              <w:t>6%</w:t>
            </w:r>
          </w:p>
        </w:tc>
        <w:tc>
          <w:tcPr>
            <w:tcW w:w="220" w:type="dxa"/>
            <w:vAlign w:val="bottom"/>
            <w:tcBorders>
              <w:bottom w:val="single" w:sz="8" w:color="E5FFFF"/>
            </w:tcBorders>
            <w:shd w:val="clear" w:color="auto" w:fill="E5FFFF"/>
          </w:tcPr>
          <w:p>
            <w:pPr>
              <w:spacing w:after="0"/>
              <w:rPr>
                <w:sz w:val="18"/>
                <w:szCs w:val="18"/>
                <w:color w:val="auto"/>
              </w:rPr>
            </w:pPr>
          </w:p>
        </w:tc>
        <w:tc>
          <w:tcPr>
            <w:tcW w:w="8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8%</w:t>
            </w:r>
          </w:p>
        </w:tc>
      </w:tr>
      <w:tr>
        <w:trPr>
          <w:trHeight w:val="20"/>
        </w:trPr>
        <w:tc>
          <w:tcPr>
            <w:tcW w:w="47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8"/>
          <w:szCs w:val="18"/>
          <w:color w:val="auto"/>
        </w:rPr>
        <w:t>Performance Materials and Technologies sales increased in the quarter and six months ended June 30, 2018 due to organic growth and the favorable impact of foreign currency translation.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10" w:right="239" w:bottom="1440" w:gutter="0" w:footer="0" w:header="0"/>
        </w:sectPr>
      </w:pPr>
    </w:p>
    <w:bookmarkStart w:id="33" w:name="page34"/>
    <w:bookmarkEnd w:id="33"/>
    <w:p>
      <w:pPr>
        <w:jc w:val="both"/>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UOP sales increased 6% (increased 3% organic) in the quarter and six months driven primarily by increases in catalyst and engineering revenues and by the favorable impact of foreign currency translation, partially offset by lower gas processing equipment revenues.</w:t>
      </w:r>
    </w:p>
    <w:p>
      <w:pPr>
        <w:spacing w:after="0" w:line="175" w:lineRule="exact"/>
        <w:rPr>
          <w:rFonts w:ascii="Arial" w:cs="Arial" w:eastAsia="Arial" w:hAnsi="Arial"/>
          <w:sz w:val="18"/>
          <w:szCs w:val="18"/>
          <w:color w:val="auto"/>
        </w:rPr>
      </w:pPr>
    </w:p>
    <w:p>
      <w:pPr>
        <w:jc w:val="both"/>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Process Solutions sales increased 7% (increased 5% organic) in the quarter and increased 8% (increased 4% organic) in the six months driven primarily by increases in projects and maintenance and migration services, along with smart energy and thermal solutions revenues in the first three months of the year and by the favorable impact of foreign currency translation.</w:t>
      </w:r>
    </w:p>
    <w:p>
      <w:pPr>
        <w:spacing w:after="0" w:line="189" w:lineRule="exact"/>
        <w:rPr>
          <w:rFonts w:ascii="Arial" w:cs="Arial" w:eastAsia="Arial" w:hAnsi="Arial"/>
          <w:sz w:val="18"/>
          <w:szCs w:val="18"/>
          <w:color w:val="auto"/>
        </w:rPr>
      </w:pPr>
    </w:p>
    <w:p>
      <w:pPr>
        <w:jc w:val="both"/>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Advanced Materials sales increased 2% (decreased 1% organic) in the quarter and increased 4% (flat organic) in the six months driven by the favorable impact of foreign currency translation and by increases primarily in fluorine products revenues, partially offset by lower other specialty products sales in the second quarter.</w:t>
      </w:r>
    </w:p>
    <w:p>
      <w:pPr>
        <w:spacing w:after="0" w:line="162"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Performance Materials and Technologies segment profit increased in the quarter and six months due to an increase in operational segment profit and the favorable impact of foreign currency translation. The increase in operational segment profit for the quarter is primarily due to higher organic sales volume and pricing, partially offset by higher sales of lower margin products, continued investments for growth, and inflation. The increase in operational segment profit for the six months is primarily due to higher organic sales volume, productivity, net of inflation, and pricing, partially offset by higher sales of lower margin products and continued investments for growth. Cost of products and services sold increased in the quarter and six months primarily due to foreign currency translation and higher organic sales volumes, partially offset by productivity, net of inflation.</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Safety and Productivity Solutions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540" w:type="dxa"/>
            <w:vAlign w:val="bottom"/>
            <w:gridSpan w:val="6"/>
          </w:tcPr>
          <w:p>
            <w:pPr>
              <w:jc w:val="center"/>
              <w:ind w:right="40"/>
              <w:spacing w:after="0"/>
              <w:rPr>
                <w:sz w:val="20"/>
                <w:szCs w:val="20"/>
                <w:color w:val="auto"/>
              </w:rPr>
            </w:pPr>
            <w:r>
              <w:rPr>
                <w:rFonts w:ascii="Arial" w:cs="Arial" w:eastAsia="Arial" w:hAnsi="Arial"/>
                <w:sz w:val="14"/>
                <w:szCs w:val="14"/>
                <w:b w:val="1"/>
                <w:bCs w:val="1"/>
                <w:color w:val="auto"/>
              </w:rPr>
              <w:t>Three Months Ended</w:t>
            </w: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320" w:type="dxa"/>
            <w:vAlign w:val="bottom"/>
            <w:gridSpan w:val="4"/>
          </w:tcPr>
          <w:p>
            <w:pPr>
              <w:jc w:val="center"/>
              <w:spacing w:after="0"/>
              <w:rPr>
                <w:sz w:val="20"/>
                <w:szCs w:val="20"/>
                <w:color w:val="auto"/>
              </w:rPr>
            </w:pPr>
            <w:r>
              <w:rPr>
                <w:rFonts w:ascii="Arial" w:cs="Arial" w:eastAsia="Arial" w:hAnsi="Arial"/>
                <w:sz w:val="14"/>
                <w:szCs w:val="14"/>
                <w:b w:val="1"/>
                <w:bCs w:val="1"/>
                <w:color w:val="auto"/>
              </w:rPr>
              <w:t>Six Months Ended</w:t>
            </w:r>
          </w:p>
        </w:tc>
        <w:tc>
          <w:tcPr>
            <w:tcW w:w="940" w:type="dxa"/>
            <w:vAlign w:val="bottom"/>
          </w:tcPr>
          <w:p>
            <w:pPr>
              <w:spacing w:after="0"/>
              <w:rPr>
                <w:sz w:val="14"/>
                <w:szCs w:val="14"/>
                <w:color w:val="auto"/>
              </w:rPr>
            </w:pPr>
          </w:p>
        </w:tc>
      </w:tr>
      <w:tr>
        <w:trPr>
          <w:trHeight w:val="175"/>
        </w:trPr>
        <w:tc>
          <w:tcPr>
            <w:tcW w:w="48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3"/>
          </w:tcPr>
          <w:p>
            <w:pPr>
              <w:jc w:val="center"/>
              <w:ind w:right="460"/>
              <w:spacing w:after="0"/>
              <w:rPr>
                <w:sz w:val="20"/>
                <w:szCs w:val="20"/>
                <w:color w:val="auto"/>
              </w:rPr>
            </w:pPr>
            <w:r>
              <w:rPr>
                <w:rFonts w:ascii="Arial" w:cs="Arial" w:eastAsia="Arial" w:hAnsi="Arial"/>
                <w:sz w:val="14"/>
                <w:szCs w:val="14"/>
                <w:b w:val="1"/>
                <w:bCs w:val="1"/>
                <w:color w:val="auto"/>
              </w:rPr>
              <w:t>June 30,</w:t>
            </w:r>
          </w:p>
        </w:tc>
        <w:tc>
          <w:tcPr>
            <w:tcW w:w="82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9"/>
              </w:rPr>
              <w:t>June 30,</w:t>
            </w:r>
          </w:p>
        </w:tc>
        <w:tc>
          <w:tcPr>
            <w:tcW w:w="940" w:type="dxa"/>
            <w:vAlign w:val="bottom"/>
            <w:tcBorders>
              <w:bottom w:val="single" w:sz="8" w:color="auto"/>
            </w:tcBorders>
          </w:tcPr>
          <w:p>
            <w:pPr>
              <w:spacing w:after="0"/>
              <w:rPr>
                <w:sz w:val="15"/>
                <w:szCs w:val="15"/>
                <w:color w:val="auto"/>
              </w:rPr>
            </w:pPr>
          </w:p>
        </w:tc>
      </w:tr>
      <w:tr>
        <w:trPr>
          <w:trHeight w:val="142"/>
        </w:trPr>
        <w:tc>
          <w:tcPr>
            <w:tcW w:w="4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right"/>
              <w:ind w:right="339"/>
              <w:spacing w:after="0" w:line="143"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jc w:val="right"/>
              <w:ind w:right="339"/>
              <w:spacing w:after="0" w:line="143" w:lineRule="exact"/>
              <w:rPr>
                <w:sz w:val="20"/>
                <w:szCs w:val="20"/>
                <w:color w:val="auto"/>
              </w:rPr>
            </w:pPr>
            <w:r>
              <w:rPr>
                <w:rFonts w:ascii="Arial" w:cs="Arial" w:eastAsia="Arial" w:hAnsi="Arial"/>
                <w:sz w:val="14"/>
                <w:szCs w:val="14"/>
                <w:b w:val="1"/>
                <w:bCs w:val="1"/>
                <w:color w:val="auto"/>
              </w:rPr>
              <w:t>%</w:t>
            </w:r>
          </w:p>
        </w:tc>
      </w:tr>
      <w:tr>
        <w:trPr>
          <w:trHeight w:val="175"/>
        </w:trPr>
        <w:tc>
          <w:tcPr>
            <w:tcW w:w="4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jc w:val="right"/>
              <w:ind w:right="154"/>
              <w:spacing w:after="0"/>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center"/>
              <w:ind w:right="56"/>
              <w:spacing w:after="0"/>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tcPr>
          <w:p>
            <w:pPr>
              <w:ind w:left="80"/>
              <w:spacing w:after="0"/>
              <w:rPr>
                <w:sz w:val="20"/>
                <w:szCs w:val="20"/>
                <w:color w:val="auto"/>
              </w:rPr>
            </w:pPr>
            <w:r>
              <w:rPr>
                <w:rFonts w:ascii="Arial" w:cs="Arial" w:eastAsia="Arial" w:hAnsi="Arial"/>
                <w:sz w:val="14"/>
                <w:szCs w:val="14"/>
                <w:b w:val="1"/>
                <w:bCs w:val="1"/>
                <w:color w:val="auto"/>
              </w:rPr>
              <w:t>Change</w:t>
            </w:r>
          </w:p>
        </w:tc>
        <w:tc>
          <w:tcPr>
            <w:tcW w:w="200" w:type="dxa"/>
            <w:vAlign w:val="bottom"/>
          </w:tcPr>
          <w:p>
            <w:pPr>
              <w:spacing w:after="0"/>
              <w:rPr>
                <w:sz w:val="15"/>
                <w:szCs w:val="15"/>
                <w:color w:val="auto"/>
              </w:rPr>
            </w:pPr>
          </w:p>
        </w:tc>
        <w:tc>
          <w:tcPr>
            <w:tcW w:w="700" w:type="dxa"/>
            <w:vAlign w:val="bottom"/>
          </w:tcPr>
          <w:p>
            <w:pPr>
              <w:jc w:val="right"/>
              <w:ind w:right="214"/>
              <w:spacing w:after="0"/>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ind w:right="196"/>
              <w:spacing w:after="0"/>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5"/>
                <w:szCs w:val="15"/>
                <w:color w:val="auto"/>
              </w:rPr>
            </w:pPr>
          </w:p>
        </w:tc>
        <w:tc>
          <w:tcPr>
            <w:tcW w:w="940" w:type="dxa"/>
            <w:vAlign w:val="bottom"/>
          </w:tcPr>
          <w:p>
            <w:pPr>
              <w:jc w:val="right"/>
              <w:ind w:right="119"/>
              <w:spacing w:after="0"/>
              <w:rPr>
                <w:sz w:val="20"/>
                <w:szCs w:val="20"/>
                <w:color w:val="auto"/>
              </w:rPr>
            </w:pPr>
            <w:r>
              <w:rPr>
                <w:rFonts w:ascii="Arial" w:cs="Arial" w:eastAsia="Arial" w:hAnsi="Arial"/>
                <w:sz w:val="14"/>
                <w:szCs w:val="14"/>
                <w:b w:val="1"/>
                <w:bCs w:val="1"/>
                <w:color w:val="auto"/>
              </w:rPr>
              <w:t>Change</w:t>
            </w:r>
          </w:p>
        </w:tc>
      </w:tr>
      <w:tr>
        <w:trPr>
          <w:trHeight w:val="196"/>
        </w:trPr>
        <w:tc>
          <w:tcPr>
            <w:tcW w:w="4820" w:type="dxa"/>
            <w:vAlign w:val="bottom"/>
            <w:tcBorders>
              <w:top w:val="single" w:sz="8" w:color="E5FFFF"/>
            </w:tcBorders>
            <w:shd w:val="clear" w:color="auto" w:fill="E5FFFF"/>
          </w:tcPr>
          <w:p>
            <w:pPr>
              <w:ind w:left="40"/>
              <w:spacing w:after="0" w:line="196" w:lineRule="exact"/>
              <w:rPr>
                <w:sz w:val="20"/>
                <w:szCs w:val="20"/>
                <w:color w:val="auto"/>
              </w:rPr>
            </w:pPr>
            <w:r>
              <w:rPr>
                <w:rFonts w:ascii="Arial" w:cs="Arial" w:eastAsia="Arial" w:hAnsi="Arial"/>
                <w:sz w:val="18"/>
                <w:szCs w:val="18"/>
                <w:color w:val="auto"/>
              </w:rPr>
              <w:t>Net sales</w:t>
            </w:r>
          </w:p>
        </w:tc>
        <w:tc>
          <w:tcPr>
            <w:tcW w:w="200" w:type="dxa"/>
            <w:vAlign w:val="bottom"/>
            <w:tcBorders>
              <w:top w:val="single" w:sz="8" w:color="auto"/>
            </w:tcBorders>
            <w:shd w:val="clear" w:color="auto" w:fill="E5FF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1,617</w:t>
            </w:r>
          </w:p>
        </w:tc>
        <w:tc>
          <w:tcPr>
            <w:tcW w:w="60" w:type="dxa"/>
            <w:vAlign w:val="bottom"/>
            <w:tcBorders>
              <w:top w:val="single" w:sz="8" w:color="auto"/>
            </w:tcBorders>
            <w:shd w:val="clear" w:color="auto" w:fill="E5FFFF"/>
          </w:tcPr>
          <w:p>
            <w:pPr>
              <w:spacing w:after="0"/>
              <w:rPr>
                <w:sz w:val="17"/>
                <w:szCs w:val="17"/>
                <w:color w:val="auto"/>
              </w:rPr>
            </w:pPr>
          </w:p>
        </w:tc>
        <w:tc>
          <w:tcPr>
            <w:tcW w:w="240" w:type="dxa"/>
            <w:vAlign w:val="bottom"/>
            <w:tcBorders>
              <w:top w:val="single" w:sz="8" w:color="E5FFFF"/>
            </w:tcBorders>
            <w:shd w:val="clear" w:color="auto" w:fill="E5FFFF"/>
          </w:tcPr>
          <w:p>
            <w:pPr>
              <w:spacing w:after="0"/>
              <w:rPr>
                <w:sz w:val="17"/>
                <w:szCs w:val="17"/>
                <w:color w:val="auto"/>
              </w:rPr>
            </w:pPr>
          </w:p>
        </w:tc>
        <w:tc>
          <w:tcPr>
            <w:tcW w:w="120" w:type="dxa"/>
            <w:vAlign w:val="bottom"/>
            <w:tcBorders>
              <w:top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E5FFFF"/>
          </w:tcPr>
          <w:p>
            <w:pPr>
              <w:jc w:val="right"/>
              <w:ind w:right="16"/>
              <w:spacing w:after="0" w:line="196" w:lineRule="exact"/>
              <w:rPr>
                <w:sz w:val="20"/>
                <w:szCs w:val="20"/>
                <w:color w:val="auto"/>
              </w:rPr>
            </w:pPr>
            <w:r>
              <w:rPr>
                <w:rFonts w:ascii="Arial" w:cs="Arial" w:eastAsia="Arial" w:hAnsi="Arial"/>
                <w:sz w:val="18"/>
                <w:szCs w:val="18"/>
                <w:color w:val="auto"/>
              </w:rPr>
              <w:t>1,429</w:t>
            </w:r>
          </w:p>
        </w:tc>
        <w:tc>
          <w:tcPr>
            <w:tcW w:w="220" w:type="dxa"/>
            <w:vAlign w:val="bottom"/>
            <w:tcBorders>
              <w:top w:val="single" w:sz="8" w:color="E5FFFF"/>
            </w:tcBorders>
            <w:shd w:val="clear" w:color="auto" w:fill="E5FFFF"/>
          </w:tcPr>
          <w:p>
            <w:pPr>
              <w:spacing w:after="0"/>
              <w:rPr>
                <w:sz w:val="17"/>
                <w:szCs w:val="17"/>
                <w:color w:val="auto"/>
              </w:rPr>
            </w:pPr>
          </w:p>
        </w:tc>
        <w:tc>
          <w:tcPr>
            <w:tcW w:w="120" w:type="dxa"/>
            <w:vAlign w:val="bottom"/>
            <w:tcBorders>
              <w:top w:val="single" w:sz="8" w:color="auto"/>
            </w:tcBorders>
            <w:shd w:val="clear" w:color="auto" w:fill="E5FFFF"/>
          </w:tcPr>
          <w:p>
            <w:pPr>
              <w:spacing w:after="0"/>
              <w:rPr>
                <w:sz w:val="17"/>
                <w:szCs w:val="17"/>
                <w:color w:val="auto"/>
              </w:rPr>
            </w:pPr>
          </w:p>
        </w:tc>
        <w:tc>
          <w:tcPr>
            <w:tcW w:w="820" w:type="dxa"/>
            <w:vAlign w:val="bottom"/>
            <w:tcBorders>
              <w:top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13%</w:t>
            </w:r>
          </w:p>
        </w:tc>
        <w:tc>
          <w:tcPr>
            <w:tcW w:w="220" w:type="dxa"/>
            <w:vAlign w:val="bottom"/>
            <w:tcBorders>
              <w:top w:val="single" w:sz="8" w:color="E5FFFF"/>
            </w:tcBorders>
            <w:shd w:val="clear" w:color="auto" w:fill="E5FFFF"/>
          </w:tcPr>
          <w:p>
            <w:pPr>
              <w:spacing w:after="0"/>
              <w:rPr>
                <w:sz w:val="17"/>
                <w:szCs w:val="17"/>
                <w:color w:val="auto"/>
              </w:rPr>
            </w:pPr>
          </w:p>
        </w:tc>
        <w:tc>
          <w:tcPr>
            <w:tcW w:w="200" w:type="dxa"/>
            <w:vAlign w:val="bottom"/>
            <w:tcBorders>
              <w:top w:val="single" w:sz="8" w:color="auto"/>
            </w:tcBorders>
            <w:shd w:val="clear" w:color="auto" w:fill="E5FF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E5FFFF"/>
          </w:tcPr>
          <w:p>
            <w:pPr>
              <w:jc w:val="right"/>
              <w:ind w:right="34"/>
              <w:spacing w:after="0" w:line="196" w:lineRule="exact"/>
              <w:rPr>
                <w:sz w:val="20"/>
                <w:szCs w:val="20"/>
                <w:color w:val="auto"/>
              </w:rPr>
            </w:pPr>
            <w:r>
              <w:rPr>
                <w:rFonts w:ascii="Arial" w:cs="Arial" w:eastAsia="Arial" w:hAnsi="Arial"/>
                <w:sz w:val="18"/>
                <w:szCs w:val="18"/>
                <w:color w:val="auto"/>
              </w:rPr>
              <w:t>3,065</w:t>
            </w:r>
          </w:p>
        </w:tc>
        <w:tc>
          <w:tcPr>
            <w:tcW w:w="200" w:type="dxa"/>
            <w:vAlign w:val="bottom"/>
            <w:tcBorders>
              <w:top w:val="single" w:sz="8" w:color="E5FFFF"/>
            </w:tcBorders>
            <w:shd w:val="clear" w:color="auto" w:fill="E5FFFF"/>
          </w:tcPr>
          <w:p>
            <w:pPr>
              <w:spacing w:after="0"/>
              <w:rPr>
                <w:sz w:val="17"/>
                <w:szCs w:val="17"/>
                <w:color w:val="auto"/>
              </w:rPr>
            </w:pPr>
          </w:p>
        </w:tc>
        <w:tc>
          <w:tcPr>
            <w:tcW w:w="140" w:type="dxa"/>
            <w:vAlign w:val="bottom"/>
            <w:tcBorders>
              <w:top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E5FFFF"/>
          </w:tcPr>
          <w:p>
            <w:pPr>
              <w:jc w:val="right"/>
              <w:ind w:right="16"/>
              <w:spacing w:after="0" w:line="196" w:lineRule="exact"/>
              <w:rPr>
                <w:sz w:val="20"/>
                <w:szCs w:val="20"/>
                <w:color w:val="auto"/>
              </w:rPr>
            </w:pPr>
            <w:r>
              <w:rPr>
                <w:rFonts w:ascii="Arial" w:cs="Arial" w:eastAsia="Arial" w:hAnsi="Arial"/>
                <w:sz w:val="18"/>
                <w:szCs w:val="18"/>
                <w:color w:val="auto"/>
              </w:rPr>
              <w:t>2,753</w:t>
            </w:r>
          </w:p>
        </w:tc>
        <w:tc>
          <w:tcPr>
            <w:tcW w:w="220" w:type="dxa"/>
            <w:vAlign w:val="bottom"/>
            <w:tcBorders>
              <w:top w:val="single" w:sz="8" w:color="E5FFFF"/>
            </w:tcBorders>
            <w:shd w:val="clear" w:color="auto" w:fill="E5FFFF"/>
          </w:tcPr>
          <w:p>
            <w:pPr>
              <w:spacing w:after="0"/>
              <w:rPr>
                <w:sz w:val="17"/>
                <w:szCs w:val="17"/>
                <w:color w:val="auto"/>
              </w:rPr>
            </w:pPr>
          </w:p>
        </w:tc>
        <w:tc>
          <w:tcPr>
            <w:tcW w:w="940" w:type="dxa"/>
            <w:vAlign w:val="bottom"/>
            <w:tcBorders>
              <w:top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11%</w:t>
            </w:r>
          </w:p>
        </w:tc>
      </w:tr>
      <w:tr>
        <w:trPr>
          <w:trHeight w:val="203"/>
        </w:trPr>
        <w:tc>
          <w:tcPr>
            <w:tcW w:w="4820" w:type="dxa"/>
            <w:vAlign w:val="bottom"/>
          </w:tcPr>
          <w:p>
            <w:pPr>
              <w:ind w:left="180"/>
              <w:spacing w:after="0" w:line="202" w:lineRule="exact"/>
              <w:rPr>
                <w:sz w:val="20"/>
                <w:szCs w:val="20"/>
                <w:color w:val="auto"/>
              </w:rPr>
            </w:pPr>
            <w:r>
              <w:rPr>
                <w:rFonts w:ascii="Arial" w:cs="Arial" w:eastAsia="Arial" w:hAnsi="Arial"/>
                <w:sz w:val="18"/>
                <w:szCs w:val="18"/>
                <w:color w:val="auto"/>
              </w:rPr>
              <w:t>Cost of products and services sold</w:t>
            </w:r>
          </w:p>
        </w:tc>
        <w:tc>
          <w:tcPr>
            <w:tcW w:w="20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1,074</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ind w:right="16"/>
              <w:spacing w:after="0" w:line="202" w:lineRule="exact"/>
              <w:rPr>
                <w:sz w:val="20"/>
                <w:szCs w:val="20"/>
                <w:color w:val="auto"/>
              </w:rPr>
            </w:pPr>
            <w:r>
              <w:rPr>
                <w:rFonts w:ascii="Arial" w:cs="Arial" w:eastAsia="Arial" w:hAnsi="Arial"/>
                <w:sz w:val="18"/>
                <w:szCs w:val="18"/>
                <w:color w:val="auto"/>
              </w:rPr>
              <w:t>942</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ind w:right="34"/>
              <w:spacing w:after="0" w:line="202" w:lineRule="exact"/>
              <w:rPr>
                <w:sz w:val="20"/>
                <w:szCs w:val="20"/>
                <w:color w:val="auto"/>
              </w:rPr>
            </w:pPr>
            <w:r>
              <w:rPr>
                <w:rFonts w:ascii="Arial" w:cs="Arial" w:eastAsia="Arial" w:hAnsi="Arial"/>
                <w:sz w:val="18"/>
                <w:szCs w:val="18"/>
                <w:color w:val="auto"/>
              </w:rPr>
              <w:t>2,023</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ind w:right="16"/>
              <w:spacing w:after="0" w:line="202" w:lineRule="exact"/>
              <w:rPr>
                <w:sz w:val="20"/>
                <w:szCs w:val="20"/>
                <w:color w:val="auto"/>
              </w:rPr>
            </w:pPr>
            <w:r>
              <w:rPr>
                <w:rFonts w:ascii="Arial" w:cs="Arial" w:eastAsia="Arial" w:hAnsi="Arial"/>
                <w:sz w:val="18"/>
                <w:szCs w:val="18"/>
                <w:color w:val="auto"/>
              </w:rPr>
              <w:t>1,806</w:t>
            </w: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16"/>
        </w:trPr>
        <w:tc>
          <w:tcPr>
            <w:tcW w:w="4820" w:type="dxa"/>
            <w:vAlign w:val="bottom"/>
            <w:shd w:val="clear" w:color="auto" w:fill="E5FFFF"/>
          </w:tcPr>
          <w:p>
            <w:pPr>
              <w:ind w:left="180"/>
              <w:spacing w:after="0"/>
              <w:rPr>
                <w:sz w:val="20"/>
                <w:szCs w:val="20"/>
                <w:color w:val="auto"/>
              </w:rPr>
            </w:pPr>
            <w:r>
              <w:rPr>
                <w:rFonts w:ascii="Arial" w:cs="Arial" w:eastAsia="Arial" w:hAnsi="Arial"/>
                <w:sz w:val="18"/>
                <w:szCs w:val="18"/>
                <w:color w:val="auto"/>
              </w:rPr>
              <w:t>Selling, general and administrative and other expenses</w:t>
            </w:r>
          </w:p>
        </w:tc>
        <w:tc>
          <w:tcPr>
            <w:tcW w:w="200" w:type="dxa"/>
            <w:vAlign w:val="bottom"/>
            <w:tcBorders>
              <w:bottom w:val="single" w:sz="8" w:color="auto"/>
            </w:tcBorders>
            <w:shd w:val="clear" w:color="auto" w:fill="E5FFFF"/>
          </w:tcPr>
          <w:p>
            <w:pPr>
              <w:spacing w:after="0"/>
              <w:rPr>
                <w:sz w:val="18"/>
                <w:szCs w:val="18"/>
                <w:color w:val="auto"/>
              </w:rPr>
            </w:pPr>
          </w:p>
        </w:tc>
        <w:tc>
          <w:tcPr>
            <w:tcW w:w="6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276</w:t>
            </w:r>
          </w:p>
        </w:tc>
        <w:tc>
          <w:tcPr>
            <w:tcW w:w="60" w:type="dxa"/>
            <w:vAlign w:val="bottom"/>
            <w:tcBorders>
              <w:bottom w:val="single" w:sz="8" w:color="auto"/>
            </w:tcBorders>
            <w:shd w:val="clear" w:color="auto" w:fill="E5FFFF"/>
          </w:tcPr>
          <w:p>
            <w:pPr>
              <w:spacing w:after="0"/>
              <w:rPr>
                <w:sz w:val="18"/>
                <w:szCs w:val="18"/>
                <w:color w:val="auto"/>
              </w:rPr>
            </w:pPr>
          </w:p>
        </w:tc>
        <w:tc>
          <w:tcPr>
            <w:tcW w:w="240" w:type="dxa"/>
            <w:vAlign w:val="bottom"/>
            <w:shd w:val="clear" w:color="auto" w:fill="E5FFFF"/>
          </w:tcPr>
          <w:p>
            <w:pPr>
              <w:spacing w:after="0"/>
              <w:rPr>
                <w:sz w:val="18"/>
                <w:szCs w:val="18"/>
                <w:color w:val="auto"/>
              </w:rPr>
            </w:pPr>
          </w:p>
        </w:tc>
        <w:tc>
          <w:tcPr>
            <w:tcW w:w="120" w:type="dxa"/>
            <w:vAlign w:val="bottom"/>
            <w:tcBorders>
              <w:bottom w:val="single" w:sz="8" w:color="auto"/>
            </w:tcBorders>
            <w:shd w:val="clear" w:color="auto" w:fill="E5FFFF"/>
          </w:tcPr>
          <w:p>
            <w:pPr>
              <w:spacing w:after="0"/>
              <w:rPr>
                <w:sz w:val="18"/>
                <w:szCs w:val="18"/>
                <w:color w:val="auto"/>
              </w:rPr>
            </w:pPr>
          </w:p>
        </w:tc>
        <w:tc>
          <w:tcPr>
            <w:tcW w:w="780" w:type="dxa"/>
            <w:vAlign w:val="bottom"/>
            <w:tcBorders>
              <w:bottom w:val="single" w:sz="8" w:color="auto"/>
            </w:tcBorders>
            <w:shd w:val="clear" w:color="auto" w:fill="E5FFFF"/>
          </w:tcPr>
          <w:p>
            <w:pPr>
              <w:jc w:val="right"/>
              <w:ind w:right="16"/>
              <w:spacing w:after="0"/>
              <w:rPr>
                <w:sz w:val="20"/>
                <w:szCs w:val="20"/>
                <w:color w:val="auto"/>
              </w:rPr>
            </w:pPr>
            <w:r>
              <w:rPr>
                <w:rFonts w:ascii="Arial" w:cs="Arial" w:eastAsia="Arial" w:hAnsi="Arial"/>
                <w:sz w:val="18"/>
                <w:szCs w:val="18"/>
                <w:color w:val="auto"/>
              </w:rPr>
              <w:t>273</w:t>
            </w:r>
          </w:p>
        </w:tc>
        <w:tc>
          <w:tcPr>
            <w:tcW w:w="22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82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200" w:type="dxa"/>
            <w:vAlign w:val="bottom"/>
            <w:tcBorders>
              <w:bottom w:val="single" w:sz="8" w:color="auto"/>
            </w:tcBorders>
            <w:shd w:val="clear" w:color="auto" w:fill="E5FFFF"/>
          </w:tcPr>
          <w:p>
            <w:pPr>
              <w:spacing w:after="0"/>
              <w:rPr>
                <w:sz w:val="18"/>
                <w:szCs w:val="18"/>
                <w:color w:val="auto"/>
              </w:rPr>
            </w:pPr>
          </w:p>
        </w:tc>
        <w:tc>
          <w:tcPr>
            <w:tcW w:w="700" w:type="dxa"/>
            <w:vAlign w:val="bottom"/>
            <w:tcBorders>
              <w:bottom w:val="single" w:sz="8" w:color="auto"/>
            </w:tcBorders>
            <w:shd w:val="clear" w:color="auto" w:fill="E5FFFF"/>
          </w:tcPr>
          <w:p>
            <w:pPr>
              <w:jc w:val="right"/>
              <w:ind w:right="34"/>
              <w:spacing w:after="0"/>
              <w:rPr>
                <w:sz w:val="20"/>
                <w:szCs w:val="20"/>
                <w:color w:val="auto"/>
              </w:rPr>
            </w:pPr>
            <w:r>
              <w:rPr>
                <w:rFonts w:ascii="Arial" w:cs="Arial" w:eastAsia="Arial" w:hAnsi="Arial"/>
                <w:sz w:val="18"/>
                <w:szCs w:val="18"/>
                <w:color w:val="auto"/>
              </w:rPr>
              <w:t>544</w:t>
            </w:r>
          </w:p>
        </w:tc>
        <w:tc>
          <w:tcPr>
            <w:tcW w:w="200" w:type="dxa"/>
            <w:vAlign w:val="bottom"/>
            <w:shd w:val="clear" w:color="auto" w:fill="E5FFFF"/>
          </w:tcPr>
          <w:p>
            <w:pPr>
              <w:spacing w:after="0"/>
              <w:rPr>
                <w:sz w:val="18"/>
                <w:szCs w:val="18"/>
                <w:color w:val="auto"/>
              </w:rPr>
            </w:pPr>
          </w:p>
        </w:tc>
        <w:tc>
          <w:tcPr>
            <w:tcW w:w="140" w:type="dxa"/>
            <w:vAlign w:val="bottom"/>
            <w:tcBorders>
              <w:bottom w:val="single" w:sz="8" w:color="auto"/>
            </w:tcBorders>
            <w:shd w:val="clear" w:color="auto" w:fill="E5FFFF"/>
          </w:tcPr>
          <w:p>
            <w:pPr>
              <w:spacing w:after="0"/>
              <w:rPr>
                <w:sz w:val="18"/>
                <w:szCs w:val="18"/>
                <w:color w:val="auto"/>
              </w:rPr>
            </w:pPr>
          </w:p>
        </w:tc>
        <w:tc>
          <w:tcPr>
            <w:tcW w:w="760" w:type="dxa"/>
            <w:vAlign w:val="bottom"/>
            <w:tcBorders>
              <w:bottom w:val="single" w:sz="8" w:color="auto"/>
            </w:tcBorders>
            <w:shd w:val="clear" w:color="auto" w:fill="E5FFFF"/>
          </w:tcPr>
          <w:p>
            <w:pPr>
              <w:jc w:val="right"/>
              <w:ind w:right="16"/>
              <w:spacing w:after="0"/>
              <w:rPr>
                <w:sz w:val="20"/>
                <w:szCs w:val="20"/>
                <w:color w:val="auto"/>
              </w:rPr>
            </w:pPr>
            <w:r>
              <w:rPr>
                <w:rFonts w:ascii="Arial" w:cs="Arial" w:eastAsia="Arial" w:hAnsi="Arial"/>
                <w:sz w:val="18"/>
                <w:szCs w:val="18"/>
                <w:color w:val="auto"/>
              </w:rPr>
              <w:t>539</w:t>
            </w:r>
          </w:p>
        </w:tc>
        <w:tc>
          <w:tcPr>
            <w:tcW w:w="220" w:type="dxa"/>
            <w:vAlign w:val="bottom"/>
            <w:shd w:val="clear" w:color="auto" w:fill="E5FFFF"/>
          </w:tcPr>
          <w:p>
            <w:pPr>
              <w:spacing w:after="0"/>
              <w:rPr>
                <w:sz w:val="18"/>
                <w:szCs w:val="18"/>
                <w:color w:val="auto"/>
              </w:rPr>
            </w:pPr>
          </w:p>
        </w:tc>
        <w:tc>
          <w:tcPr>
            <w:tcW w:w="940" w:type="dxa"/>
            <w:vAlign w:val="bottom"/>
            <w:shd w:val="clear" w:color="auto" w:fill="E5FFFF"/>
          </w:tcPr>
          <w:p>
            <w:pPr>
              <w:spacing w:after="0"/>
              <w:rPr>
                <w:sz w:val="18"/>
                <w:szCs w:val="18"/>
                <w:color w:val="auto"/>
              </w:rPr>
            </w:pPr>
          </w:p>
        </w:tc>
      </w:tr>
      <w:tr>
        <w:trPr>
          <w:trHeight w:val="196"/>
        </w:trPr>
        <w:tc>
          <w:tcPr>
            <w:tcW w:w="4820" w:type="dxa"/>
            <w:vAlign w:val="bottom"/>
          </w:tcPr>
          <w:p>
            <w:pPr>
              <w:ind w:left="40"/>
              <w:spacing w:after="0" w:line="196" w:lineRule="exact"/>
              <w:rPr>
                <w:sz w:val="20"/>
                <w:szCs w:val="20"/>
                <w:color w:val="auto"/>
              </w:rPr>
            </w:pPr>
            <w:r>
              <w:rPr>
                <w:rFonts w:ascii="Arial" w:cs="Arial" w:eastAsia="Arial" w:hAnsi="Arial"/>
                <w:sz w:val="18"/>
                <w:szCs w:val="18"/>
                <w:color w:val="auto"/>
              </w:rPr>
              <w:t>Segment profit</w:t>
            </w:r>
          </w:p>
        </w:tc>
        <w:tc>
          <w:tcPr>
            <w:tcW w:w="20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267</w:t>
            </w:r>
          </w:p>
        </w:tc>
        <w:tc>
          <w:tcPr>
            <w:tcW w:w="6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ind w:right="16"/>
              <w:spacing w:after="0" w:line="196" w:lineRule="exact"/>
              <w:rPr>
                <w:sz w:val="20"/>
                <w:szCs w:val="20"/>
                <w:color w:val="auto"/>
              </w:rPr>
            </w:pPr>
            <w:r>
              <w:rPr>
                <w:rFonts w:ascii="Arial" w:cs="Arial" w:eastAsia="Arial" w:hAnsi="Arial"/>
                <w:sz w:val="18"/>
                <w:szCs w:val="18"/>
                <w:color w:val="auto"/>
              </w:rPr>
              <w:t>214</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c>
          <w:tcPr>
            <w:tcW w:w="220" w:type="dxa"/>
            <w:vAlign w:val="bottom"/>
          </w:tcPr>
          <w:p>
            <w:pPr>
              <w:spacing w:after="0"/>
              <w:rPr>
                <w:sz w:val="17"/>
                <w:szCs w:val="17"/>
                <w:color w:val="auto"/>
              </w:rPr>
            </w:pPr>
          </w:p>
        </w:tc>
        <w:tc>
          <w:tcPr>
            <w:tcW w:w="20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ind w:right="34"/>
              <w:spacing w:after="0" w:line="196" w:lineRule="exact"/>
              <w:rPr>
                <w:sz w:val="20"/>
                <w:szCs w:val="20"/>
                <w:color w:val="auto"/>
              </w:rPr>
            </w:pPr>
            <w:r>
              <w:rPr>
                <w:rFonts w:ascii="Arial" w:cs="Arial" w:eastAsia="Arial" w:hAnsi="Arial"/>
                <w:sz w:val="18"/>
                <w:szCs w:val="18"/>
                <w:color w:val="auto"/>
              </w:rPr>
              <w:t>498</w:t>
            </w:r>
          </w:p>
        </w:tc>
        <w:tc>
          <w:tcPr>
            <w:tcW w:w="200" w:type="dxa"/>
            <w:vAlign w:val="bottom"/>
          </w:tcPr>
          <w:p>
            <w:pPr>
              <w:spacing w:after="0"/>
              <w:rPr>
                <w:sz w:val="17"/>
                <w:szCs w:val="17"/>
                <w:color w:val="auto"/>
              </w:rPr>
            </w:pPr>
          </w:p>
        </w:tc>
        <w:tc>
          <w:tcPr>
            <w:tcW w:w="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ind w:right="16"/>
              <w:spacing w:after="0" w:line="196" w:lineRule="exact"/>
              <w:rPr>
                <w:sz w:val="20"/>
                <w:szCs w:val="20"/>
                <w:color w:val="auto"/>
              </w:rPr>
            </w:pPr>
            <w:r>
              <w:rPr>
                <w:rFonts w:ascii="Arial" w:cs="Arial" w:eastAsia="Arial" w:hAnsi="Arial"/>
                <w:sz w:val="18"/>
                <w:szCs w:val="18"/>
                <w:color w:val="auto"/>
              </w:rPr>
              <w:t>408</w:t>
            </w:r>
          </w:p>
        </w:tc>
        <w:tc>
          <w:tcPr>
            <w:tcW w:w="220" w:type="dxa"/>
            <w:vAlign w:val="bottom"/>
          </w:tcPr>
          <w:p>
            <w:pPr>
              <w:spacing w:after="0"/>
              <w:rPr>
                <w:sz w:val="17"/>
                <w:szCs w:val="17"/>
                <w:color w:val="auto"/>
              </w:rPr>
            </w:pPr>
          </w:p>
        </w:tc>
        <w:tc>
          <w:tcPr>
            <w:tcW w:w="94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r>
      <w:tr>
        <w:trPr>
          <w:trHeight w:val="20"/>
        </w:trPr>
        <w:tc>
          <w:tcPr>
            <w:tcW w:w="48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bl>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56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320" w:type="dxa"/>
            <w:vAlign w:val="bottom"/>
            <w:tcBorders>
              <w:bottom w:val="single" w:sz="8" w:color="auto"/>
            </w:tcBorders>
            <w:gridSpan w:val="4"/>
          </w:tcPr>
          <w:p>
            <w:pPr>
              <w:ind w:left="580"/>
              <w:spacing w:after="0"/>
              <w:rPr>
                <w:sz w:val="20"/>
                <w:szCs w:val="20"/>
                <w:color w:val="auto"/>
              </w:rPr>
            </w:pPr>
            <w:r>
              <w:rPr>
                <w:rFonts w:ascii="Arial" w:cs="Arial" w:eastAsia="Arial" w:hAnsi="Arial"/>
                <w:sz w:val="14"/>
                <w:szCs w:val="14"/>
                <w:b w:val="1"/>
                <w:bCs w:val="1"/>
                <w:color w:val="auto"/>
              </w:rPr>
              <w:t>2018 vs. 2017</w:t>
            </w:r>
          </w:p>
        </w:tc>
        <w:tc>
          <w:tcPr>
            <w:tcW w:w="940" w:type="dxa"/>
            <w:vAlign w:val="bottom"/>
            <w:tcBorders>
              <w:bottom w:val="single" w:sz="8" w:color="auto"/>
            </w:tcBorders>
          </w:tcPr>
          <w:p>
            <w:pPr>
              <w:spacing w:after="0"/>
              <w:rPr>
                <w:sz w:val="15"/>
                <w:szCs w:val="15"/>
                <w:color w:val="auto"/>
              </w:rPr>
            </w:pPr>
          </w:p>
        </w:tc>
      </w:tr>
      <w:tr>
        <w:trPr>
          <w:trHeight w:val="142"/>
        </w:trPr>
        <w:tc>
          <w:tcPr>
            <w:tcW w:w="456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2320" w:type="dxa"/>
            <w:vAlign w:val="bottom"/>
            <w:gridSpan w:val="4"/>
          </w:tcPr>
          <w:p>
            <w:pPr>
              <w:jc w:val="center"/>
              <w:ind w:right="220"/>
              <w:spacing w:after="0" w:line="143" w:lineRule="exact"/>
              <w:rPr>
                <w:sz w:val="20"/>
                <w:szCs w:val="20"/>
                <w:color w:val="auto"/>
              </w:rPr>
            </w:pPr>
            <w:r>
              <w:rPr>
                <w:rFonts w:ascii="Arial" w:cs="Arial" w:eastAsia="Arial" w:hAnsi="Arial"/>
                <w:sz w:val="14"/>
                <w:szCs w:val="14"/>
                <w:b w:val="1"/>
                <w:bCs w:val="1"/>
                <w:color w:val="auto"/>
              </w:rPr>
              <w:t>Three Months Ended</w:t>
            </w:r>
          </w:p>
        </w:tc>
        <w:tc>
          <w:tcPr>
            <w:tcW w:w="2100" w:type="dxa"/>
            <w:vAlign w:val="bottom"/>
            <w:gridSpan w:val="3"/>
          </w:tcPr>
          <w:p>
            <w:pPr>
              <w:jc w:val="right"/>
              <w:ind w:right="337"/>
              <w:spacing w:after="0" w:line="143" w:lineRule="exact"/>
              <w:rPr>
                <w:sz w:val="20"/>
                <w:szCs w:val="20"/>
                <w:color w:val="auto"/>
              </w:rPr>
            </w:pPr>
            <w:r>
              <w:rPr>
                <w:rFonts w:ascii="Arial" w:cs="Arial" w:eastAsia="Arial" w:hAnsi="Arial"/>
                <w:sz w:val="14"/>
                <w:szCs w:val="14"/>
                <w:b w:val="1"/>
                <w:bCs w:val="1"/>
                <w:color w:val="auto"/>
              </w:rPr>
              <w:t>Six Months Ended</w:t>
            </w:r>
          </w:p>
        </w:tc>
      </w:tr>
      <w:tr>
        <w:trPr>
          <w:trHeight w:val="175"/>
        </w:trPr>
        <w:tc>
          <w:tcPr>
            <w:tcW w:w="456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232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rPr>
              <w:t>June 30,</w:t>
            </w:r>
          </w:p>
        </w:tc>
        <w:tc>
          <w:tcPr>
            <w:tcW w:w="2100" w:type="dxa"/>
            <w:vAlign w:val="bottom"/>
            <w:gridSpan w:val="3"/>
          </w:tcPr>
          <w:p>
            <w:pPr>
              <w:jc w:val="right"/>
              <w:ind w:right="677"/>
              <w:spacing w:after="0"/>
              <w:rPr>
                <w:sz w:val="20"/>
                <w:szCs w:val="20"/>
                <w:color w:val="auto"/>
              </w:rPr>
            </w:pPr>
            <w:r>
              <w:rPr>
                <w:rFonts w:ascii="Arial" w:cs="Arial" w:eastAsia="Arial" w:hAnsi="Arial"/>
                <w:sz w:val="14"/>
                <w:szCs w:val="14"/>
                <w:b w:val="1"/>
                <w:bCs w:val="1"/>
                <w:color w:val="auto"/>
              </w:rPr>
              <w:t>June 30,</w:t>
            </w:r>
          </w:p>
        </w:tc>
      </w:tr>
      <w:tr>
        <w:trPr>
          <w:trHeight w:val="142"/>
        </w:trPr>
        <w:tc>
          <w:tcPr>
            <w:tcW w:w="456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jc w:val="center"/>
              <w:spacing w:after="0" w:line="143" w:lineRule="exact"/>
              <w:rPr>
                <w:sz w:val="20"/>
                <w:szCs w:val="20"/>
                <w:color w:val="auto"/>
              </w:rPr>
            </w:pPr>
            <w:r>
              <w:rPr>
                <w:rFonts w:ascii="Arial" w:cs="Arial" w:eastAsia="Arial" w:hAnsi="Arial"/>
                <w:sz w:val="14"/>
                <w:szCs w:val="14"/>
                <w:b w:val="1"/>
                <w:bCs w:val="1"/>
                <w:color w:val="auto"/>
              </w:rPr>
              <w:t>Segment</w:t>
            </w:r>
          </w:p>
        </w:tc>
        <w:tc>
          <w:tcPr>
            <w:tcW w:w="220" w:type="dxa"/>
            <w:vAlign w:val="bottom"/>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jc w:val="right"/>
              <w:ind w:right="77"/>
              <w:spacing w:after="0" w:line="143" w:lineRule="exact"/>
              <w:rPr>
                <w:sz w:val="20"/>
                <w:szCs w:val="20"/>
                <w:color w:val="auto"/>
              </w:rPr>
            </w:pPr>
            <w:r>
              <w:rPr>
                <w:rFonts w:ascii="Arial" w:cs="Arial" w:eastAsia="Arial" w:hAnsi="Arial"/>
                <w:sz w:val="14"/>
                <w:szCs w:val="14"/>
                <w:b w:val="1"/>
                <w:bCs w:val="1"/>
                <w:color w:val="auto"/>
              </w:rPr>
              <w:t>Segment</w:t>
            </w:r>
          </w:p>
        </w:tc>
      </w:tr>
      <w:tr>
        <w:trPr>
          <w:trHeight w:val="175"/>
        </w:trPr>
        <w:tc>
          <w:tcPr>
            <w:tcW w:w="7000" w:type="dxa"/>
            <w:vAlign w:val="bottom"/>
            <w:gridSpan w:val="2"/>
          </w:tcPr>
          <w:p>
            <w:pPr>
              <w:ind w:left="660"/>
              <w:spacing w:after="0"/>
              <w:rPr>
                <w:sz w:val="20"/>
                <w:szCs w:val="20"/>
                <w:color w:val="auto"/>
              </w:rPr>
            </w:pPr>
            <w:r>
              <w:rPr>
                <w:rFonts w:ascii="Arial" w:cs="Arial" w:eastAsia="Arial" w:hAnsi="Arial"/>
                <w:sz w:val="14"/>
                <w:szCs w:val="14"/>
                <w:b w:val="1"/>
                <w:bCs w:val="1"/>
                <w:color w:val="auto"/>
              </w:rPr>
              <w:t>Factors Contributing to Year-Over-Year Change</w:t>
            </w:r>
          </w:p>
        </w:tc>
        <w:tc>
          <w:tcPr>
            <w:tcW w:w="1160" w:type="dxa"/>
            <w:vAlign w:val="bottom"/>
            <w:gridSpan w:val="2"/>
          </w:tcPr>
          <w:p>
            <w:pPr>
              <w:ind w:left="280"/>
              <w:spacing w:after="0"/>
              <w:rPr>
                <w:sz w:val="20"/>
                <w:szCs w:val="20"/>
                <w:color w:val="auto"/>
              </w:rPr>
            </w:pPr>
            <w:r>
              <w:rPr>
                <w:rFonts w:ascii="Arial" w:cs="Arial" w:eastAsia="Arial" w:hAnsi="Arial"/>
                <w:sz w:val="14"/>
                <w:szCs w:val="14"/>
                <w:b w:val="1"/>
                <w:bCs w:val="1"/>
                <w:color w:val="auto"/>
              </w:rPr>
              <w:t>Sales</w:t>
            </w:r>
          </w:p>
        </w:tc>
        <w:tc>
          <w:tcPr>
            <w:tcW w:w="11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Profit</w:t>
            </w:r>
          </w:p>
        </w:tc>
        <w:tc>
          <w:tcPr>
            <w:tcW w:w="1160" w:type="dxa"/>
            <w:vAlign w:val="bottom"/>
            <w:gridSpan w:val="2"/>
          </w:tcPr>
          <w:p>
            <w:pPr>
              <w:ind w:left="280"/>
              <w:spacing w:after="0"/>
              <w:rPr>
                <w:sz w:val="20"/>
                <w:szCs w:val="20"/>
                <w:color w:val="auto"/>
              </w:rPr>
            </w:pPr>
            <w:r>
              <w:rPr>
                <w:rFonts w:ascii="Arial" w:cs="Arial" w:eastAsia="Arial" w:hAnsi="Arial"/>
                <w:sz w:val="14"/>
                <w:szCs w:val="14"/>
                <w:b w:val="1"/>
                <w:bCs w:val="1"/>
                <w:color w:val="auto"/>
              </w:rPr>
              <w:t>Sales</w:t>
            </w:r>
          </w:p>
        </w:tc>
        <w:tc>
          <w:tcPr>
            <w:tcW w:w="940" w:type="dxa"/>
            <w:vAlign w:val="bottom"/>
          </w:tcPr>
          <w:p>
            <w:pPr>
              <w:jc w:val="right"/>
              <w:ind w:right="197"/>
              <w:spacing w:after="0"/>
              <w:rPr>
                <w:sz w:val="20"/>
                <w:szCs w:val="20"/>
                <w:color w:val="auto"/>
              </w:rPr>
            </w:pPr>
            <w:r>
              <w:rPr>
                <w:rFonts w:ascii="Arial" w:cs="Arial" w:eastAsia="Arial" w:hAnsi="Arial"/>
                <w:sz w:val="14"/>
                <w:szCs w:val="14"/>
                <w:b w:val="1"/>
                <w:bCs w:val="1"/>
                <w:color w:val="auto"/>
              </w:rPr>
              <w:t>Profit</w:t>
            </w:r>
          </w:p>
        </w:tc>
      </w:tr>
      <w:tr>
        <w:trPr>
          <w:trHeight w:val="196"/>
        </w:trPr>
        <w:tc>
          <w:tcPr>
            <w:tcW w:w="4560" w:type="dxa"/>
            <w:vAlign w:val="bottom"/>
            <w:tcBorders>
              <w:top w:val="single" w:sz="8" w:color="auto"/>
            </w:tcBorders>
            <w:shd w:val="clear" w:color="auto" w:fill="E5FFFF"/>
          </w:tcPr>
          <w:p>
            <w:pPr>
              <w:spacing w:after="0" w:line="196" w:lineRule="exact"/>
              <w:rPr>
                <w:sz w:val="20"/>
                <w:szCs w:val="20"/>
                <w:color w:val="auto"/>
              </w:rPr>
            </w:pPr>
            <w:r>
              <w:rPr>
                <w:rFonts w:ascii="Arial" w:cs="Arial" w:eastAsia="Arial" w:hAnsi="Arial"/>
                <w:sz w:val="18"/>
                <w:szCs w:val="18"/>
                <w:color w:val="auto"/>
              </w:rPr>
              <w:t>Organic growth/ Operational segment profit</w:t>
            </w:r>
          </w:p>
        </w:tc>
        <w:tc>
          <w:tcPr>
            <w:tcW w:w="2440" w:type="dxa"/>
            <w:vAlign w:val="bottom"/>
            <w:tcBorders>
              <w:top w:val="single" w:sz="8" w:color="E5FFFF"/>
            </w:tcBorders>
            <w:shd w:val="clear" w:color="auto" w:fill="E5FFFF"/>
          </w:tcPr>
          <w:p>
            <w:pPr>
              <w:spacing w:after="0"/>
              <w:rPr>
                <w:sz w:val="17"/>
                <w:szCs w:val="17"/>
                <w:color w:val="auto"/>
              </w:rPr>
            </w:pPr>
          </w:p>
        </w:tc>
        <w:tc>
          <w:tcPr>
            <w:tcW w:w="940" w:type="dxa"/>
            <w:vAlign w:val="bottom"/>
            <w:tcBorders>
              <w:top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11%</w:t>
            </w:r>
          </w:p>
        </w:tc>
        <w:tc>
          <w:tcPr>
            <w:tcW w:w="220" w:type="dxa"/>
            <w:vAlign w:val="bottom"/>
            <w:tcBorders>
              <w:top w:val="single" w:sz="8" w:color="E5FFFF"/>
            </w:tcBorders>
            <w:shd w:val="clear" w:color="auto" w:fill="E5FFFF"/>
          </w:tcPr>
          <w:p>
            <w:pPr>
              <w:spacing w:after="0"/>
              <w:rPr>
                <w:sz w:val="17"/>
                <w:szCs w:val="17"/>
                <w:color w:val="auto"/>
              </w:rPr>
            </w:pPr>
          </w:p>
        </w:tc>
        <w:tc>
          <w:tcPr>
            <w:tcW w:w="940" w:type="dxa"/>
            <w:vAlign w:val="bottom"/>
            <w:tcBorders>
              <w:top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23%</w:t>
            </w:r>
          </w:p>
        </w:tc>
        <w:tc>
          <w:tcPr>
            <w:tcW w:w="220" w:type="dxa"/>
            <w:vAlign w:val="bottom"/>
            <w:tcBorders>
              <w:top w:val="single" w:sz="8" w:color="E5FFFF"/>
            </w:tcBorders>
            <w:shd w:val="clear" w:color="auto" w:fill="E5FFFF"/>
          </w:tcPr>
          <w:p>
            <w:pPr>
              <w:spacing w:after="0"/>
              <w:rPr>
                <w:sz w:val="17"/>
                <w:szCs w:val="17"/>
                <w:color w:val="auto"/>
              </w:rPr>
            </w:pPr>
          </w:p>
        </w:tc>
        <w:tc>
          <w:tcPr>
            <w:tcW w:w="940" w:type="dxa"/>
            <w:vAlign w:val="bottom"/>
            <w:tcBorders>
              <w:top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8%</w:t>
            </w:r>
          </w:p>
        </w:tc>
        <w:tc>
          <w:tcPr>
            <w:tcW w:w="220" w:type="dxa"/>
            <w:vAlign w:val="bottom"/>
            <w:tcBorders>
              <w:top w:val="single" w:sz="8" w:color="E5FFFF"/>
            </w:tcBorders>
            <w:shd w:val="clear" w:color="auto" w:fill="E5FFFF"/>
          </w:tcPr>
          <w:p>
            <w:pPr>
              <w:spacing w:after="0"/>
              <w:rPr>
                <w:sz w:val="17"/>
                <w:szCs w:val="17"/>
                <w:color w:val="auto"/>
              </w:rPr>
            </w:pPr>
          </w:p>
        </w:tc>
        <w:tc>
          <w:tcPr>
            <w:tcW w:w="940" w:type="dxa"/>
            <w:vAlign w:val="bottom"/>
            <w:tcBorders>
              <w:top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18%</w:t>
            </w:r>
          </w:p>
        </w:tc>
      </w:tr>
      <w:tr>
        <w:trPr>
          <w:trHeight w:val="216"/>
        </w:trPr>
        <w:tc>
          <w:tcPr>
            <w:tcW w:w="7000" w:type="dxa"/>
            <w:vAlign w:val="bottom"/>
            <w:tcBorders>
              <w:bottom w:val="single" w:sz="8" w:color="E5FFFF"/>
            </w:tcBorders>
            <w:gridSpan w:val="2"/>
          </w:tcPr>
          <w:p>
            <w:pPr>
              <w:spacing w:after="0"/>
              <w:rPr>
                <w:sz w:val="20"/>
                <w:szCs w:val="20"/>
                <w:color w:val="auto"/>
              </w:rPr>
            </w:pPr>
            <w:r>
              <w:rPr>
                <w:rFonts w:ascii="Arial" w:cs="Arial" w:eastAsia="Arial" w:hAnsi="Arial"/>
                <w:sz w:val="18"/>
                <w:szCs w:val="18"/>
                <w:color w:val="auto"/>
              </w:rPr>
              <w:t>Foreign currency translation</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20" w:type="dxa"/>
            <w:vAlign w:val="bottom"/>
            <w:tcBorders>
              <w:bottom w:val="single" w:sz="8" w:color="E5FFFF"/>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20" w:type="dxa"/>
            <w:vAlign w:val="bottom"/>
            <w:tcBorders>
              <w:bottom w:val="single" w:sz="8" w:color="E5FFFF"/>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20" w:type="dxa"/>
            <w:vAlign w:val="bottom"/>
            <w:tcBorders>
              <w:bottom w:val="single" w:sz="8" w:color="E5FFFF"/>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r>
      <w:tr>
        <w:trPr>
          <w:trHeight w:val="210"/>
        </w:trPr>
        <w:tc>
          <w:tcPr>
            <w:tcW w:w="7000" w:type="dxa"/>
            <w:vAlign w:val="bottom"/>
            <w:tcBorders>
              <w:bottom w:val="single" w:sz="8" w:color="E5FFFF"/>
            </w:tcBorders>
            <w:gridSpan w:val="2"/>
            <w:shd w:val="clear" w:color="auto" w:fill="E5FFFF"/>
          </w:tcPr>
          <w:p>
            <w:pPr>
              <w:spacing w:after="0" w:line="197" w:lineRule="exact"/>
              <w:rPr>
                <w:sz w:val="20"/>
                <w:szCs w:val="20"/>
                <w:color w:val="auto"/>
              </w:rPr>
            </w:pPr>
            <w:r>
              <w:rPr>
                <w:rFonts w:ascii="Arial" w:cs="Arial" w:eastAsia="Arial" w:hAnsi="Arial"/>
                <w:sz w:val="18"/>
                <w:szCs w:val="18"/>
                <w:color w:val="auto"/>
              </w:rPr>
              <w:t>Total % change</w:t>
            </w:r>
          </w:p>
        </w:tc>
        <w:tc>
          <w:tcPr>
            <w:tcW w:w="9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13%</w:t>
            </w:r>
          </w:p>
        </w:tc>
        <w:tc>
          <w:tcPr>
            <w:tcW w:w="220" w:type="dxa"/>
            <w:vAlign w:val="bottom"/>
            <w:tcBorders>
              <w:bottom w:val="single" w:sz="8" w:color="E5FFFF"/>
            </w:tcBorders>
            <w:shd w:val="clear" w:color="auto" w:fill="E5FFFF"/>
          </w:tcPr>
          <w:p>
            <w:pPr>
              <w:spacing w:after="0"/>
              <w:rPr>
                <w:sz w:val="18"/>
                <w:szCs w:val="18"/>
                <w:color w:val="auto"/>
              </w:rPr>
            </w:pPr>
          </w:p>
        </w:tc>
        <w:tc>
          <w:tcPr>
            <w:tcW w:w="9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25%</w:t>
            </w:r>
          </w:p>
        </w:tc>
        <w:tc>
          <w:tcPr>
            <w:tcW w:w="220" w:type="dxa"/>
            <w:vAlign w:val="bottom"/>
            <w:tcBorders>
              <w:bottom w:val="single" w:sz="8" w:color="E5FFFF"/>
            </w:tcBorders>
            <w:shd w:val="clear" w:color="auto" w:fill="E5FFFF"/>
          </w:tcPr>
          <w:p>
            <w:pPr>
              <w:spacing w:after="0"/>
              <w:rPr>
                <w:sz w:val="18"/>
                <w:szCs w:val="18"/>
                <w:color w:val="auto"/>
              </w:rPr>
            </w:pPr>
          </w:p>
        </w:tc>
        <w:tc>
          <w:tcPr>
            <w:tcW w:w="9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11%</w:t>
            </w:r>
          </w:p>
        </w:tc>
        <w:tc>
          <w:tcPr>
            <w:tcW w:w="220" w:type="dxa"/>
            <w:vAlign w:val="bottom"/>
            <w:tcBorders>
              <w:bottom w:val="single" w:sz="8" w:color="E5FFFF"/>
            </w:tcBorders>
            <w:shd w:val="clear" w:color="auto" w:fill="E5FFFF"/>
          </w:tcPr>
          <w:p>
            <w:pPr>
              <w:spacing w:after="0"/>
              <w:rPr>
                <w:sz w:val="18"/>
                <w:szCs w:val="18"/>
                <w:color w:val="auto"/>
              </w:rPr>
            </w:pPr>
          </w:p>
        </w:tc>
        <w:tc>
          <w:tcPr>
            <w:tcW w:w="9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22%</w:t>
            </w:r>
          </w:p>
        </w:tc>
      </w:tr>
      <w:tr>
        <w:trPr>
          <w:trHeight w:val="20"/>
        </w:trPr>
        <w:tc>
          <w:tcPr>
            <w:tcW w:w="456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8"/>
          <w:szCs w:val="18"/>
          <w:color w:val="auto"/>
        </w:rPr>
        <w:t>Safety and Productivity Solutions sales increased in the quarter and six months ended June 30, 2018 due to organic sales growth and the favorable impact of foreign currency translation.</w:t>
      </w:r>
    </w:p>
    <w:p>
      <w:pPr>
        <w:spacing w:after="0" w:line="156" w:lineRule="exact"/>
        <w:rPr>
          <w:sz w:val="20"/>
          <w:szCs w:val="20"/>
          <w:color w:val="auto"/>
        </w:rPr>
      </w:pPr>
    </w:p>
    <w:p>
      <w:pPr>
        <w:ind w:left="660" w:hanging="328"/>
        <w:spacing w:after="0" w:line="246"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Sales in Safety increased 7% (increased 5% organic) in the quarter and increased 6% (increased 3% organic) in the six months due to increased sales volume in Industrial Safety and Retail and the favorable impact of foreign currency translation.</w:t>
      </w:r>
    </w:p>
    <w:p>
      <w:pPr>
        <w:spacing w:after="0" w:line="169" w:lineRule="exact"/>
        <w:rPr>
          <w:rFonts w:ascii="Arial" w:cs="Arial" w:eastAsia="Arial" w:hAnsi="Arial"/>
          <w:sz w:val="18"/>
          <w:szCs w:val="18"/>
          <w:color w:val="auto"/>
        </w:rPr>
      </w:pPr>
    </w:p>
    <w:p>
      <w:pPr>
        <w:jc w:val="both"/>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Sales in Productivity Solutions increased 17% (increased 15% organic) in the quarter and increased 14% (increased 12% organic) in the six months primarily due to organic sales volume in Intelligrated, Productivity Products, and Sensing and IoT and the favorable impact of foreign currency translation.</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22" w:right="239" w:bottom="1440" w:gutter="0" w:footer="0" w:header="0"/>
        </w:sectPr>
      </w:pPr>
    </w:p>
    <w:bookmarkStart w:id="34" w:name="page35"/>
    <w:bookmarkEnd w:id="34"/>
    <w:p>
      <w:pPr>
        <w:jc w:val="both"/>
        <w:ind w:firstLine="648"/>
        <w:spacing w:after="0" w:line="238" w:lineRule="auto"/>
        <w:rPr>
          <w:sz w:val="20"/>
          <w:szCs w:val="20"/>
          <w:color w:val="auto"/>
        </w:rPr>
      </w:pPr>
      <w:r>
        <w:rPr>
          <w:rFonts w:ascii="Arial" w:cs="Arial" w:eastAsia="Arial" w:hAnsi="Arial"/>
          <w:sz w:val="18"/>
          <w:szCs w:val="18"/>
          <w:color w:val="auto"/>
        </w:rPr>
        <w:t>Safety and Productivity Solutions segment profit increased in the quarter and six months primarily due to an increase from operational segment profit and the favorable impact of foreign currency translation. The increase in operational segment profit for the quarter is primarily driven by higher sales volume and pricing. The increase in operational segment profit for the six months was driven by higher sales volume, productivity, net of inflation, and pricing, partially offset by higher sales of lower margin categories. Cost of products and services sold increased primarily due to higher organic sales and the impact of foreign currency translation.</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Repositioning and Other Charges</w:t>
      </w:r>
    </w:p>
    <w:p>
      <w:pPr>
        <w:spacing w:after="0" w:line="220"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Cash spending related to our repositioning actions was $ 166 million in the six months ended June 30, 2018 and was funded through operating cash flows. We expect cash spending for repositioning actions to be approximately $300 million in 2018 and to be funded through operating cash flows.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B. </w:t>
      </w:r>
      <w:r>
        <w:rPr>
          <w:rFonts w:ascii="Arial" w:cs="Arial" w:eastAsia="Arial" w:hAnsi="Arial"/>
          <w:sz w:val="18"/>
          <w:szCs w:val="18"/>
          <w:b w:val="1"/>
          <w:bCs w:val="1"/>
          <w:u w:val="single" w:color="auto"/>
          <w:color w:val="auto"/>
        </w:rPr>
        <w:t>Liquidity and Capital Resources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Summary</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90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8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880" w:type="dxa"/>
            <w:vAlign w:val="bottom"/>
          </w:tcPr>
          <w:p>
            <w:pPr>
              <w:spacing w:after="0"/>
              <w:rPr>
                <w:sz w:val="14"/>
                <w:szCs w:val="14"/>
                <w:color w:val="auto"/>
              </w:rPr>
            </w:pPr>
          </w:p>
        </w:tc>
      </w:tr>
      <w:tr>
        <w:trPr>
          <w:trHeight w:val="175"/>
        </w:trPr>
        <w:tc>
          <w:tcPr>
            <w:tcW w:w="590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gridSpan w:val="3"/>
          </w:tcPr>
          <w:p>
            <w:pPr>
              <w:jc w:val="right"/>
              <w:ind w:right="270"/>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5"/>
                <w:szCs w:val="15"/>
                <w:color w:val="auto"/>
              </w:rPr>
            </w:pPr>
          </w:p>
        </w:tc>
      </w:tr>
      <w:tr>
        <w:trPr>
          <w:trHeight w:val="156"/>
        </w:trPr>
        <w:tc>
          <w:tcPr>
            <w:tcW w:w="5900" w:type="dxa"/>
            <w:vAlign w:val="bottom"/>
            <w:tcBorders>
              <w:bottom w:val="single" w:sz="8" w:color="E5FFFF"/>
            </w:tcBorders>
          </w:tcPr>
          <w:p>
            <w:pPr>
              <w:spacing w:after="0"/>
              <w:rPr>
                <w:sz w:val="13"/>
                <w:szCs w:val="13"/>
                <w:color w:val="auto"/>
              </w:rPr>
            </w:pPr>
          </w:p>
        </w:tc>
        <w:tc>
          <w:tcPr>
            <w:tcW w:w="2460" w:type="dxa"/>
            <w:vAlign w:val="bottom"/>
            <w:tcBorders>
              <w:bottom w:val="single" w:sz="8" w:color="E5FF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457"/>
              <w:spacing w:after="0" w:line="155" w:lineRule="exact"/>
              <w:rPr>
                <w:sz w:val="20"/>
                <w:szCs w:val="20"/>
                <w:color w:val="auto"/>
              </w:rPr>
            </w:pPr>
            <w:r>
              <w:rPr>
                <w:rFonts w:ascii="Arial" w:cs="Arial" w:eastAsia="Arial" w:hAnsi="Arial"/>
                <w:sz w:val="14"/>
                <w:szCs w:val="14"/>
                <w:b w:val="1"/>
                <w:bCs w:val="1"/>
                <w:color w:val="auto"/>
              </w:rPr>
              <w:t>2018</w:t>
            </w:r>
          </w:p>
        </w:tc>
        <w:tc>
          <w:tcPr>
            <w:tcW w:w="320" w:type="dxa"/>
            <w:vAlign w:val="bottom"/>
            <w:tcBorders>
              <w:bottom w:val="single" w:sz="8" w:color="E5FFFF"/>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433"/>
              <w:spacing w:after="0" w:line="155" w:lineRule="exact"/>
              <w:rPr>
                <w:sz w:val="20"/>
                <w:szCs w:val="20"/>
                <w:color w:val="auto"/>
              </w:rPr>
            </w:pPr>
            <w:r>
              <w:rPr>
                <w:rFonts w:ascii="Arial" w:cs="Arial" w:eastAsia="Arial" w:hAnsi="Arial"/>
                <w:sz w:val="14"/>
                <w:szCs w:val="14"/>
                <w:b w:val="1"/>
                <w:bCs w:val="1"/>
                <w:color w:val="auto"/>
              </w:rPr>
              <w:t>2017</w:t>
            </w:r>
          </w:p>
        </w:tc>
      </w:tr>
      <w:tr>
        <w:trPr>
          <w:trHeight w:val="196"/>
        </w:trPr>
        <w:tc>
          <w:tcPr>
            <w:tcW w:w="5900" w:type="dxa"/>
            <w:vAlign w:val="bottom"/>
            <w:shd w:val="clear" w:color="auto" w:fill="E5FFFF"/>
          </w:tcPr>
          <w:p>
            <w:pPr>
              <w:spacing w:after="0" w:line="196" w:lineRule="exact"/>
              <w:rPr>
                <w:sz w:val="20"/>
                <w:szCs w:val="20"/>
                <w:color w:val="auto"/>
              </w:rPr>
            </w:pPr>
            <w:r>
              <w:rPr>
                <w:rFonts w:ascii="Arial" w:cs="Arial" w:eastAsia="Arial" w:hAnsi="Arial"/>
                <w:sz w:val="18"/>
                <w:szCs w:val="18"/>
                <w:color w:val="auto"/>
              </w:rPr>
              <w:t>Cash provided by (used for):</w:t>
            </w:r>
          </w:p>
        </w:tc>
        <w:tc>
          <w:tcPr>
            <w:tcW w:w="246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1080" w:type="dxa"/>
            <w:vAlign w:val="bottom"/>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480" w:type="dxa"/>
            <w:vAlign w:val="bottom"/>
            <w:shd w:val="clear" w:color="auto" w:fill="E5FFFF"/>
          </w:tcPr>
          <w:p>
            <w:pPr>
              <w:spacing w:after="0"/>
              <w:rPr>
                <w:sz w:val="17"/>
                <w:szCs w:val="17"/>
                <w:color w:val="auto"/>
              </w:rPr>
            </w:pPr>
          </w:p>
        </w:tc>
        <w:tc>
          <w:tcPr>
            <w:tcW w:w="880" w:type="dxa"/>
            <w:vAlign w:val="bottom"/>
            <w:shd w:val="clear" w:color="auto" w:fill="E5FFFF"/>
          </w:tcPr>
          <w:p>
            <w:pPr>
              <w:spacing w:after="0"/>
              <w:rPr>
                <w:sz w:val="17"/>
                <w:szCs w:val="17"/>
                <w:color w:val="auto"/>
              </w:rPr>
            </w:pPr>
          </w:p>
        </w:tc>
      </w:tr>
      <w:tr>
        <w:trPr>
          <w:trHeight w:val="203"/>
        </w:trPr>
        <w:tc>
          <w:tcPr>
            <w:tcW w:w="5900" w:type="dxa"/>
            <w:vAlign w:val="bottom"/>
          </w:tcPr>
          <w:p>
            <w:pPr>
              <w:ind w:left="180"/>
              <w:spacing w:after="0" w:line="202" w:lineRule="exact"/>
              <w:rPr>
                <w:sz w:val="20"/>
                <w:szCs w:val="20"/>
                <w:color w:val="auto"/>
              </w:rPr>
            </w:pPr>
            <w:r>
              <w:rPr>
                <w:rFonts w:ascii="Arial" w:cs="Arial" w:eastAsia="Arial" w:hAnsi="Arial"/>
                <w:sz w:val="18"/>
                <w:szCs w:val="18"/>
                <w:color w:val="auto"/>
              </w:rPr>
              <w:t>Operating activities</w:t>
            </w:r>
          </w:p>
        </w:tc>
        <w:tc>
          <w:tcPr>
            <w:tcW w:w="27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080" w:type="dxa"/>
            <w:vAlign w:val="bottom"/>
          </w:tcPr>
          <w:p>
            <w:pPr>
              <w:jc w:val="right"/>
              <w:ind w:right="37"/>
              <w:spacing w:after="0" w:line="202" w:lineRule="exact"/>
              <w:rPr>
                <w:sz w:val="20"/>
                <w:szCs w:val="20"/>
                <w:color w:val="auto"/>
              </w:rPr>
            </w:pPr>
            <w:r>
              <w:rPr>
                <w:rFonts w:ascii="Arial" w:cs="Arial" w:eastAsia="Arial" w:hAnsi="Arial"/>
                <w:sz w:val="18"/>
                <w:szCs w:val="18"/>
                <w:color w:val="auto"/>
              </w:rPr>
              <w:t>2,997</w:t>
            </w:r>
          </w:p>
        </w:tc>
        <w:tc>
          <w:tcPr>
            <w:tcW w:w="320" w:type="dxa"/>
            <w:vAlign w:val="bottom"/>
          </w:tcPr>
          <w:p>
            <w:pPr>
              <w:spacing w:after="0"/>
              <w:rPr>
                <w:sz w:val="17"/>
                <w:szCs w:val="17"/>
                <w:color w:val="auto"/>
              </w:rPr>
            </w:pPr>
          </w:p>
        </w:tc>
        <w:tc>
          <w:tcPr>
            <w:tcW w:w="480" w:type="dxa"/>
            <w:vAlign w:val="bottom"/>
          </w:tcPr>
          <w:p>
            <w:pPr>
              <w:jc w:val="right"/>
              <w:ind w:right="290"/>
              <w:spacing w:after="0" w:line="202" w:lineRule="exact"/>
              <w:rPr>
                <w:sz w:val="20"/>
                <w:szCs w:val="20"/>
                <w:color w:val="auto"/>
              </w:rPr>
            </w:pPr>
            <w:r>
              <w:rPr>
                <w:rFonts w:ascii="Arial" w:cs="Arial" w:eastAsia="Arial" w:hAnsi="Arial"/>
                <w:sz w:val="18"/>
                <w:szCs w:val="18"/>
                <w:color w:val="auto"/>
                <w:w w:val="79"/>
              </w:rPr>
              <w:t>$</w:t>
            </w:r>
          </w:p>
        </w:tc>
        <w:tc>
          <w:tcPr>
            <w:tcW w:w="8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2,387</w:t>
            </w:r>
          </w:p>
        </w:tc>
      </w:tr>
      <w:tr>
        <w:trPr>
          <w:trHeight w:val="203"/>
        </w:trPr>
        <w:tc>
          <w:tcPr>
            <w:tcW w:w="5900" w:type="dxa"/>
            <w:vAlign w:val="bottom"/>
            <w:shd w:val="clear" w:color="auto" w:fill="E5FFFF"/>
          </w:tcPr>
          <w:p>
            <w:pPr>
              <w:ind w:left="180"/>
              <w:spacing w:after="0" w:line="202" w:lineRule="exact"/>
              <w:rPr>
                <w:sz w:val="20"/>
                <w:szCs w:val="20"/>
                <w:color w:val="auto"/>
              </w:rPr>
            </w:pPr>
            <w:r>
              <w:rPr>
                <w:rFonts w:ascii="Arial" w:cs="Arial" w:eastAsia="Arial" w:hAnsi="Arial"/>
                <w:sz w:val="18"/>
                <w:szCs w:val="18"/>
                <w:color w:val="auto"/>
              </w:rPr>
              <w:t>Investing activities</w:t>
            </w:r>
          </w:p>
        </w:tc>
        <w:tc>
          <w:tcPr>
            <w:tcW w:w="246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1080" w:type="dxa"/>
            <w:vAlign w:val="bottom"/>
            <w:shd w:val="clear" w:color="auto" w:fill="E5FFFF"/>
          </w:tcPr>
          <w:p>
            <w:pPr>
              <w:jc w:val="right"/>
              <w:ind w:right="37"/>
              <w:spacing w:after="0" w:line="202" w:lineRule="exact"/>
              <w:rPr>
                <w:sz w:val="20"/>
                <w:szCs w:val="20"/>
                <w:color w:val="auto"/>
              </w:rPr>
            </w:pPr>
            <w:r>
              <w:rPr>
                <w:rFonts w:ascii="Arial" w:cs="Arial" w:eastAsia="Arial" w:hAnsi="Arial"/>
                <w:sz w:val="18"/>
                <w:szCs w:val="18"/>
                <w:color w:val="auto"/>
              </w:rPr>
              <w:t>1,605</w:t>
            </w:r>
          </w:p>
        </w:tc>
        <w:tc>
          <w:tcPr>
            <w:tcW w:w="320" w:type="dxa"/>
            <w:vAlign w:val="bottom"/>
            <w:shd w:val="clear" w:color="auto" w:fill="E5FFFF"/>
          </w:tcPr>
          <w:p>
            <w:pPr>
              <w:spacing w:after="0"/>
              <w:rPr>
                <w:sz w:val="17"/>
                <w:szCs w:val="17"/>
                <w:color w:val="auto"/>
              </w:rPr>
            </w:pPr>
          </w:p>
        </w:tc>
        <w:tc>
          <w:tcPr>
            <w:tcW w:w="480" w:type="dxa"/>
            <w:vAlign w:val="bottom"/>
            <w:shd w:val="clear" w:color="auto" w:fill="E5FFFF"/>
          </w:tcPr>
          <w:p>
            <w:pPr>
              <w:spacing w:after="0"/>
              <w:rPr>
                <w:sz w:val="17"/>
                <w:szCs w:val="17"/>
                <w:color w:val="auto"/>
              </w:rPr>
            </w:pPr>
          </w:p>
        </w:tc>
        <w:tc>
          <w:tcPr>
            <w:tcW w:w="88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(992)</w:t>
            </w:r>
          </w:p>
        </w:tc>
      </w:tr>
      <w:tr>
        <w:trPr>
          <w:trHeight w:val="203"/>
        </w:trPr>
        <w:tc>
          <w:tcPr>
            <w:tcW w:w="5900" w:type="dxa"/>
            <w:vAlign w:val="bottom"/>
          </w:tcPr>
          <w:p>
            <w:pPr>
              <w:ind w:left="180"/>
              <w:spacing w:after="0" w:line="202" w:lineRule="exact"/>
              <w:rPr>
                <w:sz w:val="20"/>
                <w:szCs w:val="20"/>
                <w:color w:val="auto"/>
              </w:rPr>
            </w:pPr>
            <w:r>
              <w:rPr>
                <w:rFonts w:ascii="Arial" w:cs="Arial" w:eastAsia="Arial" w:hAnsi="Arial"/>
                <w:sz w:val="18"/>
                <w:szCs w:val="18"/>
                <w:color w:val="auto"/>
              </w:rPr>
              <w:t>Financing activities</w:t>
            </w:r>
          </w:p>
        </w:tc>
        <w:tc>
          <w:tcPr>
            <w:tcW w:w="2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(3,486)</w:t>
            </w: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(1,583)</w:t>
            </w:r>
          </w:p>
        </w:tc>
      </w:tr>
      <w:tr>
        <w:trPr>
          <w:trHeight w:val="216"/>
        </w:trPr>
        <w:tc>
          <w:tcPr>
            <w:tcW w:w="5900" w:type="dxa"/>
            <w:vAlign w:val="bottom"/>
            <w:shd w:val="clear" w:color="auto" w:fill="E5FFFF"/>
          </w:tcPr>
          <w:p>
            <w:pPr>
              <w:ind w:left="180"/>
              <w:spacing w:after="0"/>
              <w:rPr>
                <w:sz w:val="20"/>
                <w:szCs w:val="20"/>
                <w:color w:val="auto"/>
              </w:rPr>
            </w:pPr>
            <w:r>
              <w:rPr>
                <w:rFonts w:ascii="Arial" w:cs="Arial" w:eastAsia="Arial" w:hAnsi="Arial"/>
                <w:sz w:val="18"/>
                <w:szCs w:val="18"/>
                <w:color w:val="auto"/>
              </w:rPr>
              <w:t>Effect of exchange rate changes on cash</w:t>
            </w:r>
          </w:p>
        </w:tc>
        <w:tc>
          <w:tcPr>
            <w:tcW w:w="2460" w:type="dxa"/>
            <w:vAlign w:val="bottom"/>
            <w:shd w:val="clear" w:color="auto" w:fill="E5FFFF"/>
          </w:tcPr>
          <w:p>
            <w:pPr>
              <w:spacing w:after="0"/>
              <w:rPr>
                <w:sz w:val="18"/>
                <w:szCs w:val="18"/>
                <w:color w:val="auto"/>
              </w:rPr>
            </w:pPr>
          </w:p>
        </w:tc>
        <w:tc>
          <w:tcPr>
            <w:tcW w:w="300" w:type="dxa"/>
            <w:vAlign w:val="bottom"/>
            <w:tcBorders>
              <w:bottom w:val="single" w:sz="8" w:color="auto"/>
            </w:tcBorders>
            <w:shd w:val="clear" w:color="auto" w:fill="E5FFFF"/>
          </w:tcPr>
          <w:p>
            <w:pPr>
              <w:spacing w:after="0"/>
              <w:rPr>
                <w:sz w:val="18"/>
                <w:szCs w:val="18"/>
                <w:color w:val="auto"/>
              </w:rPr>
            </w:pPr>
          </w:p>
        </w:tc>
        <w:tc>
          <w:tcPr>
            <w:tcW w:w="10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(93)</w:t>
            </w:r>
          </w:p>
        </w:tc>
        <w:tc>
          <w:tcPr>
            <w:tcW w:w="320" w:type="dxa"/>
            <w:vAlign w:val="bottom"/>
            <w:shd w:val="clear" w:color="auto" w:fill="E5FFFF"/>
          </w:tcPr>
          <w:p>
            <w:pPr>
              <w:spacing w:after="0"/>
              <w:rPr>
                <w:sz w:val="18"/>
                <w:szCs w:val="18"/>
                <w:color w:val="auto"/>
              </w:rPr>
            </w:pPr>
          </w:p>
        </w:tc>
        <w:tc>
          <w:tcPr>
            <w:tcW w:w="480" w:type="dxa"/>
            <w:vAlign w:val="bottom"/>
            <w:tcBorders>
              <w:bottom w:val="single" w:sz="8" w:color="auto"/>
            </w:tcBorders>
            <w:shd w:val="clear" w:color="auto" w:fill="E5FFFF"/>
          </w:tcPr>
          <w:p>
            <w:pPr>
              <w:spacing w:after="0"/>
              <w:rPr>
                <w:sz w:val="18"/>
                <w:szCs w:val="18"/>
                <w:color w:val="auto"/>
              </w:rPr>
            </w:pPr>
          </w:p>
        </w:tc>
        <w:tc>
          <w:tcPr>
            <w:tcW w:w="880" w:type="dxa"/>
            <w:vAlign w:val="bottom"/>
            <w:tcBorders>
              <w:bottom w:val="single" w:sz="8" w:color="auto"/>
            </w:tcBorders>
            <w:shd w:val="clear" w:color="auto" w:fill="E5FFFF"/>
          </w:tcPr>
          <w:p>
            <w:pPr>
              <w:jc w:val="right"/>
              <w:ind w:right="13"/>
              <w:spacing w:after="0"/>
              <w:rPr>
                <w:sz w:val="20"/>
                <w:szCs w:val="20"/>
                <w:color w:val="auto"/>
              </w:rPr>
            </w:pPr>
            <w:r>
              <w:rPr>
                <w:rFonts w:ascii="Arial" w:cs="Arial" w:eastAsia="Arial" w:hAnsi="Arial"/>
                <w:sz w:val="18"/>
                <w:szCs w:val="18"/>
                <w:color w:val="auto"/>
              </w:rPr>
              <w:t>222</w:t>
            </w:r>
          </w:p>
        </w:tc>
      </w:tr>
      <w:tr>
        <w:trPr>
          <w:trHeight w:val="210"/>
        </w:trPr>
        <w:tc>
          <w:tcPr>
            <w:tcW w:w="5900" w:type="dxa"/>
            <w:vAlign w:val="bottom"/>
          </w:tcPr>
          <w:p>
            <w:pPr>
              <w:spacing w:after="0" w:line="197" w:lineRule="exact"/>
              <w:rPr>
                <w:sz w:val="20"/>
                <w:szCs w:val="20"/>
                <w:color w:val="auto"/>
              </w:rPr>
            </w:pPr>
            <w:r>
              <w:rPr>
                <w:rFonts w:ascii="Arial" w:cs="Arial" w:eastAsia="Arial" w:hAnsi="Arial"/>
                <w:sz w:val="18"/>
                <w:szCs w:val="18"/>
                <w:color w:val="auto"/>
              </w:rPr>
              <w:t>Net increase in cash and cash equivalents</w:t>
            </w:r>
          </w:p>
        </w:tc>
        <w:tc>
          <w:tcPr>
            <w:tcW w:w="2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7"/>
              <w:spacing w:after="0"/>
              <w:rPr>
                <w:sz w:val="20"/>
                <w:szCs w:val="20"/>
                <w:color w:val="auto"/>
              </w:rPr>
            </w:pPr>
            <w:r>
              <w:rPr>
                <w:rFonts w:ascii="Arial" w:cs="Arial" w:eastAsia="Arial" w:hAnsi="Arial"/>
                <w:sz w:val="18"/>
                <w:szCs w:val="18"/>
                <w:color w:val="auto"/>
              </w:rPr>
              <w:t>1,023</w:t>
            </w:r>
          </w:p>
        </w:tc>
        <w:tc>
          <w:tcPr>
            <w:tcW w:w="320" w:type="dxa"/>
            <w:vAlign w:val="bottom"/>
          </w:tcPr>
          <w:p>
            <w:pPr>
              <w:spacing w:after="0"/>
              <w:rPr>
                <w:sz w:val="18"/>
                <w:szCs w:val="18"/>
                <w:color w:val="auto"/>
              </w:rPr>
            </w:pP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34</w:t>
            </w:r>
          </w:p>
        </w:tc>
      </w:tr>
      <w:tr>
        <w:trPr>
          <w:trHeight w:val="20"/>
        </w:trPr>
        <w:tc>
          <w:tcPr>
            <w:tcW w:w="590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8"/>
          <w:szCs w:val="18"/>
          <w:color w:val="auto"/>
        </w:rPr>
        <w:t>Cash provided by operating activities increased by $610 million primarily due to a $392 million favorable impact from working capital (favorable accounts receivable and inventory, partially offset by accounts payable) and decreased cash tax payments of $190 million.</w:t>
      </w:r>
    </w:p>
    <w:p>
      <w:pPr>
        <w:spacing w:after="0" w:line="183"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Cash provided by investing activities increased by $2,597 million primarily due to a net $2,209 million decrease in investments, primarily short term marketable securities, and an increase of $333 million in settlement receipts of foreign currency exchange contracts used as economic hedges on certain non-functional currency denominated monetary assets and liabilities.</w:t>
      </w:r>
    </w:p>
    <w:p>
      <w:pPr>
        <w:spacing w:after="0" w:line="230"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Cash used for financing activities increased by $1,903 million primarily due to an increase in net debt payments of $ 862 million, an increase in repurchases of common stock of $712 million, a decrease in proceeds from the issuance of common stock of $249 million, and an increase in cash dividends paid of $67 million.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w:t>
      </w:r>
    </w:p>
    <w:p>
      <w:pPr>
        <w:spacing w:after="0" w:line="220" w:lineRule="exact"/>
        <w:rPr>
          <w:sz w:val="20"/>
          <w:szCs w:val="20"/>
          <w:color w:val="auto"/>
        </w:rPr>
      </w:pPr>
    </w:p>
    <w:p>
      <w:pPr>
        <w:jc w:val="both"/>
        <w:ind w:right="20" w:firstLine="648"/>
        <w:spacing w:after="0" w:line="239" w:lineRule="auto"/>
        <w:rPr>
          <w:sz w:val="20"/>
          <w:szCs w:val="20"/>
          <w:color w:val="auto"/>
        </w:rPr>
      </w:pPr>
      <w:r>
        <w:rPr>
          <w:rFonts w:ascii="Arial" w:cs="Arial" w:eastAsia="Arial" w:hAnsi="Arial"/>
          <w:sz w:val="18"/>
          <w:szCs w:val="18"/>
          <w:color w:val="auto"/>
        </w:rPr>
        <w:t>The Company continues to manage its businesses to maximize operating cash flows as the primary source of liquidity. In addition to our available cash and operating cash flows, additional sources of liquidity include committed credit lines, short-term debt from the commercial paper market, long-term borrowings, as well as access to the public debt and equity markets. We continue to balance our cash and financing uses through investment in our existing core businesses, debt reduction, acquisition activity, share repurchases and dividends.</w:t>
      </w:r>
    </w:p>
    <w:p>
      <w:pPr>
        <w:spacing w:after="0" w:line="188"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We continuously assess the relative strength of each business in our portfolio as to strategic fit, market position, profit and cash flow contribution in order to upgrade our combined portfolio and identify business units that will most benefit from increased investment. We identify acquisition candidates that will further our strategic plan and strengthen our existing core businesses. We also identify business units that do not fit into our long-term strategic plan based on their market position, relative profitability or growth potential. These businesses are considered for potential divestiture, restructuring or other repositioning actions subject to regulatory constraints.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22" w:right="239" w:bottom="1440" w:gutter="0" w:footer="0" w:header="0"/>
        </w:sectPr>
      </w:pPr>
    </w:p>
    <w:bookmarkStart w:id="35" w:name="page36"/>
    <w:bookmarkEnd w:id="35"/>
    <w:p>
      <w:pPr>
        <w:jc w:val="both"/>
        <w:ind w:firstLine="648"/>
        <w:spacing w:after="0" w:line="239" w:lineRule="auto"/>
        <w:rPr>
          <w:sz w:val="20"/>
          <w:szCs w:val="20"/>
          <w:color w:val="auto"/>
        </w:rPr>
      </w:pPr>
      <w:r>
        <w:rPr>
          <w:rFonts w:ascii="Arial" w:cs="Arial" w:eastAsia="Arial" w:hAnsi="Arial"/>
          <w:sz w:val="18"/>
          <w:szCs w:val="18"/>
          <w:color w:val="auto"/>
        </w:rPr>
        <w:t>In 2018, we are not required to make contributions to our U.S. pension plans. We plan to make contributions of cash and/or marketable securities of approximately $140 million ($ 99 million of marketable securities were contributed in January 2018) to our non-U.S. plans in 2018 to satisfy regulatory funding requirements. The timing and amount of contributions to both our U.S. and non-U.S. plans may be impacted by a number of factors, including the funded status of the plans.</w:t>
      </w:r>
    </w:p>
    <w:p>
      <w:pPr>
        <w:spacing w:after="0" w:line="188"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In the six months ended June 30, 2018, the Company repurchased $1,704 million of outstanding shares. Under the Company’s previously approved $8 billion share repurchase program, $6.0 billion remained available as of June 30, 2018 for additional share repurchases. Honeywell presently expects to repurchase outstanding shares from time to time to offset the dilutive impact over the long-term of employee stock-based compensation plans, including future option exercises, restricted unit vesting and matching contributions under our savings plans. Additionally, we will seek to reduce share count via share repurchases as and when attractive opportunities arise. The amount and timing of future repurchases may vary depending on market conditions and the level of operating, financing and other investing activities.</w:t>
      </w:r>
    </w:p>
    <w:p>
      <w:pPr>
        <w:spacing w:after="0" w:line="174"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8"/>
          <w:szCs w:val="18"/>
          <w:color w:val="auto"/>
        </w:rPr>
        <w:t xml:space="preserve">See Note 10 </w:t>
      </w:r>
      <w:r>
        <w:rPr>
          <w:rFonts w:ascii="Arial" w:cs="Arial" w:eastAsia="Arial" w:hAnsi="Arial"/>
          <w:sz w:val="18"/>
          <w:szCs w:val="18"/>
          <w:i w:val="1"/>
          <w:iCs w:val="1"/>
          <w:color w:val="auto"/>
        </w:rPr>
        <w:t>Long-term Debt and Credit Agreements</w:t>
      </w:r>
      <w:r>
        <w:rPr>
          <w:rFonts w:ascii="Arial" w:cs="Arial" w:eastAsia="Arial" w:hAnsi="Arial"/>
          <w:sz w:val="18"/>
          <w:szCs w:val="18"/>
          <w:color w:val="auto"/>
        </w:rPr>
        <w:t xml:space="preserve"> of Notes to Consolidated Financial Statements for additional discussion of items impacting our liquidity.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Other Matters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Litigation</w:t>
      </w:r>
    </w:p>
    <w:p>
      <w:pPr>
        <w:spacing w:after="0" w:line="198"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 xml:space="preserve">We are subject to a number of lawsuits, investigations and claims (some of which involve substantial amounts) arising out of the conduct of our business. See Note 15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xml:space="preserve"> of Notes to Consolidated Financial Statements for further discussion of environmental, asbestos and other litigation matters.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Critical Accounting Policies</w:t>
      </w:r>
    </w:p>
    <w:p>
      <w:pPr>
        <w:spacing w:after="0" w:line="193"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b w:val="1"/>
          <w:bCs w:val="1"/>
          <w:i w:val="1"/>
          <w:iCs w:val="1"/>
          <w:color w:val="auto"/>
        </w:rPr>
        <w:t>Sales Recognition on Long-Term Contracts</w:t>
      </w:r>
      <w:r>
        <w:rPr>
          <w:rFonts w:ascii="Arial" w:cs="Arial" w:eastAsia="Arial" w:hAnsi="Arial"/>
          <w:sz w:val="21"/>
          <w:szCs w:val="21"/>
          <w:color w:val="auto"/>
        </w:rPr>
        <w:t>—</w:t>
      </w:r>
      <w:r>
        <w:rPr>
          <w:rFonts w:ascii="Arial" w:cs="Arial" w:eastAsia="Arial" w:hAnsi="Arial"/>
          <w:sz w:val="18"/>
          <w:szCs w:val="18"/>
          <w:color w:val="auto"/>
        </w:rPr>
        <w:t>We recognize sales for long-term contracts with performance obligations satisfied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over time using either an input or output method. We recognize revenue over time as we perform on these contracts based on the continuous transfer of control to the customer. With control transferring over time, revenue is recognized based on the extent of progress towards completion of the performance obligation. We generally use the cost-to-cost input method of progress for our contracts because it best depicts the transfer of control to the customer that occurs as we incur costs. Under the cost-to-cost method, the extent of progress towards completion is measured based on the proportion of costs incurred to date to the total estimated costs at completion of the performance obligation. Due to the nature of the work required to be performed on many of our performance obligations, the estimation of total revenue and cost at completion requires judgment. Contract revenues are largely determined by negotiated contract prices and quantities, modified by our assumptions regarding contract options, change orders, incentive and award provisions associated with technical performance and price adjustment clauses (such as inflation or index-based clauses). Cost estimates are largely based on negotiated or estimated purchase contract terms, historical performance trends and other economic projections. Significant factors that influence these estimates include inflationary trends, technical and schedule risk, internal and subcontractor performance trends, business volume assumptions, asset utilization, and anticipated labor agreements. Revenue and cost estimates are regularly monitored and revised based on changes in circumstances. Impacts from changes in estimates of net sales and cost of sales are recognized on a cumulative catch-up basis, which recognizes in the current period the cumulative effect of the changes on current and prior periods based on a performance obligation’s percentage of completion. Anticipated losses on long-term contracts are recognized when such losses become evident. We maintain financial controls over the customer qualification, contract pricing and estimation processes to reduce the risk of contract losses.</w:t>
      </w:r>
    </w:p>
    <w:p>
      <w:pPr>
        <w:spacing w:after="0" w:line="199"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8"/>
          <w:szCs w:val="18"/>
          <w:color w:val="auto"/>
        </w:rPr>
        <w:t>The financial information as of June 30, 2018 should be read in conjunction with the consolidated financial statements for the year ended December 31, 2017 contained in our 2017 Annual Report on Form 10-K.</w:t>
      </w:r>
    </w:p>
    <w:p>
      <w:pPr>
        <w:spacing w:after="0" w:line="183"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8"/>
          <w:szCs w:val="18"/>
          <w:color w:val="auto"/>
        </w:rPr>
        <w:t>For a discussion of the Company’s critical accounting policies, see Item 7. Management’s Discussion and Analysis of Financial Condition and Results of Operations in our 2017 Annual Report on Form 10-K.</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22"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u w:val="single" w:color="auto"/>
          <w:color w:val="auto"/>
        </w:rPr>
        <w:t>Recent Accounting Pronouncements</w:t>
      </w:r>
    </w:p>
    <w:p>
      <w:pPr>
        <w:spacing w:after="0" w:line="221"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8"/>
          <w:szCs w:val="18"/>
          <w:color w:val="auto"/>
        </w:rPr>
        <w:t xml:space="preserve">See Note 2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xml:space="preserve"> of Notes to Consolidated Financial Statements for a discussion of recent accounting pronouncements.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Item 3. </w:t>
      </w:r>
      <w:r>
        <w:rPr>
          <w:rFonts w:ascii="Arial" w:cs="Arial" w:eastAsia="Arial" w:hAnsi="Arial"/>
          <w:sz w:val="18"/>
          <w:szCs w:val="18"/>
          <w:u w:val="single" w:color="auto"/>
          <w:color w:val="auto"/>
        </w:rPr>
        <w:t>Quantitative and Qualitative Disclosures About Market Risks</w:t>
      </w:r>
    </w:p>
    <w:p>
      <w:pPr>
        <w:spacing w:after="0" w:line="198"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For a discussion of the Company’s quantitative and qualitative disclosures about market risks, see Item 7A. Quantitative and Qualitative Disclosures About Market Risks, in our 2017 Annual Report on Form 10-K. As of June 30, 2018, there has been no material change in this information</w:t>
      </w:r>
      <w:r>
        <w:rPr>
          <w:rFonts w:ascii="Arial" w:cs="Arial" w:eastAsia="Arial" w:hAnsi="Arial"/>
          <w:sz w:val="18"/>
          <w:szCs w:val="18"/>
          <w:b w:val="1"/>
          <w:bCs w:val="1"/>
          <w:color w:val="auto"/>
        </w:rPr>
        <w: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Item 4. </w:t>
      </w:r>
      <w:r>
        <w:rPr>
          <w:rFonts w:ascii="Arial" w:cs="Arial" w:eastAsia="Arial" w:hAnsi="Arial"/>
          <w:sz w:val="18"/>
          <w:szCs w:val="18"/>
          <w:u w:val="single" w:color="auto"/>
          <w:color w:val="auto"/>
        </w:rPr>
        <w:t>Controls and Procedures</w:t>
      </w:r>
    </w:p>
    <w:p>
      <w:pPr>
        <w:spacing w:after="0" w:line="198"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8"/>
          <w:szCs w:val="18"/>
          <w:color w:val="auto"/>
        </w:rPr>
        <w:t>Honeywell management, including the Chief Executive Officer and Chief Financial Officer, conducted an evaluation of the effectiveness of our disclosure controls and procedures (as defined in Rules 13a-15(e) or 15d-15(e) promulgated under the Securities Exchange Act of 1934,</w:t>
      </w:r>
    </w:p>
    <w:p>
      <w:pPr>
        <w:spacing w:after="0" w:line="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as amended (Exchange Act)) as of the end of the period covered by this Quarterly Report on Form 10-Q. Based upon that evaluation, the Chief Executive Officer and the Chief Financial Officer concluded that such disclosure controls and procedures were effective as of the end of the period covered by this Quarterly Report on Form 10-Q to ensure information required to be disclosed in the reports that Honeywell files or submits under the Exchange Act is recorded, processed, summarized, and reported within the time periods specified in the Securities and Exchange Commission rules and forms, and that it is accumulated and communicated to our management, including our Chief Executive Officer, our Chief Financial Officer, and our Controller, as appropriate, to allow timely decisions regarding required disclosure. There have been no changes that have materially affected, or are reasonably likely to materially affect, Honeywell’s internal control over financial reporting that have occurred during the period covered by this Quarterly Report on Form 10-Q.</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Item 1. </w:t>
      </w:r>
      <w:r>
        <w:rPr>
          <w:rFonts w:ascii="Arial" w:cs="Arial" w:eastAsia="Arial" w:hAnsi="Arial"/>
          <w:sz w:val="18"/>
          <w:szCs w:val="18"/>
          <w:u w:val="single" w:color="auto"/>
          <w:color w:val="auto"/>
        </w:rPr>
        <w:t>Legal Proceedings</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General Legal Matters</w:t>
      </w:r>
    </w:p>
    <w:p>
      <w:pPr>
        <w:spacing w:after="0" w:line="198"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 xml:space="preserve">We are subject to a number of lawsuits, investigations and claims (some of which involve substantial amounts) arising out of the conduct of our business. See Note 15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xml:space="preserve"> of Notes to Consolidated Financial Statements for a discussion of environmental, asbestos and other litigation matters.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Environmental Matters Involving Potential Monetary Sanctions in Excess of $100,000</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Item 1A. </w:t>
      </w:r>
      <w:r>
        <w:rPr>
          <w:rFonts w:ascii="Arial" w:cs="Arial" w:eastAsia="Arial" w:hAnsi="Arial"/>
          <w:sz w:val="18"/>
          <w:szCs w:val="18"/>
          <w:u w:val="single" w:color="auto"/>
          <w:color w:val="auto"/>
        </w:rPr>
        <w:t>Risk Factors</w:t>
      </w:r>
    </w:p>
    <w:p>
      <w:pPr>
        <w:spacing w:after="0" w:line="185"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8"/>
          <w:szCs w:val="18"/>
          <w:color w:val="auto"/>
        </w:rPr>
        <w:t>There have been no material changes to the disclosure presented in our 2017 Annual Report on Form 10-K under Item 1A. Risk Factors.</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22"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color w:val="auto"/>
        </w:rPr>
        <w:t xml:space="preserve">Item 2. </w:t>
      </w:r>
      <w:r>
        <w:rPr>
          <w:rFonts w:ascii="Arial" w:cs="Arial" w:eastAsia="Arial" w:hAnsi="Arial"/>
          <w:sz w:val="18"/>
          <w:szCs w:val="18"/>
          <w:u w:val="single" w:color="auto"/>
          <w:color w:val="auto"/>
        </w:rPr>
        <w:t>Unregistered Sales of Equity Securities and Use of Proceeds</w:t>
      </w:r>
    </w:p>
    <w:p>
      <w:pPr>
        <w:spacing w:after="0" w:line="198" w:lineRule="exact"/>
        <w:rPr>
          <w:sz w:val="20"/>
          <w:szCs w:val="20"/>
          <w:color w:val="auto"/>
        </w:rPr>
      </w:pPr>
    </w:p>
    <w:p>
      <w:pPr>
        <w:jc w:val="both"/>
        <w:ind w:right="20" w:firstLine="648"/>
        <w:spacing w:after="0"/>
        <w:rPr>
          <w:sz w:val="20"/>
          <w:szCs w:val="20"/>
          <w:color w:val="auto"/>
        </w:rPr>
      </w:pPr>
      <w:r>
        <w:rPr>
          <w:rFonts w:ascii="Arial" w:cs="Arial" w:eastAsia="Arial" w:hAnsi="Arial"/>
          <w:sz w:val="18"/>
          <w:szCs w:val="18"/>
          <w:color w:val="auto"/>
        </w:rPr>
        <w:t>Honeywell purchased 5,207,773 shares of its common stock, par value $ 1 per share, in the quarter ended June 30, 2018. Under the Company’s previously approved $8 billion share repurchase program, $6.0 billion remained available as of June 30, 2018 for additional share repurchases. The following table summarizes Honeywell’s purchase of its common stock for the quarter ended June 30, 2018:</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340" w:type="dxa"/>
            <w:vAlign w:val="bottom"/>
            <w:gridSpan w:val="4"/>
          </w:tcPr>
          <w:p>
            <w:pPr>
              <w:ind w:left="180"/>
              <w:spacing w:after="0"/>
              <w:rPr>
                <w:sz w:val="20"/>
                <w:szCs w:val="20"/>
                <w:color w:val="auto"/>
              </w:rPr>
            </w:pPr>
            <w:r>
              <w:rPr>
                <w:rFonts w:ascii="Arial" w:cs="Arial" w:eastAsia="Arial" w:hAnsi="Arial"/>
                <w:sz w:val="14"/>
                <w:szCs w:val="14"/>
                <w:b w:val="1"/>
                <w:bCs w:val="1"/>
                <w:color w:val="auto"/>
              </w:rPr>
              <w:t>Issuer Purchases of Equity Securities</w:t>
            </w:r>
          </w:p>
        </w:tc>
        <w:tc>
          <w:tcPr>
            <w:tcW w:w="2840" w:type="dxa"/>
            <w:vAlign w:val="bottom"/>
          </w:tcPr>
          <w:p>
            <w:pPr>
              <w:spacing w:after="0"/>
              <w:rPr>
                <w:sz w:val="14"/>
                <w:szCs w:val="14"/>
                <w:color w:val="auto"/>
              </w:rPr>
            </w:pPr>
          </w:p>
        </w:tc>
      </w:tr>
      <w:tr>
        <w:trPr>
          <w:trHeight w:val="162"/>
        </w:trPr>
        <w:tc>
          <w:tcPr>
            <w:tcW w:w="1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9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(a)</w:t>
            </w:r>
          </w:p>
        </w:tc>
        <w:tc>
          <w:tcPr>
            <w:tcW w:w="19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(b)</w:t>
            </w:r>
          </w:p>
        </w:tc>
        <w:tc>
          <w:tcPr>
            <w:tcW w:w="24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(c)</w:t>
            </w:r>
          </w:p>
        </w:tc>
        <w:tc>
          <w:tcPr>
            <w:tcW w:w="2840" w:type="dxa"/>
            <w:vAlign w:val="bottom"/>
          </w:tcPr>
          <w:p>
            <w:pPr>
              <w:jc w:val="center"/>
              <w:spacing w:after="0"/>
              <w:rPr>
                <w:sz w:val="20"/>
                <w:szCs w:val="20"/>
                <w:color w:val="auto"/>
              </w:rPr>
            </w:pPr>
            <w:r>
              <w:rPr>
                <w:rFonts w:ascii="Arial" w:cs="Arial" w:eastAsia="Arial" w:hAnsi="Arial"/>
                <w:sz w:val="14"/>
                <w:szCs w:val="14"/>
                <w:b w:val="1"/>
                <w:bCs w:val="1"/>
                <w:color w:val="auto"/>
              </w:rPr>
              <w:t>(d)</w:t>
            </w:r>
          </w:p>
        </w:tc>
      </w:tr>
      <w:tr>
        <w:trPr>
          <w:trHeight w:val="162"/>
        </w:trPr>
        <w:tc>
          <w:tcPr>
            <w:tcW w:w="1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Total Number</w:t>
            </w:r>
          </w:p>
        </w:tc>
        <w:tc>
          <w:tcPr>
            <w:tcW w:w="2840" w:type="dxa"/>
            <w:vAlign w:val="bottom"/>
          </w:tcPr>
          <w:p>
            <w:pPr>
              <w:jc w:val="center"/>
              <w:spacing w:after="0"/>
              <w:rPr>
                <w:sz w:val="20"/>
                <w:szCs w:val="20"/>
                <w:color w:val="auto"/>
              </w:rPr>
            </w:pPr>
            <w:r>
              <w:rPr>
                <w:rFonts w:ascii="Arial" w:cs="Arial" w:eastAsia="Arial" w:hAnsi="Arial"/>
                <w:sz w:val="14"/>
                <w:szCs w:val="14"/>
                <w:b w:val="1"/>
                <w:bCs w:val="1"/>
                <w:color w:val="auto"/>
              </w:rPr>
              <w:t>Approximate Dollar</w:t>
            </w:r>
          </w:p>
        </w:tc>
      </w:tr>
      <w:tr>
        <w:trPr>
          <w:trHeight w:val="162"/>
        </w:trPr>
        <w:tc>
          <w:tcPr>
            <w:tcW w:w="1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of Shares</w:t>
            </w:r>
          </w:p>
        </w:tc>
        <w:tc>
          <w:tcPr>
            <w:tcW w:w="2840" w:type="dxa"/>
            <w:vAlign w:val="bottom"/>
          </w:tcPr>
          <w:p>
            <w:pPr>
              <w:jc w:val="center"/>
              <w:spacing w:after="0"/>
              <w:rPr>
                <w:sz w:val="20"/>
                <w:szCs w:val="20"/>
                <w:color w:val="auto"/>
              </w:rPr>
            </w:pPr>
            <w:r>
              <w:rPr>
                <w:rFonts w:ascii="Arial" w:cs="Arial" w:eastAsia="Arial" w:hAnsi="Arial"/>
                <w:sz w:val="14"/>
                <w:szCs w:val="14"/>
                <w:b w:val="1"/>
                <w:bCs w:val="1"/>
                <w:color w:val="auto"/>
              </w:rPr>
              <w:t>Value of Shares that</w:t>
            </w:r>
          </w:p>
        </w:tc>
      </w:tr>
      <w:tr>
        <w:trPr>
          <w:trHeight w:val="162"/>
        </w:trPr>
        <w:tc>
          <w:tcPr>
            <w:tcW w:w="1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9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Total</w:t>
            </w:r>
          </w:p>
        </w:tc>
        <w:tc>
          <w:tcPr>
            <w:tcW w:w="1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Purchased as</w:t>
            </w:r>
          </w:p>
        </w:tc>
        <w:tc>
          <w:tcPr>
            <w:tcW w:w="2840" w:type="dxa"/>
            <w:vAlign w:val="bottom"/>
          </w:tcPr>
          <w:p>
            <w:pPr>
              <w:jc w:val="center"/>
              <w:spacing w:after="0"/>
              <w:rPr>
                <w:sz w:val="20"/>
                <w:szCs w:val="20"/>
                <w:color w:val="auto"/>
              </w:rPr>
            </w:pPr>
            <w:r>
              <w:rPr>
                <w:rFonts w:ascii="Arial" w:cs="Arial" w:eastAsia="Arial" w:hAnsi="Arial"/>
                <w:sz w:val="14"/>
                <w:szCs w:val="14"/>
                <w:b w:val="1"/>
                <w:bCs w:val="1"/>
                <w:color w:val="auto"/>
              </w:rPr>
              <w:t>May Yet be Purchased</w:t>
            </w:r>
          </w:p>
        </w:tc>
      </w:tr>
      <w:tr>
        <w:trPr>
          <w:trHeight w:val="162"/>
        </w:trPr>
        <w:tc>
          <w:tcPr>
            <w:tcW w:w="1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9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Number of</w:t>
            </w:r>
          </w:p>
        </w:tc>
        <w:tc>
          <w:tcPr>
            <w:tcW w:w="19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Average</w:t>
            </w:r>
          </w:p>
        </w:tc>
        <w:tc>
          <w:tcPr>
            <w:tcW w:w="24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Part of Publicly</w:t>
            </w:r>
          </w:p>
        </w:tc>
        <w:tc>
          <w:tcPr>
            <w:tcW w:w="2840" w:type="dxa"/>
            <w:vAlign w:val="bottom"/>
          </w:tcPr>
          <w:p>
            <w:pPr>
              <w:jc w:val="center"/>
              <w:spacing w:after="0"/>
              <w:rPr>
                <w:sz w:val="20"/>
                <w:szCs w:val="20"/>
                <w:color w:val="auto"/>
              </w:rPr>
            </w:pPr>
            <w:r>
              <w:rPr>
                <w:rFonts w:ascii="Arial" w:cs="Arial" w:eastAsia="Arial" w:hAnsi="Arial"/>
                <w:sz w:val="14"/>
                <w:szCs w:val="14"/>
                <w:b w:val="1"/>
                <w:bCs w:val="1"/>
                <w:color w:val="auto"/>
              </w:rPr>
              <w:t>Under Plans or</w:t>
            </w:r>
          </w:p>
        </w:tc>
      </w:tr>
      <w:tr>
        <w:trPr>
          <w:trHeight w:val="162"/>
        </w:trPr>
        <w:tc>
          <w:tcPr>
            <w:tcW w:w="1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9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Shares</w:t>
            </w:r>
          </w:p>
        </w:tc>
        <w:tc>
          <w:tcPr>
            <w:tcW w:w="19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Price Paid</w:t>
            </w:r>
          </w:p>
        </w:tc>
        <w:tc>
          <w:tcPr>
            <w:tcW w:w="24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Announced Plans</w:t>
            </w:r>
          </w:p>
        </w:tc>
        <w:tc>
          <w:tcPr>
            <w:tcW w:w="2840" w:type="dxa"/>
            <w:vAlign w:val="bottom"/>
          </w:tcPr>
          <w:p>
            <w:pPr>
              <w:jc w:val="center"/>
              <w:spacing w:after="0"/>
              <w:rPr>
                <w:sz w:val="20"/>
                <w:szCs w:val="20"/>
                <w:color w:val="auto"/>
              </w:rPr>
            </w:pPr>
            <w:r>
              <w:rPr>
                <w:rFonts w:ascii="Arial" w:cs="Arial" w:eastAsia="Arial" w:hAnsi="Arial"/>
                <w:sz w:val="14"/>
                <w:szCs w:val="14"/>
                <w:b w:val="1"/>
                <w:bCs w:val="1"/>
                <w:color w:val="auto"/>
              </w:rPr>
              <w:t>Programs</w:t>
            </w:r>
          </w:p>
        </w:tc>
      </w:tr>
      <w:tr>
        <w:trPr>
          <w:trHeight w:val="175"/>
        </w:trPr>
        <w:tc>
          <w:tcPr>
            <w:tcW w:w="2300" w:type="dxa"/>
            <w:vAlign w:val="bottom"/>
            <w:gridSpan w:val="2"/>
          </w:tcPr>
          <w:p>
            <w:pPr>
              <w:ind w:left="740"/>
              <w:spacing w:after="0"/>
              <w:rPr>
                <w:sz w:val="20"/>
                <w:szCs w:val="20"/>
                <w:color w:val="auto"/>
              </w:rPr>
            </w:pPr>
            <w:r>
              <w:rPr>
                <w:rFonts w:ascii="Arial" w:cs="Arial" w:eastAsia="Arial" w:hAnsi="Arial"/>
                <w:sz w:val="14"/>
                <w:szCs w:val="14"/>
                <w:b w:val="1"/>
                <w:bCs w:val="1"/>
                <w:color w:val="auto"/>
              </w:rPr>
              <w:t>Period</w:t>
            </w:r>
          </w:p>
        </w:tc>
        <w:tc>
          <w:tcPr>
            <w:tcW w:w="19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Purchased</w:t>
            </w:r>
          </w:p>
        </w:tc>
        <w:tc>
          <w:tcPr>
            <w:tcW w:w="19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per Share</w:t>
            </w:r>
          </w:p>
        </w:tc>
        <w:tc>
          <w:tcPr>
            <w:tcW w:w="24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or Programs</w:t>
            </w:r>
          </w:p>
        </w:tc>
        <w:tc>
          <w:tcPr>
            <w:tcW w:w="2840" w:type="dxa"/>
            <w:vAlign w:val="bottom"/>
          </w:tcPr>
          <w:p>
            <w:pPr>
              <w:jc w:val="center"/>
              <w:spacing w:after="0"/>
              <w:rPr>
                <w:sz w:val="20"/>
                <w:szCs w:val="20"/>
                <w:color w:val="auto"/>
              </w:rPr>
            </w:pPr>
            <w:r>
              <w:rPr>
                <w:rFonts w:ascii="Arial" w:cs="Arial" w:eastAsia="Arial" w:hAnsi="Arial"/>
                <w:sz w:val="14"/>
                <w:szCs w:val="14"/>
                <w:b w:val="1"/>
                <w:bCs w:val="1"/>
                <w:color w:val="auto"/>
              </w:rPr>
              <w:t>(Dollars in millions)</w:t>
            </w:r>
          </w:p>
        </w:tc>
      </w:tr>
      <w:tr>
        <w:trPr>
          <w:trHeight w:val="196"/>
        </w:trPr>
        <w:tc>
          <w:tcPr>
            <w:tcW w:w="1960" w:type="dxa"/>
            <w:vAlign w:val="bottom"/>
            <w:tcBorders>
              <w:top w:val="single" w:sz="8" w:color="auto"/>
            </w:tcBorders>
            <w:shd w:val="clear" w:color="auto" w:fill="E5FFFF"/>
          </w:tcPr>
          <w:p>
            <w:pPr>
              <w:spacing w:after="0" w:line="196" w:lineRule="exact"/>
              <w:rPr>
                <w:sz w:val="20"/>
                <w:szCs w:val="20"/>
                <w:color w:val="auto"/>
              </w:rPr>
            </w:pPr>
            <w:r>
              <w:rPr>
                <w:rFonts w:ascii="Arial" w:cs="Arial" w:eastAsia="Arial" w:hAnsi="Arial"/>
                <w:sz w:val="18"/>
                <w:szCs w:val="18"/>
                <w:color w:val="auto"/>
              </w:rPr>
              <w:t>April 2018</w:t>
            </w:r>
          </w:p>
        </w:tc>
        <w:tc>
          <w:tcPr>
            <w:tcW w:w="340" w:type="dxa"/>
            <w:vAlign w:val="bottom"/>
            <w:tcBorders>
              <w:top w:val="single" w:sz="8" w:color="E5FFFF"/>
            </w:tcBorders>
            <w:shd w:val="clear" w:color="auto" w:fill="E5FFFF"/>
          </w:tcPr>
          <w:p>
            <w:pPr>
              <w:spacing w:after="0"/>
              <w:rPr>
                <w:sz w:val="17"/>
                <w:szCs w:val="17"/>
                <w:color w:val="auto"/>
              </w:rPr>
            </w:pPr>
          </w:p>
        </w:tc>
        <w:tc>
          <w:tcPr>
            <w:tcW w:w="1620" w:type="dxa"/>
            <w:vAlign w:val="bottom"/>
            <w:tcBorders>
              <w:top w:val="single" w:sz="8" w:color="auto"/>
            </w:tcBorders>
            <w:shd w:val="clear" w:color="auto" w:fill="E5FFFF"/>
          </w:tcPr>
          <w:p>
            <w:pPr>
              <w:jc w:val="center"/>
              <w:spacing w:after="0" w:line="196" w:lineRule="exact"/>
              <w:rPr>
                <w:sz w:val="20"/>
                <w:szCs w:val="20"/>
                <w:color w:val="auto"/>
              </w:rPr>
            </w:pPr>
            <w:r>
              <w:rPr>
                <w:rFonts w:ascii="Arial" w:cs="Arial" w:eastAsia="Arial" w:hAnsi="Arial"/>
                <w:sz w:val="18"/>
                <w:szCs w:val="18"/>
                <w:color w:val="auto"/>
                <w:w w:val="99"/>
              </w:rPr>
              <w:t>1,221,597</w:t>
            </w:r>
          </w:p>
        </w:tc>
        <w:tc>
          <w:tcPr>
            <w:tcW w:w="320" w:type="dxa"/>
            <w:vAlign w:val="bottom"/>
            <w:tcBorders>
              <w:top w:val="single" w:sz="8" w:color="E5FFFF"/>
            </w:tcBorders>
            <w:shd w:val="clear" w:color="auto" w:fill="E5FFFF"/>
          </w:tcPr>
          <w:p>
            <w:pPr>
              <w:spacing w:after="0"/>
              <w:rPr>
                <w:sz w:val="17"/>
                <w:szCs w:val="17"/>
                <w:color w:val="auto"/>
              </w:rPr>
            </w:pPr>
          </w:p>
        </w:tc>
        <w:tc>
          <w:tcPr>
            <w:tcW w:w="1600" w:type="dxa"/>
            <w:vAlign w:val="bottom"/>
            <w:tcBorders>
              <w:top w:val="single" w:sz="8" w:color="auto"/>
            </w:tcBorders>
            <w:shd w:val="clear" w:color="auto" w:fill="E5FFFF"/>
          </w:tcPr>
          <w:p>
            <w:pPr>
              <w:jc w:val="center"/>
              <w:spacing w:after="0" w:line="196" w:lineRule="exact"/>
              <w:rPr>
                <w:sz w:val="20"/>
                <w:szCs w:val="20"/>
                <w:color w:val="auto"/>
              </w:rPr>
            </w:pPr>
            <w:r>
              <w:rPr>
                <w:rFonts w:ascii="Arial" w:cs="Arial" w:eastAsia="Arial" w:hAnsi="Arial"/>
                <w:sz w:val="18"/>
                <w:szCs w:val="18"/>
                <w:color w:val="auto"/>
              </w:rPr>
              <w:t>$142.11</w:t>
            </w:r>
          </w:p>
        </w:tc>
        <w:tc>
          <w:tcPr>
            <w:tcW w:w="340" w:type="dxa"/>
            <w:vAlign w:val="bottom"/>
            <w:tcBorders>
              <w:top w:val="single" w:sz="8" w:color="E5FFFF"/>
            </w:tcBorders>
            <w:shd w:val="clear" w:color="auto" w:fill="E5FFFF"/>
          </w:tcPr>
          <w:p>
            <w:pPr>
              <w:spacing w:after="0"/>
              <w:rPr>
                <w:sz w:val="17"/>
                <w:szCs w:val="17"/>
                <w:color w:val="auto"/>
              </w:rPr>
            </w:pPr>
          </w:p>
        </w:tc>
        <w:tc>
          <w:tcPr>
            <w:tcW w:w="2060" w:type="dxa"/>
            <w:vAlign w:val="bottom"/>
            <w:tcBorders>
              <w:top w:val="single" w:sz="8" w:color="auto"/>
            </w:tcBorders>
            <w:shd w:val="clear" w:color="auto" w:fill="E5FFFF"/>
          </w:tcPr>
          <w:p>
            <w:pPr>
              <w:jc w:val="center"/>
              <w:spacing w:after="0" w:line="196" w:lineRule="exact"/>
              <w:rPr>
                <w:sz w:val="20"/>
                <w:szCs w:val="20"/>
                <w:color w:val="auto"/>
              </w:rPr>
            </w:pPr>
            <w:r>
              <w:rPr>
                <w:rFonts w:ascii="Arial" w:cs="Arial" w:eastAsia="Arial" w:hAnsi="Arial"/>
                <w:sz w:val="18"/>
                <w:szCs w:val="18"/>
                <w:color w:val="auto"/>
                <w:w w:val="99"/>
              </w:rPr>
              <w:t>1,221,597</w:t>
            </w:r>
          </w:p>
        </w:tc>
        <w:tc>
          <w:tcPr>
            <w:tcW w:w="340" w:type="dxa"/>
            <w:vAlign w:val="bottom"/>
            <w:tcBorders>
              <w:top w:val="single" w:sz="8" w:color="E5FFFF"/>
            </w:tcBorders>
            <w:shd w:val="clear" w:color="auto" w:fill="E5FFFF"/>
          </w:tcPr>
          <w:p>
            <w:pPr>
              <w:spacing w:after="0"/>
              <w:rPr>
                <w:sz w:val="17"/>
                <w:szCs w:val="17"/>
                <w:color w:val="auto"/>
              </w:rPr>
            </w:pPr>
          </w:p>
        </w:tc>
        <w:tc>
          <w:tcPr>
            <w:tcW w:w="2840" w:type="dxa"/>
            <w:vAlign w:val="bottom"/>
            <w:tcBorders>
              <w:top w:val="single" w:sz="8" w:color="auto"/>
            </w:tcBorders>
            <w:shd w:val="clear" w:color="auto" w:fill="E5FFFF"/>
          </w:tcPr>
          <w:p>
            <w:pPr>
              <w:jc w:val="center"/>
              <w:spacing w:after="0" w:line="196" w:lineRule="exact"/>
              <w:rPr>
                <w:sz w:val="20"/>
                <w:szCs w:val="20"/>
                <w:color w:val="auto"/>
              </w:rPr>
            </w:pPr>
            <w:r>
              <w:rPr>
                <w:rFonts w:ascii="Arial" w:cs="Arial" w:eastAsia="Arial" w:hAnsi="Arial"/>
                <w:sz w:val="18"/>
                <w:szCs w:val="18"/>
                <w:color w:val="auto"/>
              </w:rPr>
              <w:t>$6,623</w:t>
            </w:r>
          </w:p>
        </w:tc>
      </w:tr>
      <w:tr>
        <w:trPr>
          <w:trHeight w:val="203"/>
        </w:trPr>
        <w:tc>
          <w:tcPr>
            <w:tcW w:w="2300" w:type="dxa"/>
            <w:vAlign w:val="bottom"/>
            <w:gridSpan w:val="2"/>
          </w:tcPr>
          <w:p>
            <w:pPr>
              <w:spacing w:after="0" w:line="202" w:lineRule="exact"/>
              <w:rPr>
                <w:sz w:val="20"/>
                <w:szCs w:val="20"/>
                <w:color w:val="auto"/>
              </w:rPr>
            </w:pPr>
            <w:r>
              <w:rPr>
                <w:rFonts w:ascii="Arial" w:cs="Arial" w:eastAsia="Arial" w:hAnsi="Arial"/>
                <w:sz w:val="18"/>
                <w:szCs w:val="18"/>
                <w:color w:val="auto"/>
              </w:rPr>
              <w:t>May 2018</w:t>
            </w:r>
          </w:p>
        </w:tc>
        <w:tc>
          <w:tcPr>
            <w:tcW w:w="1620" w:type="dxa"/>
            <w:vAlign w:val="bottom"/>
          </w:tcPr>
          <w:p>
            <w:pPr>
              <w:jc w:val="center"/>
              <w:spacing w:after="0" w:line="202" w:lineRule="exact"/>
              <w:rPr>
                <w:sz w:val="20"/>
                <w:szCs w:val="20"/>
                <w:color w:val="auto"/>
              </w:rPr>
            </w:pPr>
            <w:r>
              <w:rPr>
                <w:rFonts w:ascii="Arial" w:cs="Arial" w:eastAsia="Arial" w:hAnsi="Arial"/>
                <w:sz w:val="18"/>
                <w:szCs w:val="18"/>
                <w:color w:val="auto"/>
                <w:w w:val="99"/>
              </w:rPr>
              <w:t>2,066,176</w:t>
            </w:r>
          </w:p>
        </w:tc>
        <w:tc>
          <w:tcPr>
            <w:tcW w:w="320" w:type="dxa"/>
            <w:vAlign w:val="bottom"/>
          </w:tcPr>
          <w:p>
            <w:pPr>
              <w:spacing w:after="0"/>
              <w:rPr>
                <w:sz w:val="17"/>
                <w:szCs w:val="17"/>
                <w:color w:val="auto"/>
              </w:rPr>
            </w:pPr>
          </w:p>
        </w:tc>
        <w:tc>
          <w:tcPr>
            <w:tcW w:w="1600" w:type="dxa"/>
            <w:vAlign w:val="bottom"/>
          </w:tcPr>
          <w:p>
            <w:pPr>
              <w:jc w:val="center"/>
              <w:spacing w:after="0" w:line="202" w:lineRule="exact"/>
              <w:rPr>
                <w:sz w:val="20"/>
                <w:szCs w:val="20"/>
                <w:color w:val="auto"/>
              </w:rPr>
            </w:pPr>
            <w:r>
              <w:rPr>
                <w:rFonts w:ascii="Arial" w:cs="Arial" w:eastAsia="Arial" w:hAnsi="Arial"/>
                <w:sz w:val="18"/>
                <w:szCs w:val="18"/>
                <w:color w:val="auto"/>
              </w:rPr>
              <w:t>$145.49</w:t>
            </w:r>
          </w:p>
        </w:tc>
        <w:tc>
          <w:tcPr>
            <w:tcW w:w="340" w:type="dxa"/>
            <w:vAlign w:val="bottom"/>
          </w:tcPr>
          <w:p>
            <w:pPr>
              <w:spacing w:after="0"/>
              <w:rPr>
                <w:sz w:val="17"/>
                <w:szCs w:val="17"/>
                <w:color w:val="auto"/>
              </w:rPr>
            </w:pPr>
          </w:p>
        </w:tc>
        <w:tc>
          <w:tcPr>
            <w:tcW w:w="2060" w:type="dxa"/>
            <w:vAlign w:val="bottom"/>
          </w:tcPr>
          <w:p>
            <w:pPr>
              <w:jc w:val="center"/>
              <w:spacing w:after="0" w:line="202" w:lineRule="exact"/>
              <w:rPr>
                <w:sz w:val="20"/>
                <w:szCs w:val="20"/>
                <w:color w:val="auto"/>
              </w:rPr>
            </w:pPr>
            <w:r>
              <w:rPr>
                <w:rFonts w:ascii="Arial" w:cs="Arial" w:eastAsia="Arial" w:hAnsi="Arial"/>
                <w:sz w:val="18"/>
                <w:szCs w:val="18"/>
                <w:color w:val="auto"/>
                <w:w w:val="99"/>
              </w:rPr>
              <w:t>2,066,176</w:t>
            </w:r>
          </w:p>
        </w:tc>
        <w:tc>
          <w:tcPr>
            <w:tcW w:w="340" w:type="dxa"/>
            <w:vAlign w:val="bottom"/>
          </w:tcPr>
          <w:p>
            <w:pPr>
              <w:spacing w:after="0"/>
              <w:rPr>
                <w:sz w:val="17"/>
                <w:szCs w:val="17"/>
                <w:color w:val="auto"/>
              </w:rPr>
            </w:pPr>
          </w:p>
        </w:tc>
        <w:tc>
          <w:tcPr>
            <w:tcW w:w="2840" w:type="dxa"/>
            <w:vAlign w:val="bottom"/>
          </w:tcPr>
          <w:p>
            <w:pPr>
              <w:jc w:val="center"/>
              <w:spacing w:after="0" w:line="202" w:lineRule="exact"/>
              <w:rPr>
                <w:sz w:val="20"/>
                <w:szCs w:val="20"/>
                <w:color w:val="auto"/>
              </w:rPr>
            </w:pPr>
            <w:r>
              <w:rPr>
                <w:rFonts w:ascii="Arial" w:cs="Arial" w:eastAsia="Arial" w:hAnsi="Arial"/>
                <w:sz w:val="18"/>
                <w:szCs w:val="18"/>
                <w:color w:val="auto"/>
              </w:rPr>
              <w:t>$6,322</w:t>
            </w:r>
          </w:p>
        </w:tc>
      </w:tr>
      <w:tr>
        <w:trPr>
          <w:trHeight w:val="203"/>
        </w:trPr>
        <w:tc>
          <w:tcPr>
            <w:tcW w:w="2300" w:type="dxa"/>
            <w:vAlign w:val="bottom"/>
            <w:gridSpan w:val="2"/>
            <w:shd w:val="clear" w:color="auto" w:fill="E5FFFF"/>
          </w:tcPr>
          <w:p>
            <w:pPr>
              <w:spacing w:after="0" w:line="202" w:lineRule="exact"/>
              <w:rPr>
                <w:sz w:val="20"/>
                <w:szCs w:val="20"/>
                <w:color w:val="auto"/>
              </w:rPr>
            </w:pPr>
            <w:r>
              <w:rPr>
                <w:rFonts w:ascii="Arial" w:cs="Arial" w:eastAsia="Arial" w:hAnsi="Arial"/>
                <w:sz w:val="18"/>
                <w:szCs w:val="18"/>
                <w:color w:val="auto"/>
              </w:rPr>
              <w:t>June 2018</w:t>
            </w:r>
          </w:p>
        </w:tc>
        <w:tc>
          <w:tcPr>
            <w:tcW w:w="1620" w:type="dxa"/>
            <w:vAlign w:val="bottom"/>
            <w:shd w:val="clear" w:color="auto" w:fill="E5FFFF"/>
          </w:tcPr>
          <w:p>
            <w:pPr>
              <w:jc w:val="center"/>
              <w:spacing w:after="0" w:line="202" w:lineRule="exact"/>
              <w:rPr>
                <w:sz w:val="20"/>
                <w:szCs w:val="20"/>
                <w:color w:val="auto"/>
              </w:rPr>
            </w:pPr>
            <w:r>
              <w:rPr>
                <w:rFonts w:ascii="Arial" w:cs="Arial" w:eastAsia="Arial" w:hAnsi="Arial"/>
                <w:sz w:val="18"/>
                <w:szCs w:val="18"/>
                <w:color w:val="auto"/>
                <w:w w:val="99"/>
              </w:rPr>
              <w:t>1,920,000</w:t>
            </w:r>
          </w:p>
        </w:tc>
        <w:tc>
          <w:tcPr>
            <w:tcW w:w="320" w:type="dxa"/>
            <w:vAlign w:val="bottom"/>
            <w:shd w:val="clear" w:color="auto" w:fill="E5FFFF"/>
          </w:tcPr>
          <w:p>
            <w:pPr>
              <w:spacing w:after="0"/>
              <w:rPr>
                <w:sz w:val="17"/>
                <w:szCs w:val="17"/>
                <w:color w:val="auto"/>
              </w:rPr>
            </w:pPr>
          </w:p>
        </w:tc>
        <w:tc>
          <w:tcPr>
            <w:tcW w:w="1600" w:type="dxa"/>
            <w:vAlign w:val="bottom"/>
            <w:shd w:val="clear" w:color="auto" w:fill="E5FFFF"/>
          </w:tcPr>
          <w:p>
            <w:pPr>
              <w:jc w:val="center"/>
              <w:spacing w:after="0" w:line="202" w:lineRule="exact"/>
              <w:rPr>
                <w:sz w:val="20"/>
                <w:szCs w:val="20"/>
                <w:color w:val="auto"/>
              </w:rPr>
            </w:pPr>
            <w:r>
              <w:rPr>
                <w:rFonts w:ascii="Arial" w:cs="Arial" w:eastAsia="Arial" w:hAnsi="Arial"/>
                <w:sz w:val="18"/>
                <w:szCs w:val="18"/>
                <w:color w:val="auto"/>
              </w:rPr>
              <w:t>$150.59</w:t>
            </w:r>
          </w:p>
        </w:tc>
        <w:tc>
          <w:tcPr>
            <w:tcW w:w="340" w:type="dxa"/>
            <w:vAlign w:val="bottom"/>
            <w:shd w:val="clear" w:color="auto" w:fill="E5FFFF"/>
          </w:tcPr>
          <w:p>
            <w:pPr>
              <w:spacing w:after="0"/>
              <w:rPr>
                <w:sz w:val="17"/>
                <w:szCs w:val="17"/>
                <w:color w:val="auto"/>
              </w:rPr>
            </w:pPr>
          </w:p>
        </w:tc>
        <w:tc>
          <w:tcPr>
            <w:tcW w:w="2060" w:type="dxa"/>
            <w:vAlign w:val="bottom"/>
            <w:shd w:val="clear" w:color="auto" w:fill="E5FFFF"/>
          </w:tcPr>
          <w:p>
            <w:pPr>
              <w:jc w:val="center"/>
              <w:spacing w:after="0" w:line="202" w:lineRule="exact"/>
              <w:rPr>
                <w:sz w:val="20"/>
                <w:szCs w:val="20"/>
                <w:color w:val="auto"/>
              </w:rPr>
            </w:pPr>
            <w:r>
              <w:rPr>
                <w:rFonts w:ascii="Arial" w:cs="Arial" w:eastAsia="Arial" w:hAnsi="Arial"/>
                <w:sz w:val="18"/>
                <w:szCs w:val="18"/>
                <w:color w:val="auto"/>
                <w:w w:val="99"/>
              </w:rPr>
              <w:t>1,920,000</w:t>
            </w:r>
          </w:p>
        </w:tc>
        <w:tc>
          <w:tcPr>
            <w:tcW w:w="340" w:type="dxa"/>
            <w:vAlign w:val="bottom"/>
            <w:shd w:val="clear" w:color="auto" w:fill="E5FFFF"/>
          </w:tcPr>
          <w:p>
            <w:pPr>
              <w:spacing w:after="0"/>
              <w:rPr>
                <w:sz w:val="17"/>
                <w:szCs w:val="17"/>
                <w:color w:val="auto"/>
              </w:rPr>
            </w:pPr>
          </w:p>
        </w:tc>
        <w:tc>
          <w:tcPr>
            <w:tcW w:w="2840" w:type="dxa"/>
            <w:vAlign w:val="bottom"/>
            <w:shd w:val="clear" w:color="auto" w:fill="E5FFFF"/>
          </w:tcPr>
          <w:p>
            <w:pPr>
              <w:jc w:val="center"/>
              <w:spacing w:after="0" w:line="202" w:lineRule="exact"/>
              <w:rPr>
                <w:sz w:val="20"/>
                <w:szCs w:val="20"/>
                <w:color w:val="auto"/>
              </w:rPr>
            </w:pPr>
            <w:r>
              <w:rPr>
                <w:rFonts w:ascii="Arial" w:cs="Arial" w:eastAsia="Arial" w:hAnsi="Arial"/>
                <w:sz w:val="18"/>
                <w:szCs w:val="18"/>
                <w:color w:val="auto"/>
              </w:rPr>
              <w:t>$6,033</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Item 5. </w:t>
      </w:r>
      <w:r>
        <w:rPr>
          <w:rFonts w:ascii="Arial" w:cs="Arial" w:eastAsia="Arial" w:hAnsi="Arial"/>
          <w:sz w:val="18"/>
          <w:szCs w:val="18"/>
          <w:u w:val="single" w:color="auto"/>
          <w:color w:val="auto"/>
        </w:rPr>
        <w:t>Other Information</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Iran Threat Reduction and Syrian Human Rights Act of 2012</w:t>
      </w:r>
    </w:p>
    <w:p>
      <w:pPr>
        <w:spacing w:after="0" w:line="198"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Under the Iran Threat Reduction and Syrian Human Rights Act of 2012, which added Section 13(r) of the Securities Exchange Act of 1934, Honeywell is required to disclose in its periodic reports if it or any of its affiliates knowingly engaged in certain activities, transactions or dealings relating to Iran or with entities or individuals designated pursuant to certain Executive Orders. All of our activities in Iran during the three months ended June 30, 2018, including the activities disclosed below, were conducted by our non-U.S. subsidiaries under General License H, (ii) under General License I, or (iii) under a specific license issued by U.S. Treasury’s Office of Foreign Assets Control (OFAC), and otherwise in compliance with all applicable laws, including sanctions regulations administered by OFAC.</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the three months ended June 30, 2018, the non-U.S. subsidiaries of our UOP business, part of Performance Materials and</w:t>
      </w:r>
    </w:p>
    <w:p>
      <w:pPr>
        <w:spacing w:after="0"/>
        <w:rPr>
          <w:sz w:val="20"/>
          <w:szCs w:val="20"/>
          <w:color w:val="auto"/>
        </w:rPr>
      </w:pPr>
      <w:r>
        <w:rPr>
          <w:rFonts w:ascii="Arial" w:cs="Arial" w:eastAsia="Arial" w:hAnsi="Arial"/>
          <w:sz w:val="18"/>
          <w:szCs w:val="18"/>
          <w:color w:val="auto"/>
        </w:rPr>
        <w:t>Technologies, engaged in the following activities related to Iran’s oil, gas and/or petrochemical sectors:</w:t>
      </w:r>
    </w:p>
    <w:p>
      <w:pPr>
        <w:spacing w:after="0" w:line="171" w:lineRule="exact"/>
        <w:rPr>
          <w:sz w:val="20"/>
          <w:szCs w:val="20"/>
          <w:color w:val="auto"/>
        </w:rPr>
      </w:pPr>
    </w:p>
    <w:p>
      <w:pPr>
        <w:ind w:left="980" w:right="340" w:hanging="324"/>
        <w:spacing w:after="0" w:line="246"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Delivered services to Iranian counterparties pursuant to new and existing contracts, which resulted in revenue of approximately $3.7 million.</w:t>
      </w:r>
    </w:p>
    <w:p>
      <w:pPr>
        <w:spacing w:after="0" w:line="183" w:lineRule="exact"/>
        <w:rPr>
          <w:rFonts w:ascii="Arial" w:cs="Arial" w:eastAsia="Arial" w:hAnsi="Arial"/>
          <w:sz w:val="18"/>
          <w:szCs w:val="18"/>
          <w:color w:val="auto"/>
        </w:rPr>
      </w:pPr>
    </w:p>
    <w:p>
      <w:pPr>
        <w:ind w:left="980" w:right="60" w:hanging="324"/>
        <w:spacing w:after="0" w:line="246"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Sold non-U.S. origin products to non-U.S. third-parties for end-use in Iran pursuant to new and existing contracts, which resulted in revenue of approximately $2.5 million.</w:t>
      </w:r>
    </w:p>
    <w:p>
      <w:pPr>
        <w:spacing w:after="0" w:line="156" w:lineRule="exact"/>
        <w:rPr>
          <w:sz w:val="20"/>
          <w:szCs w:val="20"/>
          <w:color w:val="auto"/>
        </w:rPr>
      </w:pPr>
    </w:p>
    <w:p>
      <w:pPr>
        <w:ind w:right="20" w:firstLine="648"/>
        <w:spacing w:after="0" w:line="246" w:lineRule="auto"/>
        <w:rPr>
          <w:sz w:val="20"/>
          <w:szCs w:val="20"/>
          <w:color w:val="auto"/>
        </w:rPr>
      </w:pPr>
      <w:r>
        <w:rPr>
          <w:rFonts w:ascii="Arial" w:cs="Arial" w:eastAsia="Arial" w:hAnsi="Arial"/>
          <w:sz w:val="18"/>
          <w:szCs w:val="18"/>
          <w:color w:val="auto"/>
        </w:rPr>
        <w:t>Following the wind-down activities authorized by OFAC after the United States’ withdrawal from the Joint Comprehensive Plan of Action, we will cease doing business in Iran. Such wind-down activities may require additional disclosure pursuant to Section 13(r) of the Act.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22" w:right="23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207"/>
        </w:trPr>
        <w:tc>
          <w:tcPr>
            <w:tcW w:w="660" w:type="dxa"/>
            <w:vAlign w:val="bottom"/>
            <w:gridSpan w:val="2"/>
          </w:tcPr>
          <w:p>
            <w:pPr>
              <w:jc w:val="right"/>
              <w:ind w:right="10"/>
              <w:spacing w:after="0"/>
              <w:rPr>
                <w:sz w:val="20"/>
                <w:szCs w:val="20"/>
                <w:color w:val="auto"/>
              </w:rPr>
            </w:pPr>
            <w:r>
              <w:rPr>
                <w:rFonts w:ascii="Arial" w:cs="Arial" w:eastAsia="Arial" w:hAnsi="Arial"/>
                <w:sz w:val="18"/>
                <w:szCs w:val="18"/>
                <w:color w:val="auto"/>
                <w:w w:val="98"/>
              </w:rPr>
              <w:t>Item 6.</w:t>
            </w:r>
          </w:p>
        </w:tc>
        <w:tc>
          <w:tcPr>
            <w:tcW w:w="10760" w:type="dxa"/>
            <w:vAlign w:val="bottom"/>
            <w:gridSpan w:val="20"/>
          </w:tcPr>
          <w:p>
            <w:pPr>
              <w:spacing w:after="0"/>
              <w:rPr>
                <w:sz w:val="20"/>
                <w:szCs w:val="20"/>
                <w:color w:val="auto"/>
              </w:rPr>
            </w:pPr>
            <w:r>
              <w:rPr>
                <w:rFonts w:ascii="Arial" w:cs="Arial" w:eastAsia="Arial" w:hAnsi="Arial"/>
                <w:sz w:val="18"/>
                <w:szCs w:val="18"/>
                <w:color w:val="auto"/>
              </w:rPr>
              <w:t>Exhibits</w:t>
            </w:r>
          </w:p>
        </w:tc>
      </w:tr>
      <w:tr>
        <w:trPr>
          <w:trHeight w:val="385"/>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30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360" w:type="dxa"/>
            <w:vAlign w:val="bottom"/>
            <w:gridSpan w:val="15"/>
          </w:tcPr>
          <w:p>
            <w:pPr>
              <w:spacing w:after="0"/>
              <w:rPr>
                <w:sz w:val="20"/>
                <w:szCs w:val="20"/>
                <w:color w:val="auto"/>
              </w:rPr>
            </w:pPr>
            <w:r>
              <w:rPr>
                <w:rFonts w:ascii="Arial" w:cs="Arial" w:eastAsia="Arial" w:hAnsi="Arial"/>
                <w:sz w:val="18"/>
                <w:szCs w:val="18"/>
                <w:b w:val="1"/>
                <w:bCs w:val="1"/>
                <w:color w:val="auto"/>
              </w:rPr>
              <w:t>EXHIBIT INDEX</w:t>
            </w:r>
          </w:p>
        </w:tc>
      </w:tr>
      <w:tr>
        <w:trPr>
          <w:trHeight w:val="389"/>
        </w:trPr>
        <w:tc>
          <w:tcPr>
            <w:tcW w:w="20" w:type="dxa"/>
            <w:vAlign w:val="bottom"/>
          </w:tcPr>
          <w:p>
            <w:pPr>
              <w:spacing w:after="0"/>
              <w:rPr>
                <w:sz w:val="24"/>
                <w:szCs w:val="24"/>
                <w:color w:val="auto"/>
              </w:rPr>
            </w:pPr>
          </w:p>
        </w:tc>
        <w:tc>
          <w:tcPr>
            <w:tcW w:w="5040" w:type="dxa"/>
            <w:vAlign w:val="bottom"/>
            <w:gridSpan w:val="6"/>
          </w:tcPr>
          <w:p>
            <w:pPr>
              <w:ind w:left="100"/>
              <w:spacing w:after="0"/>
              <w:rPr>
                <w:sz w:val="20"/>
                <w:szCs w:val="20"/>
                <w:color w:val="auto"/>
              </w:rPr>
            </w:pPr>
            <w:r>
              <w:rPr>
                <w:rFonts w:ascii="Arial" w:cs="Arial" w:eastAsia="Arial" w:hAnsi="Arial"/>
                <w:sz w:val="18"/>
                <w:szCs w:val="18"/>
                <w:b w:val="1"/>
                <w:bCs w:val="1"/>
                <w:color w:val="auto"/>
              </w:rPr>
              <w:t>Exhibit</w:t>
            </w:r>
          </w:p>
        </w:tc>
        <w:tc>
          <w:tcPr>
            <w:tcW w:w="1300" w:type="dxa"/>
            <w:vAlign w:val="bottom"/>
            <w:tcBorders>
              <w:top w:val="single" w:sz="8" w:color="auto"/>
            </w:tcBorders>
          </w:tcPr>
          <w:p>
            <w:pPr>
              <w:spacing w:after="0"/>
              <w:rPr>
                <w:sz w:val="24"/>
                <w:szCs w:val="24"/>
                <w:color w:val="auto"/>
              </w:rPr>
            </w:pPr>
          </w:p>
        </w:tc>
        <w:tc>
          <w:tcPr>
            <w:tcW w:w="5060" w:type="dxa"/>
            <w:vAlign w:val="bottom"/>
            <w:gridSpan w:val="14"/>
          </w:tcPr>
          <w:p>
            <w:pPr>
              <w:spacing w:after="0"/>
              <w:rPr>
                <w:sz w:val="24"/>
                <w:szCs w:val="24"/>
                <w:color w:val="auto"/>
              </w:rPr>
            </w:pPr>
          </w:p>
        </w:tc>
      </w:tr>
      <w:tr>
        <w:trPr>
          <w:trHeight w:val="225"/>
        </w:trPr>
        <w:tc>
          <w:tcPr>
            <w:tcW w:w="20" w:type="dxa"/>
            <w:vAlign w:val="bottom"/>
          </w:tcPr>
          <w:p>
            <w:pPr>
              <w:spacing w:after="0"/>
              <w:rPr>
                <w:sz w:val="19"/>
                <w:szCs w:val="19"/>
                <w:color w:val="auto"/>
              </w:rPr>
            </w:pPr>
          </w:p>
        </w:tc>
        <w:tc>
          <w:tcPr>
            <w:tcW w:w="6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No.</w:t>
            </w:r>
          </w:p>
        </w:tc>
        <w:tc>
          <w:tcPr>
            <w:tcW w:w="1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30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6360" w:type="dxa"/>
            <w:vAlign w:val="bottom"/>
            <w:tcBorders>
              <w:bottom w:val="single" w:sz="8" w:color="auto"/>
            </w:tcBorders>
            <w:gridSpan w:val="15"/>
          </w:tcPr>
          <w:p>
            <w:pPr>
              <w:ind w:left="620"/>
              <w:spacing w:after="0"/>
              <w:rPr>
                <w:sz w:val="20"/>
                <w:szCs w:val="20"/>
                <w:color w:val="auto"/>
              </w:rPr>
            </w:pPr>
            <w:r>
              <w:rPr>
                <w:rFonts w:ascii="Arial" w:cs="Arial" w:eastAsia="Arial" w:hAnsi="Arial"/>
                <w:sz w:val="18"/>
                <w:szCs w:val="18"/>
                <w:b w:val="1"/>
                <w:bCs w:val="1"/>
                <w:color w:val="auto"/>
              </w:rPr>
              <w:t>Description</w:t>
            </w:r>
          </w:p>
        </w:tc>
      </w:tr>
      <w:tr>
        <w:trPr>
          <w:trHeight w:val="169"/>
        </w:trPr>
        <w:tc>
          <w:tcPr>
            <w:tcW w:w="20" w:type="dxa"/>
            <w:vAlign w:val="bottom"/>
          </w:tcPr>
          <w:p>
            <w:pPr>
              <w:spacing w:after="0"/>
              <w:rPr>
                <w:sz w:val="14"/>
                <w:szCs w:val="14"/>
                <w:color w:val="auto"/>
              </w:rPr>
            </w:pPr>
          </w:p>
        </w:tc>
        <w:tc>
          <w:tcPr>
            <w:tcW w:w="640" w:type="dxa"/>
            <w:vAlign w:val="bottom"/>
          </w:tcPr>
          <w:p>
            <w:pPr>
              <w:spacing w:after="0" w:line="170" w:lineRule="exact"/>
              <w:rPr>
                <w:sz w:val="20"/>
                <w:szCs w:val="20"/>
                <w:color w:val="auto"/>
              </w:rPr>
            </w:pPr>
            <w:r>
              <w:rPr>
                <w:rFonts w:ascii="Arial" w:cs="Arial" w:eastAsia="Arial" w:hAnsi="Arial"/>
                <w:sz w:val="18"/>
                <w:szCs w:val="18"/>
                <w:color w:val="auto"/>
              </w:rPr>
              <w:t>3(i)</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20" w:type="dxa"/>
            <w:vAlign w:val="bottom"/>
            <w:tcBorders>
              <w:bottom w:val="single" w:sz="8" w:color="0000EE"/>
            </w:tcBorders>
            <w:gridSpan w:val="11"/>
          </w:tcPr>
          <w:p>
            <w:pPr>
              <w:spacing w:after="0" w:line="170" w:lineRule="exact"/>
              <w:rPr>
                <w:rFonts w:ascii="Arial" w:cs="Arial" w:eastAsia="Arial" w:hAnsi="Arial"/>
                <w:sz w:val="18"/>
                <w:szCs w:val="18"/>
                <w:color w:val="0000EE"/>
              </w:rPr>
            </w:pPr>
            <w:hyperlink w:anchor="page41">
              <w:r>
                <w:rPr>
                  <w:rFonts w:ascii="Arial" w:cs="Arial" w:eastAsia="Arial" w:hAnsi="Arial"/>
                  <w:sz w:val="18"/>
                  <w:szCs w:val="18"/>
                  <w:color w:val="0000EE"/>
                </w:rPr>
                <w:t>Amended and Restated Certificate of Incorporation of Honeywell International Inc., as amended April 23, 2018 (filed herewith)</w:t>
              </w:r>
            </w:hyperlink>
          </w:p>
        </w:tc>
        <w:tc>
          <w:tcPr>
            <w:tcW w:w="480" w:type="dxa"/>
            <w:vAlign w:val="bottom"/>
            <w:gridSpan w:val="7"/>
          </w:tcPr>
          <w:p>
            <w:pPr>
              <w:spacing w:after="0"/>
              <w:rPr>
                <w:sz w:val="14"/>
                <w:szCs w:val="14"/>
                <w:color w:val="auto"/>
              </w:rPr>
            </w:pPr>
          </w:p>
        </w:tc>
      </w:tr>
      <w:tr>
        <w:trPr>
          <w:trHeight w:val="385"/>
        </w:trPr>
        <w:tc>
          <w:tcPr>
            <w:tcW w:w="660" w:type="dxa"/>
            <w:vAlign w:val="bottom"/>
            <w:gridSpan w:val="2"/>
          </w:tcPr>
          <w:p>
            <w:pPr>
              <w:spacing w:after="0"/>
              <w:rPr>
                <w:sz w:val="20"/>
                <w:szCs w:val="20"/>
                <w:color w:val="auto"/>
              </w:rPr>
            </w:pPr>
            <w:r>
              <w:rPr>
                <w:rFonts w:ascii="Arial" w:cs="Arial" w:eastAsia="Arial" w:hAnsi="Arial"/>
                <w:sz w:val="18"/>
                <w:szCs w:val="18"/>
                <w:color w:val="auto"/>
              </w:rPr>
              <w:t>3(ii)</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580" w:type="dxa"/>
            <w:vAlign w:val="bottom"/>
            <w:tcBorders>
              <w:bottom w:val="single" w:sz="8" w:color="0000EE"/>
            </w:tcBorders>
            <w:gridSpan w:val="5"/>
          </w:tcPr>
          <w:p>
            <w:pPr>
              <w:spacing w:after="0"/>
              <w:rPr>
                <w:rFonts w:ascii="Arial" w:cs="Arial" w:eastAsia="Arial" w:hAnsi="Arial"/>
                <w:sz w:val="18"/>
                <w:szCs w:val="18"/>
                <w:color w:val="0000EE"/>
                <w:w w:val="99"/>
              </w:rPr>
            </w:pPr>
            <w:hyperlink w:anchor="page48">
              <w:r>
                <w:rPr>
                  <w:rFonts w:ascii="Arial" w:cs="Arial" w:eastAsia="Arial" w:hAnsi="Arial"/>
                  <w:sz w:val="18"/>
                  <w:szCs w:val="18"/>
                  <w:color w:val="0000EE"/>
                  <w:w w:val="99"/>
                </w:rPr>
                <w:t>By-laws of Honeywell International Inc., as amended April 23, 2018 (filed herewith)</w:t>
              </w:r>
            </w:hyperlink>
          </w:p>
        </w:tc>
        <w:tc>
          <w:tcPr>
            <w:tcW w:w="3920" w:type="dxa"/>
            <w:vAlign w:val="bottom"/>
            <w:gridSpan w:val="13"/>
          </w:tcPr>
          <w:p>
            <w:pPr>
              <w:spacing w:after="0"/>
              <w:rPr>
                <w:sz w:val="24"/>
                <w:szCs w:val="24"/>
                <w:color w:val="auto"/>
              </w:rPr>
            </w:pPr>
          </w:p>
        </w:tc>
      </w:tr>
      <w:tr>
        <w:trPr>
          <w:trHeight w:val="385"/>
        </w:trPr>
        <w:tc>
          <w:tcPr>
            <w:tcW w:w="660" w:type="dxa"/>
            <w:vAlign w:val="bottom"/>
            <w:gridSpan w:val="2"/>
          </w:tcPr>
          <w:p>
            <w:pPr>
              <w:spacing w:after="0"/>
              <w:rPr>
                <w:sz w:val="20"/>
                <w:szCs w:val="20"/>
                <w:color w:val="auto"/>
              </w:rPr>
            </w:pPr>
            <w:r>
              <w:rPr>
                <w:rFonts w:ascii="Arial" w:cs="Arial" w:eastAsia="Arial" w:hAnsi="Arial"/>
                <w:sz w:val="18"/>
                <w:szCs w:val="18"/>
                <w:color w:val="auto"/>
              </w:rPr>
              <w:t>10.1</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120" w:type="dxa"/>
            <w:vAlign w:val="bottom"/>
            <w:tcBorders>
              <w:bottom w:val="single" w:sz="8" w:color="0000EE"/>
            </w:tcBorders>
            <w:gridSpan w:val="14"/>
          </w:tcPr>
          <w:p>
            <w:pPr>
              <w:spacing w:after="0"/>
              <w:rPr>
                <w:rFonts w:ascii="Arial" w:cs="Arial" w:eastAsia="Arial" w:hAnsi="Arial"/>
                <w:sz w:val="18"/>
                <w:szCs w:val="18"/>
                <w:color w:val="0000EE"/>
              </w:rPr>
            </w:pPr>
            <w:hyperlink r:id="rId46">
              <w:r>
                <w:rPr>
                  <w:rFonts w:ascii="Arial" w:cs="Arial" w:eastAsia="Arial" w:hAnsi="Arial"/>
                  <w:sz w:val="18"/>
                  <w:szCs w:val="18"/>
                  <w:color w:val="0000EE"/>
                </w:rPr>
                <w:t>364-Day Credit Agreement, dated as of April 27, 2018, among Honeywell International Inc., the banks, financial institutions and</w:t>
              </w:r>
            </w:hyperlink>
          </w:p>
        </w:tc>
        <w:tc>
          <w:tcPr>
            <w:tcW w:w="380" w:type="dxa"/>
            <w:vAlign w:val="bottom"/>
            <w:gridSpan w:val="4"/>
          </w:tcPr>
          <w:p>
            <w:pPr>
              <w:spacing w:after="0"/>
              <w:rPr>
                <w:sz w:val="24"/>
                <w:szCs w:val="24"/>
                <w:color w:val="auto"/>
              </w:rPr>
            </w:pPr>
          </w:p>
        </w:tc>
      </w:tr>
      <w:tr>
        <w:trPr>
          <w:trHeight w:val="183"/>
        </w:trPr>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500" w:type="dxa"/>
            <w:vAlign w:val="bottom"/>
            <w:gridSpan w:val="18"/>
          </w:tcPr>
          <w:p>
            <w:pPr>
              <w:spacing w:after="0" w:line="182" w:lineRule="exact"/>
              <w:rPr>
                <w:rFonts w:ascii="Arial" w:cs="Arial" w:eastAsia="Arial" w:hAnsi="Arial"/>
                <w:sz w:val="18"/>
                <w:szCs w:val="18"/>
                <w:color w:val="0000EE"/>
              </w:rPr>
            </w:pPr>
            <w:hyperlink r:id="rId46">
              <w:r>
                <w:rPr>
                  <w:rFonts w:ascii="Arial" w:cs="Arial" w:eastAsia="Arial" w:hAnsi="Arial"/>
                  <w:sz w:val="18"/>
                  <w:szCs w:val="18"/>
                  <w:color w:val="0000EE"/>
                </w:rPr>
                <w:t>other institutional lenders parties thereto, Citibank, N.A., as administrative agent, JPMorgan Chase Bank, N.A., as syndication</w:t>
              </w:r>
            </w:hyperlink>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20" w:type="dxa"/>
            <w:vAlign w:val="bottom"/>
            <w:gridSpan w:val="2"/>
            <w:shd w:val="clear" w:color="auto" w:fill="0000EE"/>
          </w:tcPr>
          <w:p>
            <w:pPr>
              <w:spacing w:after="0" w:line="20" w:lineRule="exact"/>
              <w:rPr>
                <w:sz w:val="1"/>
                <w:szCs w:val="1"/>
                <w:color w:val="auto"/>
              </w:rPr>
            </w:pPr>
          </w:p>
        </w:tc>
        <w:tc>
          <w:tcPr>
            <w:tcW w:w="4840" w:type="dxa"/>
            <w:vAlign w:val="bottom"/>
            <w:gridSpan w:val="4"/>
            <w:shd w:val="clear" w:color="auto" w:fill="0000EE"/>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500" w:type="dxa"/>
            <w:vAlign w:val="bottom"/>
            <w:gridSpan w:val="18"/>
          </w:tcPr>
          <w:p>
            <w:pPr>
              <w:spacing w:after="0" w:line="182" w:lineRule="exact"/>
              <w:rPr>
                <w:rFonts w:ascii="Arial" w:cs="Arial" w:eastAsia="Arial" w:hAnsi="Arial"/>
                <w:sz w:val="18"/>
                <w:szCs w:val="18"/>
                <w:color w:val="0000EE"/>
              </w:rPr>
            </w:pPr>
            <w:hyperlink r:id="rId46">
              <w:r>
                <w:rPr>
                  <w:rFonts w:ascii="Arial" w:cs="Arial" w:eastAsia="Arial" w:hAnsi="Arial"/>
                  <w:sz w:val="18"/>
                  <w:szCs w:val="18"/>
                  <w:color w:val="0000EE"/>
                </w:rPr>
                <w:t>agent, Bank of America, N.A., Barclays Bank PLC, Deutsche Bank Securities Inc., Goldman Sachs Bank USA, Morgan Stanley</w:t>
              </w:r>
            </w:hyperlink>
          </w:p>
        </w:tc>
      </w:tr>
      <w:tr>
        <w:trPr>
          <w:trHeight w:val="183"/>
        </w:trPr>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100" w:type="dxa"/>
            <w:vAlign w:val="bottom"/>
            <w:tcBorders>
              <w:top w:val="single" w:sz="8" w:color="0000EE"/>
            </w:tcBorders>
            <w:gridSpan w:val="13"/>
          </w:tcPr>
          <w:p>
            <w:pPr>
              <w:spacing w:after="0" w:line="182" w:lineRule="exact"/>
              <w:rPr>
                <w:rFonts w:ascii="Arial" w:cs="Arial" w:eastAsia="Arial" w:hAnsi="Arial"/>
                <w:sz w:val="18"/>
                <w:szCs w:val="18"/>
                <w:color w:val="0000EE"/>
              </w:rPr>
            </w:pPr>
            <w:hyperlink r:id="rId46">
              <w:r>
                <w:rPr>
                  <w:rFonts w:ascii="Arial" w:cs="Arial" w:eastAsia="Arial" w:hAnsi="Arial"/>
                  <w:sz w:val="18"/>
                  <w:szCs w:val="18"/>
                  <w:color w:val="0000EE"/>
                </w:rPr>
                <w:t>MUFG Loan Partners, LLC and Wells Fargo Bank, National Association, as documentation agents, and Citibank, N.A. and</w:t>
              </w:r>
            </w:hyperlink>
          </w:p>
        </w:tc>
        <w:tc>
          <w:tcPr>
            <w:tcW w:w="400" w:type="dxa"/>
            <w:vAlign w:val="bottom"/>
            <w:gridSpan w:val="5"/>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40" w:type="dxa"/>
            <w:vAlign w:val="bottom"/>
            <w:tcBorders>
              <w:top w:val="single" w:sz="8" w:color="0000EE"/>
              <w:bottom w:val="single" w:sz="8" w:color="0000EE"/>
            </w:tcBorders>
            <w:gridSpan w:val="7"/>
          </w:tcPr>
          <w:p>
            <w:pPr>
              <w:spacing w:after="0" w:line="182" w:lineRule="exact"/>
              <w:rPr>
                <w:rFonts w:ascii="Arial" w:cs="Arial" w:eastAsia="Arial" w:hAnsi="Arial"/>
                <w:sz w:val="18"/>
                <w:szCs w:val="18"/>
                <w:color w:val="0000EE"/>
                <w:w w:val="99"/>
              </w:rPr>
            </w:pPr>
            <w:hyperlink r:id="rId46">
              <w:r>
                <w:rPr>
                  <w:rFonts w:ascii="Arial" w:cs="Arial" w:eastAsia="Arial" w:hAnsi="Arial"/>
                  <w:sz w:val="18"/>
                  <w:szCs w:val="18"/>
                  <w:color w:val="0000EE"/>
                  <w:w w:val="99"/>
                </w:rPr>
                <w:t>JPMorgan Chase Bank, N.A., as joint lead arrangers and co-book managers (incorporated by reference to Exhibit 10.1 to</w:t>
              </w:r>
            </w:hyperlink>
          </w:p>
        </w:tc>
        <w:tc>
          <w:tcPr>
            <w:tcW w:w="60" w:type="dxa"/>
            <w:vAlign w:val="bottom"/>
            <w:tcBorders>
              <w:top w:val="single" w:sz="8" w:color="0000EE"/>
            </w:tcBorders>
          </w:tcPr>
          <w:p>
            <w:pPr>
              <w:spacing w:after="0"/>
              <w:rPr>
                <w:sz w:val="15"/>
                <w:szCs w:val="15"/>
                <w:color w:val="auto"/>
              </w:rPr>
            </w:pPr>
          </w:p>
        </w:tc>
        <w:tc>
          <w:tcPr>
            <w:tcW w:w="800" w:type="dxa"/>
            <w:vAlign w:val="bottom"/>
            <w:gridSpan w:val="10"/>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20" w:type="dxa"/>
            <w:vAlign w:val="bottom"/>
            <w:tcBorders>
              <w:bottom w:val="single" w:sz="8" w:color="0000EE"/>
            </w:tcBorders>
            <w:gridSpan w:val="2"/>
          </w:tcPr>
          <w:p>
            <w:pPr>
              <w:spacing w:after="0" w:line="182" w:lineRule="exact"/>
              <w:rPr>
                <w:rFonts w:ascii="Arial" w:cs="Arial" w:eastAsia="Arial" w:hAnsi="Arial"/>
                <w:sz w:val="18"/>
                <w:szCs w:val="18"/>
                <w:color w:val="0000EE"/>
                <w:w w:val="99"/>
              </w:rPr>
            </w:pPr>
            <w:hyperlink r:id="rId46">
              <w:r>
                <w:rPr>
                  <w:rFonts w:ascii="Arial" w:cs="Arial" w:eastAsia="Arial" w:hAnsi="Arial"/>
                  <w:sz w:val="18"/>
                  <w:szCs w:val="18"/>
                  <w:color w:val="0000EE"/>
                  <w:w w:val="99"/>
                </w:rPr>
                <w:t>Honeywell’s Form 8-K filed April 27, 2018).</w:t>
              </w:r>
            </w:hyperlink>
          </w:p>
        </w:tc>
        <w:tc>
          <w:tcPr>
            <w:tcW w:w="7080" w:type="dxa"/>
            <w:vAlign w:val="bottom"/>
            <w:gridSpan w:val="16"/>
          </w:tcPr>
          <w:p>
            <w:pPr>
              <w:spacing w:after="0"/>
              <w:rPr>
                <w:sz w:val="15"/>
                <w:szCs w:val="15"/>
                <w:color w:val="auto"/>
              </w:rPr>
            </w:pPr>
          </w:p>
        </w:tc>
      </w:tr>
      <w:tr>
        <w:trPr>
          <w:trHeight w:val="385"/>
        </w:trPr>
        <w:tc>
          <w:tcPr>
            <w:tcW w:w="660" w:type="dxa"/>
            <w:vAlign w:val="bottom"/>
            <w:gridSpan w:val="2"/>
          </w:tcPr>
          <w:p>
            <w:pPr>
              <w:spacing w:after="0"/>
              <w:rPr>
                <w:sz w:val="20"/>
                <w:szCs w:val="20"/>
                <w:color w:val="auto"/>
              </w:rPr>
            </w:pPr>
            <w:r>
              <w:rPr>
                <w:rFonts w:ascii="Arial" w:cs="Arial" w:eastAsia="Arial" w:hAnsi="Arial"/>
                <w:sz w:val="18"/>
                <w:szCs w:val="18"/>
                <w:color w:val="auto"/>
              </w:rPr>
              <w:t>10.2</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500" w:type="dxa"/>
            <w:vAlign w:val="bottom"/>
            <w:gridSpan w:val="18"/>
          </w:tcPr>
          <w:p>
            <w:pPr>
              <w:spacing w:after="0"/>
              <w:rPr>
                <w:rFonts w:ascii="Arial" w:cs="Arial" w:eastAsia="Arial" w:hAnsi="Arial"/>
                <w:sz w:val="18"/>
                <w:szCs w:val="18"/>
                <w:color w:val="0000EE"/>
              </w:rPr>
            </w:pPr>
            <w:hyperlink r:id="rId47">
              <w:r>
                <w:rPr>
                  <w:rFonts w:ascii="Arial" w:cs="Arial" w:eastAsia="Arial" w:hAnsi="Arial"/>
                  <w:sz w:val="18"/>
                  <w:szCs w:val="18"/>
                  <w:color w:val="0000EE"/>
                </w:rPr>
                <w:t>Amended and Restated Five-Year Credit Agreement, dated as of April 27, 2018, among Honeywell International Inc., the banks,</w:t>
              </w:r>
            </w:hyperlink>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60" w:type="dxa"/>
            <w:vAlign w:val="bottom"/>
            <w:gridSpan w:val="6"/>
            <w:shd w:val="clear" w:color="auto" w:fill="0000EE"/>
          </w:tcPr>
          <w:p>
            <w:pPr>
              <w:spacing w:after="0" w:line="20" w:lineRule="exact"/>
              <w:rPr>
                <w:sz w:val="1"/>
                <w:szCs w:val="1"/>
                <w:color w:val="auto"/>
              </w:rPr>
            </w:pPr>
          </w:p>
        </w:tc>
        <w:tc>
          <w:tcPr>
            <w:tcW w:w="1660" w:type="dxa"/>
            <w:vAlign w:val="bottom"/>
            <w:gridSpan w:val="3"/>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80" w:type="dxa"/>
            <w:vAlign w:val="bottom"/>
            <w:gridSpan w:val="3"/>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60" w:type="dxa"/>
            <w:vAlign w:val="bottom"/>
            <w:tcBorders>
              <w:bottom w:val="single" w:sz="8" w:color="0000EE"/>
            </w:tcBorders>
            <w:gridSpan w:val="17"/>
          </w:tcPr>
          <w:p>
            <w:pPr>
              <w:spacing w:after="0" w:line="182" w:lineRule="exact"/>
              <w:rPr>
                <w:rFonts w:ascii="Arial" w:cs="Arial" w:eastAsia="Arial" w:hAnsi="Arial"/>
                <w:sz w:val="18"/>
                <w:szCs w:val="18"/>
                <w:color w:val="0000EE"/>
                <w:w w:val="99"/>
              </w:rPr>
            </w:pPr>
            <w:hyperlink r:id="rId47">
              <w:r>
                <w:rPr>
                  <w:rFonts w:ascii="Arial" w:cs="Arial" w:eastAsia="Arial" w:hAnsi="Arial"/>
                  <w:sz w:val="18"/>
                  <w:szCs w:val="18"/>
                  <w:color w:val="0000EE"/>
                  <w:w w:val="99"/>
                </w:rPr>
                <w:t>financial institutions and other institutional lenders parties thereto, Citibank, N.A., as administrative agent, Citibank Europe PLC, UK</w:t>
              </w:r>
            </w:hyperlink>
          </w:p>
        </w:tc>
        <w:tc>
          <w:tcPr>
            <w:tcW w:w="40" w:type="dxa"/>
            <w:vAlign w:val="bottom"/>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500" w:type="dxa"/>
            <w:vAlign w:val="bottom"/>
            <w:gridSpan w:val="18"/>
          </w:tcPr>
          <w:p>
            <w:pPr>
              <w:spacing w:after="0" w:line="182" w:lineRule="exact"/>
              <w:rPr>
                <w:rFonts w:ascii="Arial" w:cs="Arial" w:eastAsia="Arial" w:hAnsi="Arial"/>
                <w:sz w:val="18"/>
                <w:szCs w:val="18"/>
                <w:color w:val="0000EE"/>
              </w:rPr>
            </w:pPr>
            <w:hyperlink r:id="rId47">
              <w:r>
                <w:rPr>
                  <w:rFonts w:ascii="Arial" w:cs="Arial" w:eastAsia="Arial" w:hAnsi="Arial"/>
                  <w:sz w:val="18"/>
                  <w:szCs w:val="18"/>
                  <w:color w:val="0000EE"/>
                </w:rPr>
                <w:t>Branch, as swing line agent, JPMorgan Chase Bank, N.A., as syndication agent, Bank of America, N.A., Barclays Bank PLC,</w:t>
              </w:r>
            </w:hyperlink>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60" w:type="dxa"/>
            <w:vAlign w:val="bottom"/>
            <w:gridSpan w:val="6"/>
            <w:shd w:val="clear" w:color="auto" w:fill="0000EE"/>
          </w:tcPr>
          <w:p>
            <w:pPr>
              <w:spacing w:after="0" w:line="20" w:lineRule="exact"/>
              <w:rPr>
                <w:sz w:val="1"/>
                <w:szCs w:val="1"/>
                <w:color w:val="auto"/>
              </w:rPr>
            </w:pPr>
          </w:p>
        </w:tc>
        <w:tc>
          <w:tcPr>
            <w:tcW w:w="1660" w:type="dxa"/>
            <w:vAlign w:val="bottom"/>
            <w:gridSpan w:val="3"/>
            <w:shd w:val="clear" w:color="auto" w:fill="0000EE"/>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500" w:type="dxa"/>
            <w:vAlign w:val="bottom"/>
            <w:gridSpan w:val="18"/>
          </w:tcPr>
          <w:p>
            <w:pPr>
              <w:spacing w:after="0" w:line="182" w:lineRule="exact"/>
              <w:rPr>
                <w:rFonts w:ascii="Arial" w:cs="Arial" w:eastAsia="Arial" w:hAnsi="Arial"/>
                <w:sz w:val="18"/>
                <w:szCs w:val="18"/>
                <w:color w:val="0000EE"/>
              </w:rPr>
            </w:pPr>
            <w:hyperlink r:id="rId47">
              <w:r>
                <w:rPr>
                  <w:rFonts w:ascii="Arial" w:cs="Arial" w:eastAsia="Arial" w:hAnsi="Arial"/>
                  <w:sz w:val="18"/>
                  <w:szCs w:val="18"/>
                  <w:color w:val="0000EE"/>
                </w:rPr>
                <w:t>Deutsche Bank Securities Inc., Goldman Sachs Bank USA, Morgan Stanley MUFG Loan Partners, LLC and Wells Fargo Bank,</w:t>
              </w:r>
            </w:hyperlink>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60" w:type="dxa"/>
            <w:vAlign w:val="bottom"/>
            <w:gridSpan w:val="6"/>
            <w:shd w:val="clear" w:color="auto" w:fill="0000EE"/>
          </w:tcPr>
          <w:p>
            <w:pPr>
              <w:spacing w:after="0" w:line="20" w:lineRule="exact"/>
              <w:rPr>
                <w:sz w:val="1"/>
                <w:szCs w:val="1"/>
                <w:color w:val="auto"/>
              </w:rPr>
            </w:pPr>
          </w:p>
        </w:tc>
        <w:tc>
          <w:tcPr>
            <w:tcW w:w="1820" w:type="dxa"/>
            <w:vAlign w:val="bottom"/>
            <w:gridSpan w:val="6"/>
            <w:shd w:val="clear" w:color="auto" w:fill="0000EE"/>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500" w:type="dxa"/>
            <w:vAlign w:val="bottom"/>
            <w:gridSpan w:val="18"/>
          </w:tcPr>
          <w:p>
            <w:pPr>
              <w:spacing w:after="0" w:line="182" w:lineRule="exact"/>
              <w:rPr>
                <w:rFonts w:ascii="Arial" w:cs="Arial" w:eastAsia="Arial" w:hAnsi="Arial"/>
                <w:sz w:val="18"/>
                <w:szCs w:val="18"/>
                <w:color w:val="0000EE"/>
              </w:rPr>
            </w:pPr>
            <w:hyperlink r:id="rId47">
              <w:r>
                <w:rPr>
                  <w:rFonts w:ascii="Arial" w:cs="Arial" w:eastAsia="Arial" w:hAnsi="Arial"/>
                  <w:sz w:val="18"/>
                  <w:szCs w:val="18"/>
                  <w:color w:val="0000EE"/>
                </w:rPr>
                <w:t>National Association, as documentation agents, and Citibank, N.A. and J.P. Morgan Chase Bank N.A., as joint lead arrangers and</w:t>
              </w:r>
            </w:hyperlink>
          </w:p>
        </w:tc>
      </w:tr>
      <w:tr>
        <w:trPr>
          <w:trHeight w:val="183"/>
        </w:trPr>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300" w:type="dxa"/>
            <w:vAlign w:val="bottom"/>
            <w:tcBorders>
              <w:top w:val="single" w:sz="8" w:color="0000EE"/>
            </w:tcBorders>
            <w:gridSpan w:val="16"/>
          </w:tcPr>
          <w:p>
            <w:pPr>
              <w:spacing w:after="0" w:line="182" w:lineRule="exact"/>
              <w:rPr>
                <w:rFonts w:ascii="Arial" w:cs="Arial" w:eastAsia="Arial" w:hAnsi="Arial"/>
                <w:sz w:val="18"/>
                <w:szCs w:val="18"/>
                <w:color w:val="0000EE"/>
              </w:rPr>
            </w:pPr>
            <w:hyperlink r:id="rId47">
              <w:r>
                <w:rPr>
                  <w:rFonts w:ascii="Arial" w:cs="Arial" w:eastAsia="Arial" w:hAnsi="Arial"/>
                  <w:sz w:val="18"/>
                  <w:szCs w:val="18"/>
                  <w:color w:val="0000EE"/>
                </w:rPr>
                <w:t>co-bookrunners (incorporated by reference to Exhibit 10.2 to Honeywell’s Form 8-K filed April 27, 2018).</w:t>
              </w:r>
            </w:hyperlink>
          </w:p>
        </w:tc>
        <w:tc>
          <w:tcPr>
            <w:tcW w:w="200" w:type="dxa"/>
            <w:vAlign w:val="bottom"/>
            <w:gridSpan w:val="2"/>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06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1680" w:type="dxa"/>
            <w:vAlign w:val="bottom"/>
            <w:shd w:val="clear" w:color="auto" w:fill="0000EE"/>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85" w:lineRule="exact"/>
        <w:rPr>
          <w:sz w:val="20"/>
          <w:szCs w:val="20"/>
          <w:color w:val="auto"/>
        </w:rPr>
      </w:pPr>
    </w:p>
    <w:p>
      <w:pPr>
        <w:ind w:left="920" w:hanging="912"/>
        <w:spacing w:after="0"/>
        <w:tabs>
          <w:tab w:leader="none" w:pos="920" w:val="left"/>
        </w:tabs>
        <w:numPr>
          <w:ilvl w:val="0"/>
          <w:numId w:val="10"/>
        </w:numPr>
        <w:rPr>
          <w:rFonts w:ascii="Arial" w:cs="Arial" w:eastAsia="Arial" w:hAnsi="Arial"/>
          <w:sz w:val="18"/>
          <w:szCs w:val="18"/>
          <w:color w:val="0000EE"/>
        </w:rPr>
      </w:pPr>
      <w:hyperlink w:anchor="page12">
        <w:r>
          <w:rPr>
            <w:rFonts w:ascii="Arial" w:cs="Arial" w:eastAsia="Arial" w:hAnsi="Arial"/>
            <w:sz w:val="18"/>
            <w:szCs w:val="18"/>
            <w:u w:val="single" w:color="auto"/>
            <w:color w:val="0000EE"/>
          </w:rPr>
          <w:t>Computation of Per Share Earnings</w:t>
        </w:r>
      </w:hyperlink>
      <w:r>
        <w:rPr>
          <w:rFonts w:ascii="Arial" w:cs="Arial" w:eastAsia="Arial" w:hAnsi="Arial"/>
          <w:sz w:val="30"/>
          <w:szCs w:val="30"/>
          <w:color w:val="000000"/>
          <w:vertAlign w:val="superscript"/>
        </w:rPr>
        <w:t>(1)</w:t>
      </w:r>
    </w:p>
    <w:p>
      <w:pPr>
        <w:spacing w:after="0" w:line="62" w:lineRule="exact"/>
        <w:rPr>
          <w:rFonts w:ascii="Arial" w:cs="Arial" w:eastAsia="Arial" w:hAnsi="Arial"/>
          <w:sz w:val="18"/>
          <w:szCs w:val="18"/>
          <w:color w:val="0000EE"/>
        </w:rPr>
      </w:pPr>
    </w:p>
    <w:p>
      <w:pPr>
        <w:ind w:left="920" w:hanging="912"/>
        <w:spacing w:after="0"/>
        <w:tabs>
          <w:tab w:leader="none" w:pos="920" w:val="left"/>
        </w:tabs>
        <w:numPr>
          <w:ilvl w:val="0"/>
          <w:numId w:val="10"/>
        </w:numPr>
        <w:rPr>
          <w:rFonts w:ascii="Arial" w:cs="Arial" w:eastAsia="Arial" w:hAnsi="Arial"/>
          <w:sz w:val="18"/>
          <w:szCs w:val="18"/>
          <w:u w:val="single" w:color="auto"/>
          <w:color w:val="0000EE"/>
        </w:rPr>
      </w:pPr>
      <w:hyperlink w:anchor="page78">
        <w:r>
          <w:rPr>
            <w:rFonts w:ascii="Arial" w:cs="Arial" w:eastAsia="Arial" w:hAnsi="Arial"/>
            <w:sz w:val="18"/>
            <w:szCs w:val="18"/>
            <w:u w:val="single" w:color="auto"/>
            <w:color w:val="0000EE"/>
          </w:rPr>
          <w:t>Computation of Ratio of Earnings to Fixed Charges (filed herewith)</w:t>
        </w:r>
      </w:hyperlink>
    </w:p>
    <w:p>
      <w:pPr>
        <w:spacing w:after="0" w:line="127" w:lineRule="exact"/>
        <w:rPr>
          <w:rFonts w:ascii="Arial" w:cs="Arial" w:eastAsia="Arial" w:hAnsi="Arial"/>
          <w:sz w:val="36"/>
          <w:szCs w:val="36"/>
          <w:color w:val="auto"/>
          <w:vertAlign w:val="superscript"/>
        </w:rPr>
      </w:pPr>
    </w:p>
    <w:tbl>
      <w:tblPr>
        <w:tblLayout w:type="fixed"/>
        <w:tblInd w:w="0" w:type="dxa"/>
        <w:tblCellMar>
          <w:top w:w="0" w:type="dxa"/>
          <w:left w:w="0" w:type="dxa"/>
          <w:bottom w:w="0" w:type="dxa"/>
          <w:right w:w="0" w:type="dxa"/>
        </w:tblCellMar>
      </w:tblPr>
      <w:tr>
        <w:trPr>
          <w:trHeight w:val="207"/>
        </w:trPr>
        <w:tc>
          <w:tcPr>
            <w:tcW w:w="920" w:type="dxa"/>
            <w:vAlign w:val="bottom"/>
          </w:tcPr>
          <w:p>
            <w:pPr>
              <w:spacing w:after="0"/>
              <w:rPr>
                <w:sz w:val="20"/>
                <w:szCs w:val="20"/>
                <w:color w:val="auto"/>
              </w:rPr>
            </w:pPr>
            <w:r>
              <w:rPr>
                <w:rFonts w:ascii="Arial" w:cs="Arial" w:eastAsia="Arial" w:hAnsi="Arial"/>
                <w:sz w:val="18"/>
                <w:szCs w:val="18"/>
                <w:color w:val="auto"/>
              </w:rPr>
              <w:t>31.1</w:t>
            </w:r>
          </w:p>
        </w:tc>
        <w:tc>
          <w:tcPr>
            <w:tcW w:w="9680" w:type="dxa"/>
            <w:vAlign w:val="bottom"/>
            <w:gridSpan w:val="7"/>
          </w:tcPr>
          <w:p>
            <w:pPr>
              <w:spacing w:after="0"/>
              <w:rPr>
                <w:rFonts w:ascii="Arial" w:cs="Arial" w:eastAsia="Arial" w:hAnsi="Arial"/>
                <w:sz w:val="18"/>
                <w:szCs w:val="18"/>
                <w:color w:val="0000EE"/>
              </w:rPr>
            </w:pPr>
            <w:hyperlink w:anchor="page79">
              <w:r>
                <w:rPr>
                  <w:rFonts w:ascii="Arial" w:cs="Arial" w:eastAsia="Arial" w:hAnsi="Arial"/>
                  <w:sz w:val="18"/>
                  <w:szCs w:val="18"/>
                  <w:color w:val="0000EE"/>
                </w:rPr>
                <w:t>Certification of Principal Executive Officer Pursuant to Section 302 of the Sarbanes-Oxley Act of 2002 (filed herewith)</w:t>
              </w:r>
            </w:hyperlink>
          </w:p>
        </w:tc>
      </w:tr>
      <w:tr>
        <w:trPr>
          <w:trHeight w:val="345"/>
        </w:trPr>
        <w:tc>
          <w:tcPr>
            <w:tcW w:w="920" w:type="dxa"/>
            <w:vAlign w:val="bottom"/>
          </w:tcPr>
          <w:p>
            <w:pPr>
              <w:spacing w:after="0"/>
              <w:rPr>
                <w:sz w:val="20"/>
                <w:szCs w:val="20"/>
                <w:color w:val="auto"/>
              </w:rPr>
            </w:pPr>
            <w:r>
              <w:rPr>
                <w:rFonts w:ascii="Arial" w:cs="Arial" w:eastAsia="Arial" w:hAnsi="Arial"/>
                <w:sz w:val="18"/>
                <w:szCs w:val="18"/>
                <w:color w:val="auto"/>
              </w:rPr>
              <w:t>31.2</w:t>
            </w:r>
          </w:p>
        </w:tc>
        <w:tc>
          <w:tcPr>
            <w:tcW w:w="9300" w:type="dxa"/>
            <w:vAlign w:val="bottom"/>
            <w:tcBorders>
              <w:top w:val="single" w:sz="8" w:color="0000EE"/>
            </w:tcBorders>
            <w:gridSpan w:val="5"/>
          </w:tcPr>
          <w:p>
            <w:pPr>
              <w:spacing w:after="0"/>
              <w:rPr>
                <w:rFonts w:ascii="Arial" w:cs="Arial" w:eastAsia="Arial" w:hAnsi="Arial"/>
                <w:sz w:val="18"/>
                <w:szCs w:val="18"/>
                <w:color w:val="0000EE"/>
              </w:rPr>
            </w:pPr>
            <w:hyperlink w:anchor="page80">
              <w:r>
                <w:rPr>
                  <w:rFonts w:ascii="Arial" w:cs="Arial" w:eastAsia="Arial" w:hAnsi="Arial"/>
                  <w:sz w:val="18"/>
                  <w:szCs w:val="18"/>
                  <w:color w:val="0000EE"/>
                </w:rPr>
                <w:t>Certification of Principal Financial Officer Pursuant to Section 302 of the Sarbanes-Oxley Act of 2002 (filed herewith)</w:t>
              </w:r>
            </w:hyperlink>
          </w:p>
        </w:tc>
        <w:tc>
          <w:tcPr>
            <w:tcW w:w="380" w:type="dxa"/>
            <w:vAlign w:val="bottom"/>
            <w:gridSpan w:val="2"/>
          </w:tcPr>
          <w:p>
            <w:pPr>
              <w:spacing w:after="0"/>
              <w:rPr>
                <w:sz w:val="24"/>
                <w:szCs w:val="24"/>
                <w:color w:val="auto"/>
              </w:rPr>
            </w:pPr>
          </w:p>
        </w:tc>
      </w:tr>
      <w:tr>
        <w:trPr>
          <w:trHeight w:val="20"/>
        </w:trPr>
        <w:tc>
          <w:tcPr>
            <w:tcW w:w="9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4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560" w:type="dxa"/>
            <w:vAlign w:val="bottom"/>
            <w:shd w:val="clear" w:color="auto" w:fill="0000EE"/>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45"/>
        </w:trPr>
        <w:tc>
          <w:tcPr>
            <w:tcW w:w="920" w:type="dxa"/>
            <w:vAlign w:val="bottom"/>
          </w:tcPr>
          <w:p>
            <w:pPr>
              <w:spacing w:after="0"/>
              <w:rPr>
                <w:sz w:val="20"/>
                <w:szCs w:val="20"/>
                <w:color w:val="auto"/>
              </w:rPr>
            </w:pPr>
            <w:r>
              <w:rPr>
                <w:rFonts w:ascii="Arial" w:cs="Arial" w:eastAsia="Arial" w:hAnsi="Arial"/>
                <w:sz w:val="18"/>
                <w:szCs w:val="18"/>
                <w:color w:val="auto"/>
              </w:rPr>
              <w:t>32.1</w:t>
            </w:r>
          </w:p>
        </w:tc>
        <w:tc>
          <w:tcPr>
            <w:tcW w:w="9680" w:type="dxa"/>
            <w:vAlign w:val="bottom"/>
            <w:tcBorders>
              <w:bottom w:val="single" w:sz="8" w:color="0000EE"/>
            </w:tcBorders>
            <w:gridSpan w:val="7"/>
          </w:tcPr>
          <w:p>
            <w:pPr>
              <w:spacing w:after="0"/>
              <w:rPr>
                <w:rFonts w:ascii="Arial" w:cs="Arial" w:eastAsia="Arial" w:hAnsi="Arial"/>
                <w:sz w:val="18"/>
                <w:szCs w:val="18"/>
                <w:color w:val="0000EE"/>
                <w:w w:val="99"/>
              </w:rPr>
            </w:pPr>
            <w:hyperlink w:anchor="page81">
              <w:r>
                <w:rPr>
                  <w:rFonts w:ascii="Arial" w:cs="Arial" w:eastAsia="Arial" w:hAnsi="Arial"/>
                  <w:sz w:val="18"/>
                  <w:szCs w:val="18"/>
                  <w:color w:val="0000EE"/>
                  <w:w w:val="99"/>
                </w:rPr>
                <w:t>Certification of Principal Executive Officer Pursuant to 18 U.S.C. Section 1350, as Adopted Pursuant to Section 906 of the</w:t>
              </w:r>
            </w:hyperlink>
          </w:p>
        </w:tc>
      </w:tr>
      <w:tr>
        <w:trPr>
          <w:trHeight w:val="183"/>
        </w:trPr>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500" w:type="dxa"/>
            <w:vAlign w:val="bottom"/>
            <w:tcBorders>
              <w:bottom w:val="single" w:sz="8" w:color="0000EE"/>
            </w:tcBorders>
            <w:gridSpan w:val="2"/>
          </w:tcPr>
          <w:p>
            <w:pPr>
              <w:spacing w:after="0" w:line="182" w:lineRule="exact"/>
              <w:rPr>
                <w:rFonts w:ascii="Arial" w:cs="Arial" w:eastAsia="Arial" w:hAnsi="Arial"/>
                <w:sz w:val="18"/>
                <w:szCs w:val="18"/>
                <w:color w:val="0000EE"/>
                <w:w w:val="99"/>
              </w:rPr>
            </w:pPr>
            <w:hyperlink w:anchor="page81">
              <w:r>
                <w:rPr>
                  <w:rFonts w:ascii="Arial" w:cs="Arial" w:eastAsia="Arial" w:hAnsi="Arial"/>
                  <w:sz w:val="18"/>
                  <w:szCs w:val="18"/>
                  <w:color w:val="0000EE"/>
                  <w:w w:val="99"/>
                </w:rPr>
                <w:t>Sarbanes-Oxley Act of 2002 (filed herewith)</w:t>
              </w:r>
            </w:hyperlink>
          </w:p>
        </w:tc>
        <w:tc>
          <w:tcPr>
            <w:tcW w:w="6000" w:type="dxa"/>
            <w:vAlign w:val="bottom"/>
            <w:gridSpan w:val="4"/>
          </w:tcPr>
          <w:p>
            <w:pPr>
              <w:spacing w:after="0"/>
              <w:rPr>
                <w:sz w:val="15"/>
                <w:szCs w:val="15"/>
                <w:color w:val="auto"/>
              </w:rPr>
            </w:pPr>
          </w:p>
        </w:tc>
      </w:tr>
      <w:tr>
        <w:trPr>
          <w:trHeight w:val="345"/>
        </w:trPr>
        <w:tc>
          <w:tcPr>
            <w:tcW w:w="920" w:type="dxa"/>
            <w:vAlign w:val="bottom"/>
          </w:tcPr>
          <w:p>
            <w:pPr>
              <w:spacing w:after="0"/>
              <w:rPr>
                <w:sz w:val="20"/>
                <w:szCs w:val="20"/>
                <w:color w:val="auto"/>
              </w:rPr>
            </w:pPr>
            <w:r>
              <w:rPr>
                <w:rFonts w:ascii="Arial" w:cs="Arial" w:eastAsia="Arial" w:hAnsi="Arial"/>
                <w:sz w:val="18"/>
                <w:szCs w:val="18"/>
                <w:color w:val="auto"/>
              </w:rPr>
              <w:t>32.2</w:t>
            </w:r>
          </w:p>
        </w:tc>
        <w:tc>
          <w:tcPr>
            <w:tcW w:w="9680" w:type="dxa"/>
            <w:vAlign w:val="bottom"/>
            <w:gridSpan w:val="7"/>
          </w:tcPr>
          <w:p>
            <w:pPr>
              <w:spacing w:after="0"/>
              <w:rPr>
                <w:rFonts w:ascii="Arial" w:cs="Arial" w:eastAsia="Arial" w:hAnsi="Arial"/>
                <w:sz w:val="18"/>
                <w:szCs w:val="18"/>
                <w:color w:val="0000EE"/>
              </w:rPr>
            </w:pPr>
            <w:hyperlink w:anchor="page82">
              <w:r>
                <w:rPr>
                  <w:rFonts w:ascii="Arial" w:cs="Arial" w:eastAsia="Arial" w:hAnsi="Arial"/>
                  <w:sz w:val="18"/>
                  <w:szCs w:val="18"/>
                  <w:color w:val="0000EE"/>
                </w:rPr>
                <w:t>Certification of Principal Financial Officer Pursuant to 18 U.S.C. Section 1350, as Adopted Pursuant to Section 906 of the</w:t>
              </w:r>
            </w:hyperlink>
          </w:p>
        </w:tc>
      </w:tr>
      <w:tr>
        <w:trPr>
          <w:trHeight w:val="183"/>
        </w:trPr>
        <w:tc>
          <w:tcPr>
            <w:tcW w:w="920" w:type="dxa"/>
            <w:vAlign w:val="bottom"/>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9440" w:type="dxa"/>
            <w:vAlign w:val="bottom"/>
            <w:tcBorders>
              <w:top w:val="single" w:sz="8" w:color="0000EE"/>
            </w:tcBorders>
            <w:gridSpan w:val="5"/>
          </w:tcPr>
          <w:p>
            <w:pPr>
              <w:spacing w:after="0" w:line="182" w:lineRule="exact"/>
              <w:rPr>
                <w:rFonts w:ascii="Arial" w:cs="Arial" w:eastAsia="Arial" w:hAnsi="Arial"/>
                <w:sz w:val="18"/>
                <w:szCs w:val="18"/>
                <w:color w:val="0000EE"/>
              </w:rPr>
            </w:pPr>
            <w:hyperlink w:anchor="page82">
              <w:r>
                <w:rPr>
                  <w:rFonts w:ascii="Arial" w:cs="Arial" w:eastAsia="Arial" w:hAnsi="Arial"/>
                  <w:sz w:val="18"/>
                  <w:szCs w:val="18"/>
                  <w:color w:val="0000EE"/>
                </w:rPr>
                <w:t>Sarbanes-Oxley Act of 2002 (filed herewith)</w:t>
              </w:r>
            </w:hyperlink>
          </w:p>
        </w:tc>
        <w:tc>
          <w:tcPr>
            <w:tcW w:w="60" w:type="dxa"/>
            <w:vAlign w:val="bottom"/>
          </w:tcPr>
          <w:p>
            <w:pPr>
              <w:spacing w:after="0"/>
              <w:rPr>
                <w:sz w:val="15"/>
                <w:szCs w:val="15"/>
                <w:color w:val="auto"/>
              </w:rPr>
            </w:pPr>
          </w:p>
        </w:tc>
      </w:tr>
      <w:tr>
        <w:trPr>
          <w:trHeight w:val="20"/>
        </w:trPr>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80" w:type="dxa"/>
            <w:vAlign w:val="bottom"/>
            <w:shd w:val="clear" w:color="auto" w:fill="0000EE"/>
          </w:tcPr>
          <w:p>
            <w:pPr>
              <w:spacing w:after="0" w:line="20" w:lineRule="exact"/>
              <w:rPr>
                <w:sz w:val="1"/>
                <w:szCs w:val="1"/>
                <w:color w:val="auto"/>
              </w:rPr>
            </w:pPr>
          </w:p>
        </w:tc>
        <w:tc>
          <w:tcPr>
            <w:tcW w:w="6020" w:type="dxa"/>
            <w:vAlign w:val="bottom"/>
            <w:gridSpan w:val="5"/>
          </w:tcPr>
          <w:p>
            <w:pPr>
              <w:spacing w:after="0" w:line="20" w:lineRule="exact"/>
              <w:rPr>
                <w:sz w:val="1"/>
                <w:szCs w:val="1"/>
                <w:color w:val="auto"/>
              </w:rPr>
            </w:pPr>
          </w:p>
        </w:tc>
      </w:tr>
      <w:tr>
        <w:trPr>
          <w:trHeight w:val="385"/>
        </w:trPr>
        <w:tc>
          <w:tcPr>
            <w:tcW w:w="920" w:type="dxa"/>
            <w:vAlign w:val="bottom"/>
          </w:tcPr>
          <w:p>
            <w:pPr>
              <w:spacing w:after="0"/>
              <w:rPr>
                <w:sz w:val="20"/>
                <w:szCs w:val="20"/>
                <w:color w:val="auto"/>
              </w:rPr>
            </w:pPr>
            <w:r>
              <w:rPr>
                <w:rFonts w:ascii="Arial" w:cs="Arial" w:eastAsia="Arial" w:hAnsi="Arial"/>
                <w:sz w:val="18"/>
                <w:szCs w:val="18"/>
                <w:color w:val="auto"/>
              </w:rPr>
              <w:t>101.INS</w:t>
            </w:r>
          </w:p>
        </w:tc>
        <w:tc>
          <w:tcPr>
            <w:tcW w:w="9680" w:type="dxa"/>
            <w:vAlign w:val="bottom"/>
            <w:gridSpan w:val="7"/>
          </w:tcPr>
          <w:p>
            <w:pPr>
              <w:spacing w:after="0"/>
              <w:rPr>
                <w:sz w:val="20"/>
                <w:szCs w:val="20"/>
                <w:color w:val="auto"/>
              </w:rPr>
            </w:pPr>
            <w:r>
              <w:rPr>
                <w:rFonts w:ascii="Arial" w:cs="Arial" w:eastAsia="Arial" w:hAnsi="Arial"/>
                <w:sz w:val="18"/>
                <w:szCs w:val="18"/>
                <w:color w:val="auto"/>
              </w:rPr>
              <w:t>XBRL Instance Document (filed herewith)</w:t>
            </w:r>
          </w:p>
        </w:tc>
      </w:tr>
      <w:tr>
        <w:trPr>
          <w:trHeight w:val="365"/>
        </w:trPr>
        <w:tc>
          <w:tcPr>
            <w:tcW w:w="920" w:type="dxa"/>
            <w:vAlign w:val="bottom"/>
          </w:tcPr>
          <w:p>
            <w:pPr>
              <w:spacing w:after="0"/>
              <w:rPr>
                <w:sz w:val="20"/>
                <w:szCs w:val="20"/>
                <w:color w:val="auto"/>
              </w:rPr>
            </w:pPr>
            <w:r>
              <w:rPr>
                <w:rFonts w:ascii="Arial" w:cs="Arial" w:eastAsia="Arial" w:hAnsi="Arial"/>
                <w:sz w:val="18"/>
                <w:szCs w:val="18"/>
                <w:color w:val="auto"/>
              </w:rPr>
              <w:t>101.SCH</w:t>
            </w:r>
          </w:p>
        </w:tc>
        <w:tc>
          <w:tcPr>
            <w:tcW w:w="9680" w:type="dxa"/>
            <w:vAlign w:val="bottom"/>
            <w:gridSpan w:val="7"/>
          </w:tcPr>
          <w:p>
            <w:pPr>
              <w:spacing w:after="0"/>
              <w:rPr>
                <w:sz w:val="20"/>
                <w:szCs w:val="20"/>
                <w:color w:val="auto"/>
              </w:rPr>
            </w:pPr>
            <w:r>
              <w:rPr>
                <w:rFonts w:ascii="Arial" w:cs="Arial" w:eastAsia="Arial" w:hAnsi="Arial"/>
                <w:sz w:val="18"/>
                <w:szCs w:val="18"/>
                <w:color w:val="auto"/>
              </w:rPr>
              <w:t>XBRL Taxonomy Extension Schema (filed herewith)</w:t>
            </w:r>
          </w:p>
        </w:tc>
      </w:tr>
      <w:tr>
        <w:trPr>
          <w:trHeight w:val="365"/>
        </w:trPr>
        <w:tc>
          <w:tcPr>
            <w:tcW w:w="920" w:type="dxa"/>
            <w:vAlign w:val="bottom"/>
          </w:tcPr>
          <w:p>
            <w:pPr>
              <w:spacing w:after="0"/>
              <w:rPr>
                <w:sz w:val="20"/>
                <w:szCs w:val="20"/>
                <w:color w:val="auto"/>
              </w:rPr>
            </w:pPr>
            <w:r>
              <w:rPr>
                <w:rFonts w:ascii="Arial" w:cs="Arial" w:eastAsia="Arial" w:hAnsi="Arial"/>
                <w:sz w:val="18"/>
                <w:szCs w:val="18"/>
                <w:color w:val="auto"/>
              </w:rPr>
              <w:t>101.CAL</w:t>
            </w:r>
          </w:p>
        </w:tc>
        <w:tc>
          <w:tcPr>
            <w:tcW w:w="9680" w:type="dxa"/>
            <w:vAlign w:val="bottom"/>
            <w:gridSpan w:val="7"/>
          </w:tcPr>
          <w:p>
            <w:pPr>
              <w:spacing w:after="0"/>
              <w:rPr>
                <w:sz w:val="20"/>
                <w:szCs w:val="20"/>
                <w:color w:val="auto"/>
              </w:rPr>
            </w:pPr>
            <w:r>
              <w:rPr>
                <w:rFonts w:ascii="Arial" w:cs="Arial" w:eastAsia="Arial" w:hAnsi="Arial"/>
                <w:sz w:val="18"/>
                <w:szCs w:val="18"/>
                <w:color w:val="auto"/>
              </w:rPr>
              <w:t>XBRL Taxonomy Extension Calculation Linkbase (filed herewith)</w:t>
            </w:r>
          </w:p>
        </w:tc>
      </w:tr>
      <w:tr>
        <w:trPr>
          <w:trHeight w:val="365"/>
        </w:trPr>
        <w:tc>
          <w:tcPr>
            <w:tcW w:w="920" w:type="dxa"/>
            <w:vAlign w:val="bottom"/>
          </w:tcPr>
          <w:p>
            <w:pPr>
              <w:spacing w:after="0"/>
              <w:rPr>
                <w:sz w:val="20"/>
                <w:szCs w:val="20"/>
                <w:color w:val="auto"/>
              </w:rPr>
            </w:pPr>
            <w:r>
              <w:rPr>
                <w:rFonts w:ascii="Arial" w:cs="Arial" w:eastAsia="Arial" w:hAnsi="Arial"/>
                <w:sz w:val="18"/>
                <w:szCs w:val="18"/>
                <w:color w:val="auto"/>
              </w:rPr>
              <w:t>101.DEF</w:t>
            </w:r>
          </w:p>
        </w:tc>
        <w:tc>
          <w:tcPr>
            <w:tcW w:w="9680" w:type="dxa"/>
            <w:vAlign w:val="bottom"/>
            <w:gridSpan w:val="7"/>
          </w:tcPr>
          <w:p>
            <w:pPr>
              <w:spacing w:after="0"/>
              <w:rPr>
                <w:sz w:val="20"/>
                <w:szCs w:val="20"/>
                <w:color w:val="auto"/>
              </w:rPr>
            </w:pPr>
            <w:r>
              <w:rPr>
                <w:rFonts w:ascii="Arial" w:cs="Arial" w:eastAsia="Arial" w:hAnsi="Arial"/>
                <w:sz w:val="18"/>
                <w:szCs w:val="18"/>
                <w:color w:val="auto"/>
              </w:rPr>
              <w:t>XBRL Taxonomy Extension Definition Linkbase (filed herewith)</w:t>
            </w:r>
          </w:p>
        </w:tc>
      </w:tr>
      <w:tr>
        <w:trPr>
          <w:trHeight w:val="365"/>
        </w:trPr>
        <w:tc>
          <w:tcPr>
            <w:tcW w:w="920" w:type="dxa"/>
            <w:vAlign w:val="bottom"/>
          </w:tcPr>
          <w:p>
            <w:pPr>
              <w:spacing w:after="0"/>
              <w:rPr>
                <w:sz w:val="20"/>
                <w:szCs w:val="20"/>
                <w:color w:val="auto"/>
              </w:rPr>
            </w:pPr>
            <w:r>
              <w:rPr>
                <w:rFonts w:ascii="Arial" w:cs="Arial" w:eastAsia="Arial" w:hAnsi="Arial"/>
                <w:sz w:val="18"/>
                <w:szCs w:val="18"/>
                <w:color w:val="auto"/>
              </w:rPr>
              <w:t>101.LAB</w:t>
            </w:r>
          </w:p>
        </w:tc>
        <w:tc>
          <w:tcPr>
            <w:tcW w:w="9680" w:type="dxa"/>
            <w:vAlign w:val="bottom"/>
            <w:gridSpan w:val="7"/>
          </w:tcPr>
          <w:p>
            <w:pPr>
              <w:spacing w:after="0"/>
              <w:rPr>
                <w:sz w:val="20"/>
                <w:szCs w:val="20"/>
                <w:color w:val="auto"/>
              </w:rPr>
            </w:pPr>
            <w:r>
              <w:rPr>
                <w:rFonts w:ascii="Arial" w:cs="Arial" w:eastAsia="Arial" w:hAnsi="Arial"/>
                <w:sz w:val="18"/>
                <w:szCs w:val="18"/>
                <w:color w:val="auto"/>
              </w:rPr>
              <w:t>XBRL Taxonomy Extension Label Linkbase (filed herewith)</w:t>
            </w:r>
          </w:p>
        </w:tc>
      </w:tr>
      <w:tr>
        <w:trPr>
          <w:trHeight w:val="365"/>
        </w:trPr>
        <w:tc>
          <w:tcPr>
            <w:tcW w:w="920" w:type="dxa"/>
            <w:vAlign w:val="bottom"/>
          </w:tcPr>
          <w:p>
            <w:pPr>
              <w:spacing w:after="0"/>
              <w:rPr>
                <w:sz w:val="20"/>
                <w:szCs w:val="20"/>
                <w:color w:val="auto"/>
              </w:rPr>
            </w:pPr>
            <w:r>
              <w:rPr>
                <w:rFonts w:ascii="Arial" w:cs="Arial" w:eastAsia="Arial" w:hAnsi="Arial"/>
                <w:sz w:val="18"/>
                <w:szCs w:val="18"/>
                <w:color w:val="auto"/>
              </w:rPr>
              <w:t>101.PRE</w:t>
            </w:r>
          </w:p>
        </w:tc>
        <w:tc>
          <w:tcPr>
            <w:tcW w:w="9680" w:type="dxa"/>
            <w:vAlign w:val="bottom"/>
            <w:gridSpan w:val="7"/>
          </w:tcPr>
          <w:p>
            <w:pPr>
              <w:spacing w:after="0"/>
              <w:rPr>
                <w:sz w:val="20"/>
                <w:szCs w:val="20"/>
                <w:color w:val="auto"/>
              </w:rPr>
            </w:pPr>
            <w:r>
              <w:rPr>
                <w:rFonts w:ascii="Arial" w:cs="Arial" w:eastAsia="Arial" w:hAnsi="Arial"/>
                <w:sz w:val="18"/>
                <w:szCs w:val="18"/>
                <w:color w:val="auto"/>
              </w:rPr>
              <w:t>XBRL Taxonomy Extension Presentation Linkbase (filed herewith)</w:t>
            </w:r>
          </w:p>
        </w:tc>
      </w:tr>
    </w:tbl>
    <w:p>
      <w:pPr>
        <w:spacing w:after="0" w:line="224" w:lineRule="exact"/>
        <w:rPr>
          <w:sz w:val="20"/>
          <w:szCs w:val="20"/>
          <w:color w:val="auto"/>
        </w:rPr>
      </w:pPr>
    </w:p>
    <w:p>
      <w:pPr>
        <w:ind w:left="5620" w:right="2940" w:hanging="5612"/>
        <w:spacing w:after="0" w:line="486" w:lineRule="auto"/>
        <w:tabs>
          <w:tab w:leader="none" w:pos="284" w:val="left"/>
        </w:tabs>
        <w:numPr>
          <w:ilvl w:val="0"/>
          <w:numId w:val="11"/>
        </w:numPr>
        <w:rPr>
          <w:rFonts w:ascii="Arial" w:cs="Arial" w:eastAsia="Arial" w:hAnsi="Arial"/>
          <w:sz w:val="18"/>
          <w:szCs w:val="18"/>
          <w:color w:val="auto"/>
        </w:rPr>
      </w:pPr>
      <w:r>
        <w:rPr>
          <w:rFonts w:ascii="Arial" w:cs="Arial" w:eastAsia="Arial" w:hAnsi="Arial"/>
          <w:sz w:val="18"/>
          <w:szCs w:val="18"/>
          <w:color w:val="auto"/>
        </w:rPr>
        <w:t xml:space="preserve">Data required is provided in Note 6 </w:t>
      </w:r>
      <w:r>
        <w:rPr>
          <w:rFonts w:ascii="Arial" w:cs="Arial" w:eastAsia="Arial" w:hAnsi="Arial"/>
          <w:sz w:val="18"/>
          <w:szCs w:val="18"/>
          <w:i w:val="1"/>
          <w:iCs w:val="1"/>
          <w:color w:val="auto"/>
        </w:rPr>
        <w:t>Earnings Per Share</w:t>
      </w:r>
      <w:r>
        <w:rPr>
          <w:rFonts w:ascii="Arial" w:cs="Arial" w:eastAsia="Arial" w:hAnsi="Arial"/>
          <w:sz w:val="18"/>
          <w:szCs w:val="18"/>
          <w:color w:val="auto"/>
        </w:rPr>
        <w:t xml:space="preserve"> of Notes to Consolidated Financial Statements. 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-528320</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-5080</wp:posOffset>
            </wp:positionV>
            <wp:extent cx="7246620" cy="342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392" w:right="239" w:bottom="1440" w:gutter="0" w:footer="0" w:header="0"/>
        </w:sectPr>
      </w:pPr>
    </w:p>
    <w:bookmarkStart w:id="39" w:name="page40"/>
    <w:bookmarkEnd w:id="39"/>
    <w:p>
      <w:pPr>
        <w:jc w:val="center"/>
        <w:spacing w:after="0"/>
        <w:rPr>
          <w:sz w:val="20"/>
          <w:szCs w:val="20"/>
          <w:color w:val="auto"/>
        </w:rPr>
      </w:pPr>
      <w:r>
        <w:rPr>
          <w:rFonts w:ascii="Arial" w:cs="Arial" w:eastAsia="Arial" w:hAnsi="Arial"/>
          <w:sz w:val="18"/>
          <w:szCs w:val="18"/>
          <w:b w:val="1"/>
          <w:bCs w:val="1"/>
          <w:color w:val="auto"/>
        </w:rPr>
        <w:t>SIGNATURES</w:t>
      </w:r>
    </w:p>
    <w:p>
      <w:pPr>
        <w:spacing w:after="0" w:line="220" w:lineRule="exact"/>
        <w:rPr>
          <w:sz w:val="20"/>
          <w:szCs w:val="20"/>
          <w:color w:val="auto"/>
        </w:rPr>
      </w:pPr>
    </w:p>
    <w:p>
      <w:pPr>
        <w:ind w:firstLine="648"/>
        <w:spacing w:after="0" w:line="246"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620" w:type="dxa"/>
            <w:vAlign w:val="bottom"/>
          </w:tcPr>
          <w:p>
            <w:pPr>
              <w:spacing w:after="0"/>
              <w:rPr>
                <w:sz w:val="18"/>
                <w:szCs w:val="18"/>
                <w:color w:val="auto"/>
              </w:rPr>
            </w:pPr>
          </w:p>
        </w:tc>
        <w:tc>
          <w:tcPr>
            <w:tcW w:w="7800" w:type="dxa"/>
            <w:vAlign w:val="bottom"/>
            <w:gridSpan w:val="3"/>
          </w:tcPr>
          <w:p>
            <w:pPr>
              <w:ind w:left="2380"/>
              <w:spacing w:after="0"/>
              <w:rPr>
                <w:sz w:val="20"/>
                <w:szCs w:val="20"/>
                <w:color w:val="auto"/>
              </w:rPr>
            </w:pPr>
            <w:r>
              <w:rPr>
                <w:rFonts w:ascii="Arial" w:cs="Arial" w:eastAsia="Arial" w:hAnsi="Arial"/>
                <w:sz w:val="18"/>
                <w:szCs w:val="18"/>
                <w:color w:val="auto"/>
              </w:rPr>
              <w:t>Honeywell International Inc.</w:t>
            </w:r>
          </w:p>
        </w:tc>
      </w:tr>
      <w:tr>
        <w:trPr>
          <w:trHeight w:val="365"/>
        </w:trPr>
        <w:tc>
          <w:tcPr>
            <w:tcW w:w="3620" w:type="dxa"/>
            <w:vAlign w:val="bottom"/>
          </w:tcPr>
          <w:p>
            <w:pPr>
              <w:spacing w:after="0"/>
              <w:rPr>
                <w:sz w:val="20"/>
                <w:szCs w:val="20"/>
                <w:color w:val="auto"/>
              </w:rPr>
            </w:pPr>
            <w:r>
              <w:rPr>
                <w:rFonts w:ascii="Arial" w:cs="Arial" w:eastAsia="Arial" w:hAnsi="Arial"/>
                <w:sz w:val="18"/>
                <w:szCs w:val="18"/>
                <w:color w:val="auto"/>
              </w:rPr>
              <w:t>Date: July 20, 2018</w:t>
            </w:r>
          </w:p>
        </w:tc>
        <w:tc>
          <w:tcPr>
            <w:tcW w:w="7800" w:type="dxa"/>
            <w:vAlign w:val="bottom"/>
            <w:gridSpan w:val="3"/>
          </w:tcPr>
          <w:p>
            <w:pPr>
              <w:ind w:left="2100"/>
              <w:spacing w:after="0"/>
              <w:rPr>
                <w:sz w:val="20"/>
                <w:szCs w:val="20"/>
                <w:color w:val="auto"/>
              </w:rPr>
            </w:pPr>
            <w:r>
              <w:rPr>
                <w:rFonts w:ascii="Arial" w:cs="Arial" w:eastAsia="Arial" w:hAnsi="Arial"/>
                <w:sz w:val="18"/>
                <w:szCs w:val="18"/>
                <w:color w:val="auto"/>
              </w:rPr>
              <w:t>By:  /s/ John J. Tus</w:t>
            </w:r>
          </w:p>
        </w:tc>
      </w:tr>
      <w:tr>
        <w:trPr>
          <w:trHeight w:val="209"/>
        </w:trPr>
        <w:tc>
          <w:tcPr>
            <w:tcW w:w="36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John J. Tus</w:t>
            </w:r>
          </w:p>
        </w:tc>
        <w:tc>
          <w:tcPr>
            <w:tcW w:w="4080" w:type="dxa"/>
            <w:vAlign w:val="bottom"/>
          </w:tcPr>
          <w:p>
            <w:pPr>
              <w:spacing w:after="0"/>
              <w:rPr>
                <w:sz w:val="18"/>
                <w:szCs w:val="18"/>
                <w:color w:val="auto"/>
              </w:rPr>
            </w:pPr>
          </w:p>
        </w:tc>
      </w:tr>
      <w:tr>
        <w:trPr>
          <w:trHeight w:val="203"/>
        </w:trPr>
        <w:tc>
          <w:tcPr>
            <w:tcW w:w="362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5240" w:type="dxa"/>
            <w:vAlign w:val="bottom"/>
            <w:gridSpan w:val="2"/>
          </w:tcPr>
          <w:p>
            <w:pPr>
              <w:spacing w:after="0" w:line="202" w:lineRule="exact"/>
              <w:rPr>
                <w:sz w:val="20"/>
                <w:szCs w:val="20"/>
                <w:color w:val="auto"/>
              </w:rPr>
            </w:pPr>
            <w:r>
              <w:rPr>
                <w:rFonts w:ascii="Arial" w:cs="Arial" w:eastAsia="Arial" w:hAnsi="Arial"/>
                <w:sz w:val="18"/>
                <w:szCs w:val="18"/>
                <w:color w:val="auto"/>
              </w:rPr>
              <w:t>Vice President and Controller</w:t>
            </w:r>
          </w:p>
        </w:tc>
      </w:tr>
      <w:tr>
        <w:trPr>
          <w:trHeight w:val="203"/>
        </w:trPr>
        <w:tc>
          <w:tcPr>
            <w:tcW w:w="362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5240" w:type="dxa"/>
            <w:vAlign w:val="bottom"/>
            <w:gridSpan w:val="2"/>
          </w:tcPr>
          <w:p>
            <w:pPr>
              <w:spacing w:after="0" w:line="202" w:lineRule="exact"/>
              <w:rPr>
                <w:sz w:val="20"/>
                <w:szCs w:val="20"/>
                <w:color w:val="auto"/>
              </w:rPr>
            </w:pPr>
            <w:r>
              <w:rPr>
                <w:rFonts w:ascii="Arial" w:cs="Arial" w:eastAsia="Arial" w:hAnsi="Arial"/>
                <w:sz w:val="18"/>
                <w:szCs w:val="18"/>
                <w:color w:val="auto"/>
              </w:rPr>
              <w:t>(on behalf of the Registrant</w:t>
            </w:r>
          </w:p>
        </w:tc>
      </w:tr>
      <w:tr>
        <w:trPr>
          <w:trHeight w:val="203"/>
        </w:trPr>
        <w:tc>
          <w:tcPr>
            <w:tcW w:w="362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5240" w:type="dxa"/>
            <w:vAlign w:val="bottom"/>
            <w:gridSpan w:val="2"/>
          </w:tcPr>
          <w:p>
            <w:pPr>
              <w:spacing w:after="0" w:line="202" w:lineRule="exact"/>
              <w:rPr>
                <w:sz w:val="20"/>
                <w:szCs w:val="20"/>
                <w:color w:val="auto"/>
              </w:rPr>
            </w:pPr>
            <w:r>
              <w:rPr>
                <w:rFonts w:ascii="Arial" w:cs="Arial" w:eastAsia="Arial" w:hAnsi="Arial"/>
                <w:sz w:val="18"/>
                <w:szCs w:val="18"/>
                <w:color w:val="auto"/>
              </w:rPr>
              <w:t>and as the Registrant’s</w:t>
            </w:r>
          </w:p>
        </w:tc>
      </w:tr>
      <w:tr>
        <w:trPr>
          <w:trHeight w:val="217"/>
        </w:trPr>
        <w:tc>
          <w:tcPr>
            <w:tcW w:w="36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5240" w:type="dxa"/>
            <w:vAlign w:val="bottom"/>
            <w:gridSpan w:val="2"/>
          </w:tcPr>
          <w:p>
            <w:pPr>
              <w:spacing w:after="0"/>
              <w:rPr>
                <w:sz w:val="20"/>
                <w:szCs w:val="20"/>
                <w:color w:val="auto"/>
              </w:rPr>
            </w:pPr>
            <w:r>
              <w:rPr>
                <w:rFonts w:ascii="Arial" w:cs="Arial" w:eastAsia="Arial" w:hAnsi="Arial"/>
                <w:sz w:val="18"/>
                <w:szCs w:val="18"/>
                <w:color w:val="auto"/>
              </w:rPr>
              <w:t>Principal Accounting Officer)</w:t>
            </w:r>
          </w:p>
        </w:tc>
      </w:tr>
      <w:tr>
        <w:trPr>
          <w:trHeight w:val="392"/>
        </w:trPr>
        <w:tc>
          <w:tcPr>
            <w:tcW w:w="3620" w:type="dxa"/>
            <w:vAlign w:val="bottom"/>
          </w:tcPr>
          <w:p>
            <w:pPr>
              <w:spacing w:after="0"/>
              <w:rPr>
                <w:sz w:val="24"/>
                <w:szCs w:val="24"/>
                <w:color w:val="auto"/>
              </w:rPr>
            </w:pPr>
          </w:p>
        </w:tc>
        <w:tc>
          <w:tcPr>
            <w:tcW w:w="2560" w:type="dxa"/>
            <w:vAlign w:val="bottom"/>
          </w:tcPr>
          <w:p>
            <w:pPr>
              <w:jc w:val="right"/>
              <w:ind w:right="270"/>
              <w:spacing w:after="0"/>
              <w:rPr>
                <w:sz w:val="20"/>
                <w:szCs w:val="20"/>
                <w:color w:val="auto"/>
              </w:rPr>
            </w:pPr>
            <w:r>
              <w:rPr>
                <w:rFonts w:ascii="Arial" w:cs="Arial" w:eastAsia="Arial" w:hAnsi="Arial"/>
                <w:sz w:val="18"/>
                <w:szCs w:val="18"/>
                <w:color w:val="auto"/>
              </w:rPr>
              <w:t>40</w:t>
            </w:r>
          </w:p>
        </w:tc>
        <w:tc>
          <w:tcPr>
            <w:tcW w:w="1160" w:type="dxa"/>
            <w:vAlign w:val="bottom"/>
          </w:tcPr>
          <w:p>
            <w:pPr>
              <w:spacing w:after="0"/>
              <w:rPr>
                <w:sz w:val="24"/>
                <w:szCs w:val="24"/>
                <w:color w:val="auto"/>
              </w:rPr>
            </w:pPr>
          </w:p>
        </w:tc>
        <w:tc>
          <w:tcPr>
            <w:tcW w:w="4080" w:type="dxa"/>
            <w:vAlign w:val="bottom"/>
          </w:tcPr>
          <w:p>
            <w:pPr>
              <w:spacing w:after="0"/>
              <w:rPr>
                <w:sz w:val="24"/>
                <w:szCs w:val="24"/>
                <w:color w:val="auto"/>
              </w:rPr>
            </w:pPr>
          </w:p>
        </w:tc>
      </w:tr>
      <w:tr>
        <w:trPr>
          <w:trHeight w:val="237"/>
        </w:trPr>
        <w:tc>
          <w:tcPr>
            <w:tcW w:w="3620" w:type="dxa"/>
            <w:vAlign w:val="bottom"/>
            <w:tcBorders>
              <w:bottom w:val="single" w:sz="8" w:color="C0C0C0"/>
            </w:tcBorders>
          </w:tcPr>
          <w:p>
            <w:pPr>
              <w:spacing w:after="0"/>
              <w:rPr>
                <w:sz w:val="20"/>
                <w:szCs w:val="20"/>
                <w:color w:val="auto"/>
              </w:rPr>
            </w:pPr>
          </w:p>
        </w:tc>
        <w:tc>
          <w:tcPr>
            <w:tcW w:w="2560" w:type="dxa"/>
            <w:vAlign w:val="bottom"/>
            <w:tcBorders>
              <w:bottom w:val="single" w:sz="8" w:color="C0C0C0"/>
            </w:tcBorders>
          </w:tcPr>
          <w:p>
            <w:pPr>
              <w:spacing w:after="0"/>
              <w:rPr>
                <w:sz w:val="20"/>
                <w:szCs w:val="20"/>
                <w:color w:val="auto"/>
              </w:rPr>
            </w:pPr>
          </w:p>
        </w:tc>
        <w:tc>
          <w:tcPr>
            <w:tcW w:w="1160" w:type="dxa"/>
            <w:vAlign w:val="bottom"/>
            <w:tcBorders>
              <w:bottom w:val="single" w:sz="8" w:color="C0C0C0"/>
            </w:tcBorders>
          </w:tcPr>
          <w:p>
            <w:pPr>
              <w:spacing w:after="0"/>
              <w:rPr>
                <w:sz w:val="20"/>
                <w:szCs w:val="20"/>
                <w:color w:val="auto"/>
              </w:rPr>
            </w:pPr>
          </w:p>
        </w:tc>
        <w:tc>
          <w:tcPr>
            <w:tcW w:w="4080" w:type="dxa"/>
            <w:vAlign w:val="bottom"/>
            <w:tcBorders>
              <w:bottom w:val="single" w:sz="8" w:color="C0C0C0"/>
            </w:tcBorders>
          </w:tcPr>
          <w:p>
            <w:pPr>
              <w:spacing w:after="0"/>
              <w:rPr>
                <w:sz w:val="20"/>
                <w:szCs w:val="20"/>
                <w:color w:val="auto"/>
              </w:rPr>
            </w:pPr>
          </w:p>
        </w:tc>
      </w:tr>
    </w:tbl>
    <w:p>
      <w:pPr>
        <w:sectPr>
          <w:pgSz w:w="11900" w:h="16838" w:orient="portrait"/>
          <w:cols w:equalWidth="0" w:num="1">
            <w:col w:w="11420"/>
          </w:cols>
          <w:pgMar w:left="240" w:top="400" w:right="239" w:bottom="1440" w:gutter="0" w:footer="0" w:header="0"/>
        </w:sectPr>
      </w:pPr>
    </w:p>
    <w:bookmarkStart w:id="40" w:name="page41"/>
    <w:bookmarkEnd w:id="40"/>
    <w:p>
      <w:pPr>
        <w:jc w:val="right"/>
        <w:spacing w:after="0"/>
        <w:rPr>
          <w:sz w:val="20"/>
          <w:szCs w:val="20"/>
          <w:color w:val="auto"/>
        </w:rPr>
      </w:pPr>
      <w:r>
        <w:rPr>
          <w:rFonts w:ascii="Arial" w:cs="Arial" w:eastAsia="Arial" w:hAnsi="Arial"/>
          <w:sz w:val="22"/>
          <w:szCs w:val="22"/>
          <w:color w:val="auto"/>
        </w:rPr>
        <w:t>Exhibit 3(i)</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Amended and Restated Certificate of Incorporation</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of</w:t>
      </w:r>
    </w:p>
    <w:p>
      <w:pPr>
        <w:jc w:val="center"/>
        <w:spacing w:after="0"/>
        <w:rPr>
          <w:sz w:val="20"/>
          <w:szCs w:val="20"/>
          <w:color w:val="auto"/>
        </w:rPr>
      </w:pPr>
      <w:r>
        <w:rPr>
          <w:rFonts w:ascii="Arial" w:cs="Arial" w:eastAsia="Arial" w:hAnsi="Arial"/>
          <w:sz w:val="22"/>
          <w:szCs w:val="22"/>
          <w:b w:val="1"/>
          <w:bCs w:val="1"/>
          <w:color w:val="auto"/>
        </w:rPr>
        <w:t>Honeywell International Inc.</w:t>
      </w:r>
    </w:p>
    <w:p>
      <w:pPr>
        <w:spacing w:after="0" w:line="215"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1"/>
          <w:szCs w:val="21"/>
          <w:color w:val="auto"/>
        </w:rPr>
        <w:t>Honeywell International Inc., which was originally incorporated in the State of Delaware on May 13, 1985, under the name of East/West Newco Corporation (the “Corporation”), hereby certifies that this Amended and Restated Certificate of Incorporation was duly adopted in accordance with the provisions of Sections 242 and 245 of the General Corporation Law of the State of Delaware. This Amended and Restated Certificate of Incorporation amends, restates and integrates the provisions of the Corporation’s certificate of incorporation as hereby amended. The Corporation certifies as follows:</w:t>
      </w:r>
    </w:p>
    <w:p>
      <w:pPr>
        <w:spacing w:after="0" w:line="206" w:lineRule="exact"/>
        <w:rPr>
          <w:sz w:val="20"/>
          <w:szCs w:val="20"/>
          <w:color w:val="auto"/>
        </w:rPr>
      </w:pPr>
    </w:p>
    <w:p>
      <w:pPr>
        <w:jc w:val="both"/>
        <w:ind w:left="980" w:hanging="324"/>
        <w:spacing w:after="0"/>
        <w:tabs>
          <w:tab w:leader="none" w:pos="980" w:val="left"/>
        </w:tabs>
        <w:numPr>
          <w:ilvl w:val="0"/>
          <w:numId w:val="12"/>
        </w:numPr>
        <w:rPr>
          <w:rFonts w:ascii="Arial" w:cs="Arial" w:eastAsia="Arial" w:hAnsi="Arial"/>
          <w:sz w:val="22"/>
          <w:szCs w:val="22"/>
          <w:color w:val="auto"/>
        </w:rPr>
      </w:pPr>
      <w:r>
        <w:rPr>
          <w:rFonts w:ascii="Arial" w:cs="Arial" w:eastAsia="Arial" w:hAnsi="Arial"/>
          <w:sz w:val="22"/>
          <w:szCs w:val="22"/>
          <w:color w:val="auto"/>
        </w:rPr>
        <w:t>The Board of Directors of the Corporation by duly convened meeting of its members declared it advisable to amend the certificate of incorporation and adopted resolutions setting forth the proposed amendments in accordance with the applicable provisions of Sections 242 and 245.</w:t>
      </w:r>
    </w:p>
    <w:p>
      <w:pPr>
        <w:spacing w:after="0" w:line="213" w:lineRule="exact"/>
        <w:rPr>
          <w:rFonts w:ascii="Arial" w:cs="Arial" w:eastAsia="Arial" w:hAnsi="Arial"/>
          <w:sz w:val="22"/>
          <w:szCs w:val="22"/>
          <w:color w:val="auto"/>
        </w:rPr>
      </w:pPr>
    </w:p>
    <w:p>
      <w:pPr>
        <w:ind w:left="980" w:hanging="324"/>
        <w:spacing w:after="0" w:line="274" w:lineRule="auto"/>
        <w:tabs>
          <w:tab w:leader="none" w:pos="980" w:val="left"/>
        </w:tabs>
        <w:numPr>
          <w:ilvl w:val="0"/>
          <w:numId w:val="12"/>
        </w:numPr>
        <w:rPr>
          <w:rFonts w:ascii="Arial" w:cs="Arial" w:eastAsia="Arial" w:hAnsi="Arial"/>
          <w:sz w:val="21"/>
          <w:szCs w:val="21"/>
          <w:color w:val="auto"/>
        </w:rPr>
      </w:pPr>
      <w:r>
        <w:rPr>
          <w:rFonts w:ascii="Arial" w:cs="Arial" w:eastAsia="Arial" w:hAnsi="Arial"/>
          <w:sz w:val="21"/>
          <w:szCs w:val="21"/>
          <w:color w:val="auto"/>
        </w:rPr>
        <w:t>The aforesaid amendments were duly adopted at an annual meeting of the shareholders in accordance with the applicable provisions of Sections 242 and 245 of the General Corporation Law of the State of Delaware.</w:t>
      </w:r>
    </w:p>
    <w:p>
      <w:pPr>
        <w:spacing w:after="0" w:line="177" w:lineRule="exact"/>
        <w:rPr>
          <w:rFonts w:ascii="Arial" w:cs="Arial" w:eastAsia="Arial" w:hAnsi="Arial"/>
          <w:sz w:val="21"/>
          <w:szCs w:val="21"/>
          <w:color w:val="auto"/>
        </w:rPr>
      </w:pPr>
    </w:p>
    <w:p>
      <w:pPr>
        <w:ind w:left="980" w:hanging="324"/>
        <w:spacing w:after="0" w:line="251" w:lineRule="auto"/>
        <w:tabs>
          <w:tab w:leader="none" w:pos="980" w:val="left"/>
        </w:tabs>
        <w:numPr>
          <w:ilvl w:val="0"/>
          <w:numId w:val="12"/>
        </w:numPr>
        <w:rPr>
          <w:rFonts w:ascii="Arial" w:cs="Arial" w:eastAsia="Arial" w:hAnsi="Arial"/>
          <w:sz w:val="22"/>
          <w:szCs w:val="22"/>
          <w:color w:val="auto"/>
        </w:rPr>
      </w:pPr>
      <w:r>
        <w:rPr>
          <w:rFonts w:ascii="Arial" w:cs="Arial" w:eastAsia="Arial" w:hAnsi="Arial"/>
          <w:sz w:val="22"/>
          <w:szCs w:val="22"/>
          <w:color w:val="auto"/>
        </w:rPr>
        <w:t>The text of the certificate of incorporation as heretofore amended is hereby restated to read in its entirety as Exhibit A attached hereto.</w:t>
      </w:r>
    </w:p>
    <w:p>
      <w:pPr>
        <w:spacing w:after="0" w:line="200" w:lineRule="exact"/>
        <w:rPr>
          <w:sz w:val="20"/>
          <w:szCs w:val="20"/>
          <w:color w:val="auto"/>
        </w:rPr>
      </w:pPr>
    </w:p>
    <w:p>
      <w:pPr>
        <w:ind w:left="6860"/>
        <w:spacing w:after="0"/>
        <w:rPr>
          <w:sz w:val="20"/>
          <w:szCs w:val="20"/>
          <w:color w:val="auto"/>
        </w:rPr>
      </w:pPr>
      <w:r>
        <w:rPr>
          <w:rFonts w:ascii="Arial" w:cs="Arial" w:eastAsia="Arial" w:hAnsi="Arial"/>
          <w:sz w:val="22"/>
          <w:szCs w:val="22"/>
          <w:color w:val="auto"/>
        </w:rPr>
        <w:t>Honeywell International Inc.</w:t>
      </w:r>
    </w:p>
    <w:p>
      <w:pPr>
        <w:spacing w:after="0" w:line="233" w:lineRule="exact"/>
        <w:rPr>
          <w:sz w:val="20"/>
          <w:szCs w:val="20"/>
          <w:color w:val="auto"/>
        </w:rPr>
      </w:pPr>
    </w:p>
    <w:p>
      <w:pPr>
        <w:ind w:left="6860"/>
        <w:spacing w:after="0"/>
        <w:rPr>
          <w:sz w:val="20"/>
          <w:szCs w:val="20"/>
          <w:color w:val="auto"/>
        </w:rPr>
      </w:pPr>
      <w:r>
        <w:rPr>
          <w:rFonts w:ascii="Arial" w:cs="Arial" w:eastAsia="Arial" w:hAnsi="Arial"/>
          <w:sz w:val="22"/>
          <w:szCs w:val="22"/>
          <w:color w:val="auto"/>
        </w:rPr>
        <w:t>/s/ Anne T. Madden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7620</wp:posOffset>
            </wp:positionV>
            <wp:extent cx="289877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27" w:lineRule="exact"/>
        <w:rPr>
          <w:sz w:val="20"/>
          <w:szCs w:val="20"/>
          <w:color w:val="auto"/>
        </w:rPr>
      </w:pPr>
    </w:p>
    <w:p>
      <w:pPr>
        <w:ind w:left="6860"/>
        <w:spacing w:after="0"/>
        <w:rPr>
          <w:sz w:val="20"/>
          <w:szCs w:val="20"/>
          <w:color w:val="auto"/>
        </w:rPr>
      </w:pPr>
      <w:r>
        <w:rPr>
          <w:rFonts w:ascii="Arial" w:cs="Arial" w:eastAsia="Arial" w:hAnsi="Arial"/>
          <w:sz w:val="22"/>
          <w:szCs w:val="22"/>
          <w:color w:val="auto"/>
        </w:rPr>
        <w:t>Anne T. Madden</w:t>
      </w:r>
    </w:p>
    <w:p>
      <w:pPr>
        <w:ind w:left="6860"/>
        <w:spacing w:after="0" w:line="238" w:lineRule="auto"/>
        <w:rPr>
          <w:sz w:val="20"/>
          <w:szCs w:val="20"/>
          <w:color w:val="auto"/>
        </w:rPr>
      </w:pPr>
      <w:r>
        <w:rPr>
          <w:rFonts w:ascii="Arial" w:cs="Arial" w:eastAsia="Arial" w:hAnsi="Arial"/>
          <w:sz w:val="22"/>
          <w:szCs w:val="22"/>
          <w:color w:val="auto"/>
        </w:rPr>
        <w:t>Senior Vice President, General Counsel and</w:t>
      </w:r>
    </w:p>
    <w:p>
      <w:pPr>
        <w:ind w:left="6860"/>
        <w:spacing w:after="0"/>
        <w:rPr>
          <w:sz w:val="20"/>
          <w:szCs w:val="20"/>
          <w:color w:val="auto"/>
        </w:rPr>
      </w:pPr>
      <w:r>
        <w:rPr>
          <w:rFonts w:ascii="Arial" w:cs="Arial" w:eastAsia="Arial" w:hAnsi="Arial"/>
          <w:sz w:val="22"/>
          <w:szCs w:val="22"/>
          <w:color w:val="auto"/>
        </w:rPr>
        <w:t>Corporate Secretary</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Dated: April 23,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161925</wp:posOffset>
            </wp:positionV>
            <wp:extent cx="7246620" cy="342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41" w:name="page42"/>
    <w:bookmarkEnd w:id="41"/>
    <w:p>
      <w:pPr>
        <w:jc w:val="right"/>
        <w:spacing w:after="0"/>
        <w:rPr>
          <w:sz w:val="20"/>
          <w:szCs w:val="20"/>
          <w:color w:val="auto"/>
        </w:rPr>
      </w:pPr>
      <w:r>
        <w:rPr>
          <w:rFonts w:ascii="Arial" w:cs="Arial" w:eastAsia="Arial" w:hAnsi="Arial"/>
          <w:sz w:val="22"/>
          <w:szCs w:val="22"/>
          <w:b w:val="1"/>
          <w:bCs w:val="1"/>
          <w:color w:val="auto"/>
        </w:rPr>
        <w:t>Exhibit A</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Amended and Restated Certificate of Incorporation</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of</w:t>
      </w:r>
    </w:p>
    <w:p>
      <w:pPr>
        <w:jc w:val="center"/>
        <w:spacing w:after="0"/>
        <w:rPr>
          <w:sz w:val="20"/>
          <w:szCs w:val="20"/>
          <w:color w:val="auto"/>
        </w:rPr>
      </w:pPr>
      <w:r>
        <w:rPr>
          <w:rFonts w:ascii="Arial" w:cs="Arial" w:eastAsia="Arial" w:hAnsi="Arial"/>
          <w:sz w:val="22"/>
          <w:szCs w:val="22"/>
          <w:b w:val="1"/>
          <w:bCs w:val="1"/>
          <w:color w:val="auto"/>
        </w:rPr>
        <w:t>Honeywell International Inc.</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FIRST: The name of the corporation is Honeywell International Inc.</w:t>
      </w:r>
    </w:p>
    <w:p>
      <w:pPr>
        <w:spacing w:after="0" w:line="233"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SECOND: The address of the registered office of the corporation in the State of Delaware is 251 Little Falls Drive, Wilmington, New Castle County, Delaware 19808. The name of its registered agent at that address is Corporation Service Company.</w:t>
      </w:r>
    </w:p>
    <w:p>
      <w:pPr>
        <w:spacing w:after="0" w:line="213"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THIRD: The purpose of the corporation is to engage in any lawful act or activity for which a corporation may be organized under the General Corporation Law of the State of Delaware as set forth in Title 8 of the Delaware Code.</w:t>
      </w:r>
    </w:p>
    <w:p>
      <w:pPr>
        <w:spacing w:after="0" w:line="200"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FOURTH: The total number of shares of stock which the corporation shall have authority to issue is 2,040,000,000 shares of which 2,000,000,000 shares shall be Common Stock, par value $1.00 per share (“Common Shares”), and 40,000,000 shares shall be Preferred Stock, without par value (“Preferred Stock”).</w:t>
      </w:r>
    </w:p>
    <w:p>
      <w:pPr>
        <w:spacing w:after="0" w:line="21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1"/>
          <w:szCs w:val="21"/>
          <w:color w:val="auto"/>
        </w:rPr>
        <w:t>FIFTH: From time to time the corporation may issue and may sell its authorized shares for such consideration per share (with respect to shares having a par value, not less than the par value thereof), either in money or money’s worth of property or services, or for such other considerations, whether greater or less, now or from time to time hereafter permitted by law, as may be fixed by the Board of Directors; and all shares so issued shall be fully paid and nonassessable.</w:t>
      </w:r>
    </w:p>
    <w:p>
      <w:pPr>
        <w:spacing w:after="0" w:line="201"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No holder of any shares of any class shall as such holder have any preemptive right to subscribe for or purchase any other shares or securities of any class, whether now or hereafter authorized, which at any time may be offered for sale or sold by the corporation.</w:t>
      </w:r>
    </w:p>
    <w:p>
      <w:pPr>
        <w:spacing w:after="0" w:line="213"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Each holder of record of the Common Shares of the corporation shall be entitled to one vote for every Common Share standing in his name on the books of the corporation.</w:t>
      </w:r>
    </w:p>
    <w:p>
      <w:pPr>
        <w:spacing w:after="0" w:line="200"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9"/>
          <w:szCs w:val="19"/>
          <w:color w:val="auto"/>
        </w:rPr>
        <w:t>The corporation may issue Preferred Stock from time to time in one or more series as the Board of Directors may establish by the adoption of a resolution or resolutions relating thereto, each series to have such voting powers, full or limited, or no voting powers, and such designations, preferences and relative, participating, optional or other special rights, and qualifications, limitations or restrictions thereof, as shall be stated and expressed in the resolution or resolutions providing for the issue of such series adopted by the Board of Directors pursuant to authority to do so, which authority is hereby granted to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7246620" cy="342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396" w:right="239" w:bottom="1440" w:gutter="0" w:footer="0" w:header="0"/>
        </w:sectPr>
      </w:pPr>
    </w:p>
    <w:bookmarkStart w:id="42" w:name="page43"/>
    <w:bookmarkEnd w:id="42"/>
    <w:p>
      <w:pPr>
        <w:ind w:left="660"/>
        <w:spacing w:after="0"/>
        <w:rPr>
          <w:sz w:val="20"/>
          <w:szCs w:val="20"/>
          <w:color w:val="auto"/>
        </w:rPr>
      </w:pPr>
      <w:r>
        <w:rPr>
          <w:rFonts w:ascii="Arial" w:cs="Arial" w:eastAsia="Arial" w:hAnsi="Arial"/>
          <w:sz w:val="22"/>
          <w:szCs w:val="22"/>
          <w:color w:val="auto"/>
        </w:rPr>
        <w:t>SIXTH: The duration of the corporation is to be perpetual.</w:t>
      </w:r>
    </w:p>
    <w:p>
      <w:pPr>
        <w:spacing w:after="0" w:line="233"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21"/>
          <w:szCs w:val="21"/>
          <w:color w:val="auto"/>
        </w:rPr>
        <w:t>SEVENTH: Except as otherwise provided pursuant to the provisions of this Certificate of Incorporation relating to the rights of certain holders of Preferred Stock to elect additional Directors under specified circumstances, the number of Directors of the corporation shall be determined from time to time in the manner described in the By-laws. The Directors, other than those who may be elected by the holders of Preferred Stock pursuant to this Certificate of Incorporation, shall be elected by the holders of the then outstanding shares of capital stock of the corporation entitled to vote generally in the election of Directors (the “Voting Stock”), voting together as a single class, and shall hold office until the next annual meeting of stockholders and until their successors have been elected and qualified. Directors serving on April 25, 2005 shall hold office until the next succeeding annual meeting of stockholders and until their successors shall have been elected and qualified, notwithstanding that such directors may have been elected for a term that extended beyond the date of such annual meeting of stockholders. No Director need be a stockholder.</w:t>
      </w:r>
    </w:p>
    <w:p>
      <w:pPr>
        <w:spacing w:after="0" w:line="20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9"/>
          <w:szCs w:val="19"/>
          <w:color w:val="auto"/>
        </w:rPr>
        <w:t>Except as otherwise provided pursuant to this Certificate of Incorporation relating to the rights of certain holders of Preferred Stock to elect Directors under specified circumstances, newly created directorships resulting from any increase in the number of Directors and any vacancies on the Board of Directors resulting from death, resignation, disqualification, removal or other cause shall be filled by the affirmative vote of a majority of the remaining Directors then in office, even if less than a quorum of the Board of Directors, or by a sole remaining director. Any Director elected in accordance with the preceding sentence shall hold office until the annual meeting of stockholders at which the term of office of the class to which such Director has been elected expires, and until such Director’s successor shall have been elected and qualified. No decrease in the number of Directors constituting the Board of Directors shall shorten the term of any incumbent Director.</w:t>
      </w:r>
    </w:p>
    <w:p>
      <w:pPr>
        <w:spacing w:after="0" w:line="185"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Subject to the rights of certain holders of Preferred Stock to elect Directors under circumstances specified in this Certificate of Incorporation, Directors may be removed from office, with or without cause, by the affirmative vote of the holders of a majority of the Voting Stock, voting together as a single class.</w:t>
      </w:r>
    </w:p>
    <w:p>
      <w:pPr>
        <w:spacing w:after="0" w:line="213"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EIGHTH: The By-laws of the corporation may contain provisions, not inconsistent with law or this Certificate of Incorporation, relating to the management of the business of the corporation, the regulation of its affairs, the transfer of its stock, the qualifications, compensation and powers and duties of its Directors and the time and place and the manner of calling the meetings of its stockholders and Directors.</w:t>
      </w:r>
    </w:p>
    <w:p>
      <w:pPr>
        <w:spacing w:after="0" w:line="212"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The Board of Directors may from time to time fix, determine and vary the amount of the working capital of the corporation, may determine what part, if any, (i) of its surplus or (ii) in case there shall be no such surplus, of its net profits for the fiscal year in which the dividend is declared and/or the preceding fiscal year shall be declared as dividends and paid to the stockholders, may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246620" cy="342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2" w:right="239" w:bottom="1440" w:gutter="0" w:footer="0" w:header="0"/>
        </w:sectPr>
      </w:pPr>
    </w:p>
    <w:bookmarkStart w:id="43" w:name="page44"/>
    <w:bookmarkEnd w:id="43"/>
    <w:p>
      <w:pPr>
        <w:jc w:val="both"/>
        <w:spacing w:after="0"/>
        <w:rPr>
          <w:sz w:val="20"/>
          <w:szCs w:val="20"/>
          <w:color w:val="auto"/>
        </w:rPr>
      </w:pPr>
      <w:r>
        <w:rPr>
          <w:rFonts w:ascii="Arial" w:cs="Arial" w:eastAsia="Arial" w:hAnsi="Arial"/>
          <w:sz w:val="22"/>
          <w:szCs w:val="22"/>
          <w:color w:val="auto"/>
        </w:rPr>
        <w:t>determine the time or times for the declaration and payment of dividends, the amount thereof and whether they are to be in cash, property or shares of the capital stock of the corporation and may direct and determine the use and disposition of any surplus over and above the capital of the corporation.</w:t>
      </w:r>
    </w:p>
    <w:p>
      <w:pPr>
        <w:spacing w:after="0" w:line="213"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The Board of Directors may from time to time make, amend, supplement or repeal the By-laws; provided, however, that the stockholders may change or repeal any By-law adopted by the Board of Directors.</w:t>
      </w:r>
    </w:p>
    <w:p>
      <w:pPr>
        <w:spacing w:after="0" w:line="200"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The Board of Directors shall, except as otherwise provided by law, this Certificate of Incorporation or the By-laws, exercise the powers of the corporation.</w:t>
      </w:r>
    </w:p>
    <w:p>
      <w:pPr>
        <w:spacing w:after="0" w:line="200"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Pursuant to the By-laws, an Executive Committee and/or one or more other committees may be appointed from among the Directors or otherwise, to which may be delegated any of or all the powers and duties of the Board of Directors, to the full extent permitted by law.</w:t>
      </w:r>
    </w:p>
    <w:p>
      <w:pPr>
        <w:spacing w:after="0" w:line="213"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9"/>
          <w:szCs w:val="19"/>
          <w:color w:val="auto"/>
        </w:rPr>
        <w:t>Except as otherwise required by law and subject to the rights of the holders of the Preferred Stock pursuant to the provisions of this Certificate of Incorporation, special meetings of stockholders may be called only by (i) the Chief Executive Officer, (ii) the Board of Directors pursuant to a resolution approved by a majority of the then authorized number of Directors of the corporation (as determined in accordance with the By-laws), or (iii) the Secretary upon the written request (a “Special Meeting Request”) of holders Owning (as such term is defined in Section 3 of Article II of the By-laws) not less than 15% of the outstanding shares of the Corporation’s Common Stock as of the date of such request (the “Requisite Percent”), filed with the Secretary of the Corporation and otherwise in accordance with the By-laws. Whether the requesting holders have complied with the requirements of this Article and related provisions of the By-laws shall be determined in good faith by the Board, which determination shall be conclusive and binding on the Corporation and the stockholders.</w:t>
      </w:r>
    </w:p>
    <w:p>
      <w:pPr>
        <w:spacing w:after="0" w:line="186"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2"/>
          <w:szCs w:val="22"/>
          <w:color w:val="auto"/>
        </w:rPr>
        <w:t>No contract or other transaction of the corporation shall be void, voidable, fraudulent or otherwise invalidated, impaired or affected, in any respect, by reason of the fact that any one or more of the officers, Directors or stockholders of the corporation shall individually be party or parties thereto or otherwise interested therein, or shall be officers, directors or stockholders of any other corporation or corporations which shall be party or parties thereto or otherwise interested therein; provided that such contract or other transactions be duly authorized or ratified by the Board of Directors or Executive Committee, with the assenting vote of a majority of the disinterested Directors or Executive Committeemen then present, or, if only one such is present, with his assenting vote.</w:t>
      </w:r>
    </w:p>
    <w:p>
      <w:pPr>
        <w:spacing w:after="0" w:line="218" w:lineRule="exact"/>
        <w:rPr>
          <w:sz w:val="20"/>
          <w:szCs w:val="20"/>
          <w:color w:val="auto"/>
        </w:rPr>
      </w:pPr>
    </w:p>
    <w:p>
      <w:pPr>
        <w:jc w:val="both"/>
        <w:ind w:right="20" w:firstLine="648"/>
        <w:spacing w:after="0" w:line="251" w:lineRule="auto"/>
        <w:rPr>
          <w:sz w:val="20"/>
          <w:szCs w:val="20"/>
          <w:color w:val="auto"/>
        </w:rPr>
      </w:pPr>
      <w:r>
        <w:rPr>
          <w:rFonts w:ascii="Arial" w:cs="Arial" w:eastAsia="Arial" w:hAnsi="Arial"/>
          <w:sz w:val="22"/>
          <w:szCs w:val="22"/>
          <w:color w:val="auto"/>
        </w:rPr>
        <w:t>NINTH: No stockholder action may be taken except at an annual or special meeting of stockholders of the corporation and stockholders may not take any action by written consent in lieu of a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140970</wp:posOffset>
            </wp:positionV>
            <wp:extent cx="7246620" cy="342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2" w:right="239" w:bottom="1440" w:gutter="0" w:footer="0" w:header="0"/>
        </w:sectPr>
      </w:pPr>
    </w:p>
    <w:bookmarkStart w:id="44" w:name="page45"/>
    <w:bookmarkEnd w:id="44"/>
    <w:p>
      <w:pPr>
        <w:jc w:val="both"/>
        <w:ind w:firstLine="648"/>
        <w:spacing w:after="0" w:line="238" w:lineRule="auto"/>
        <w:rPr>
          <w:sz w:val="20"/>
          <w:szCs w:val="20"/>
          <w:color w:val="auto"/>
        </w:rPr>
      </w:pPr>
      <w:r>
        <w:rPr>
          <w:rFonts w:ascii="Arial" w:cs="Arial" w:eastAsia="Arial" w:hAnsi="Arial"/>
          <w:sz w:val="22"/>
          <w:szCs w:val="22"/>
          <w:color w:val="auto"/>
        </w:rPr>
        <w:t>TENTH: Unless required by law or demanded by a stockholder of the corporation entitled to vote at a meeting of stockholders or determined by the chairman of such meeting to be advisable, the vote on any question need not be by ballot. On a vote by ballot, each ballot shall be signed by the stockholder voting, or his proxy if there be such proxy, and shall state the number of shares voted by such stockholder or proxy.</w:t>
      </w:r>
    </w:p>
    <w:p>
      <w:pPr>
        <w:spacing w:after="0" w:line="21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9"/>
          <w:szCs w:val="19"/>
          <w:color w:val="auto"/>
        </w:rPr>
        <w:t xml:space="preserve">ELEVENTH: (1) </w:t>
      </w:r>
      <w:r>
        <w:rPr>
          <w:rFonts w:ascii="Arial" w:cs="Arial" w:eastAsia="Arial" w:hAnsi="Arial"/>
          <w:sz w:val="19"/>
          <w:szCs w:val="19"/>
          <w:i w:val="1"/>
          <w:iCs w:val="1"/>
          <w:color w:val="auto"/>
        </w:rPr>
        <w:t>Elimination of Certain Liability of Directors</w:t>
      </w:r>
      <w:r>
        <w:rPr>
          <w:rFonts w:ascii="Arial" w:cs="Arial" w:eastAsia="Arial" w:hAnsi="Arial"/>
          <w:sz w:val="19"/>
          <w:szCs w:val="19"/>
          <w:color w:val="auto"/>
        </w:rPr>
        <w:t>. A Director of the corporation shall not be personally liable to the corporation or its stockholders for monetary damages for breach of fiduciary duty as a Director, except for liability (i) for any breach of the Director’s duty of loyalty to the corporation or its stockholders, (ii) for acts or omissions not in good faith or which involve intentional misconduct or a knowing violation of law, (iii) under Section 174 of the Delaware General Corporation Law, or</w:t>
      </w:r>
    </w:p>
    <w:p>
      <w:pPr>
        <w:spacing w:after="0" w:line="4" w:lineRule="exact"/>
        <w:rPr>
          <w:sz w:val="20"/>
          <w:szCs w:val="20"/>
          <w:color w:val="auto"/>
        </w:rPr>
      </w:pPr>
    </w:p>
    <w:p>
      <w:pPr>
        <w:jc w:val="both"/>
        <w:ind w:firstLine="8"/>
        <w:spacing w:after="0" w:line="232" w:lineRule="auto"/>
        <w:tabs>
          <w:tab w:leader="none" w:pos="372" w:val="left"/>
        </w:tabs>
        <w:numPr>
          <w:ilvl w:val="0"/>
          <w:numId w:val="13"/>
        </w:numPr>
        <w:rPr>
          <w:rFonts w:ascii="Arial" w:cs="Arial" w:eastAsia="Arial" w:hAnsi="Arial"/>
          <w:sz w:val="22"/>
          <w:szCs w:val="22"/>
          <w:color w:val="auto"/>
        </w:rPr>
      </w:pPr>
      <w:r>
        <w:rPr>
          <w:rFonts w:ascii="Arial" w:cs="Arial" w:eastAsia="Arial" w:hAnsi="Arial"/>
          <w:sz w:val="22"/>
          <w:szCs w:val="22"/>
          <w:color w:val="auto"/>
        </w:rPr>
        <w:t>for any transaction from which the Director derived an improper personal benefit. If the Delaware General Corporation Law is amended after approval by the stockholders of this Article ELEVENTH to authorize corporate action further eliminating or limiting the personal liability of directors, then the liability of a Director of the corporation shall be eliminated or limited to the fullest extent permitted by the Delaware General Corporation Law, as so amended. Any repeal or modification of this Section by the stockholders of the corporation shall not adversely affect any right or protection of a Director of the corporation existing at the time of such repeal or modification.</w:t>
      </w:r>
    </w:p>
    <w:p>
      <w:pPr>
        <w:spacing w:after="0" w:line="216" w:lineRule="exact"/>
        <w:rPr>
          <w:rFonts w:ascii="Arial" w:cs="Arial" w:eastAsia="Arial" w:hAnsi="Arial"/>
          <w:sz w:val="22"/>
          <w:szCs w:val="22"/>
          <w:color w:val="auto"/>
        </w:rPr>
      </w:pPr>
    </w:p>
    <w:p>
      <w:pPr>
        <w:ind w:left="960" w:hanging="304"/>
        <w:spacing w:after="0"/>
        <w:tabs>
          <w:tab w:leader="none" w:pos="960" w:val="left"/>
        </w:tabs>
        <w:numPr>
          <w:ilvl w:val="1"/>
          <w:numId w:val="13"/>
        </w:numPr>
        <w:rPr>
          <w:rFonts w:ascii="Arial" w:cs="Arial" w:eastAsia="Arial" w:hAnsi="Arial"/>
          <w:sz w:val="22"/>
          <w:szCs w:val="22"/>
          <w:color w:val="auto"/>
        </w:rPr>
      </w:pPr>
      <w:r>
        <w:rPr>
          <w:rFonts w:ascii="Arial" w:cs="Arial" w:eastAsia="Arial" w:hAnsi="Arial"/>
          <w:sz w:val="22"/>
          <w:szCs w:val="22"/>
          <w:i w:val="1"/>
          <w:iCs w:val="1"/>
          <w:color w:val="auto"/>
        </w:rPr>
        <w:t>Indemnification and Insurance.</w:t>
      </w:r>
    </w:p>
    <w:p>
      <w:pPr>
        <w:spacing w:after="0" w:line="233" w:lineRule="exact"/>
        <w:rPr>
          <w:sz w:val="20"/>
          <w:szCs w:val="20"/>
          <w:color w:val="auto"/>
        </w:rPr>
      </w:pPr>
    </w:p>
    <w:p>
      <w:pPr>
        <w:jc w:val="both"/>
        <w:ind w:firstLine="656"/>
        <w:spacing w:after="0" w:line="271" w:lineRule="auto"/>
        <w:tabs>
          <w:tab w:leader="none" w:pos="1002" w:val="left"/>
        </w:tabs>
        <w:numPr>
          <w:ilvl w:val="0"/>
          <w:numId w:val="14"/>
        </w:numPr>
        <w:rPr>
          <w:rFonts w:ascii="Arial" w:cs="Arial" w:eastAsia="Arial" w:hAnsi="Arial"/>
          <w:sz w:val="19"/>
          <w:szCs w:val="19"/>
          <w:color w:val="auto"/>
        </w:rPr>
      </w:pPr>
      <w:r>
        <w:rPr>
          <w:rFonts w:ascii="Arial" w:cs="Arial" w:eastAsia="Arial" w:hAnsi="Arial"/>
          <w:sz w:val="19"/>
          <w:szCs w:val="19"/>
          <w:i w:val="1"/>
          <w:iCs w:val="1"/>
          <w:color w:val="auto"/>
        </w:rPr>
        <w:t>Right to Indemnification</w:t>
      </w:r>
      <w:r>
        <w:rPr>
          <w:rFonts w:ascii="Arial" w:cs="Arial" w:eastAsia="Arial" w:hAnsi="Arial"/>
          <w:sz w:val="19"/>
          <w:szCs w:val="19"/>
          <w:color w:val="auto"/>
        </w:rPr>
        <w:t>. Each person who was or is made a party or is threatened to be made a party to or is otherwise</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involved in any action, suit or proceeding, whether civil, criminal, administrative or investigative (hereinafter a “proceeding”), by reason of the fact that he or she, or a person of whom he or she is the legal representative, is or was a Director, officer or employee of the corporation or is or was serving at the request of the corporation as a director, officer, employee or agent of another corporation or of a partnership, joint venture, trust or other enterprise, including service with respect to employee benefit plans (hereinafter, an “indemnitee”), whether the basis of such proceeding is alleged action in an official capacity as a Director, officer, employee or agent or in any other capacity while serving as a Director, officer, employee or agent, shall be indemnified and held harmless by the corporation to the fullest extent authorized by the Delaware General Corporation Law, as the same exists or may hereafter be amended (but, in the case of any such amendment, only to the extent that such amendment permits the corporation to provide broader indemnification rights than said Law permitted the corporation to provide prior to such amendment), against all expense, liability and loss (including attorneys’ fees, judgments, fines, ERISA excise taxes or penalties and amounts paid or to be paid in settlement) reasonably incurred or suffered by such indemnitee in connection therewith and such indemnification shall continue as to an indemnitee who has ceased to be a Director, officer, employee or agent and shall inure to the benefit of the indemnitee’s heirs, executors and administrators; </w:t>
      </w:r>
      <w:r>
        <w:rPr>
          <w:rFonts w:ascii="Arial" w:cs="Arial" w:eastAsia="Arial" w:hAnsi="Arial"/>
          <w:sz w:val="19"/>
          <w:szCs w:val="19"/>
          <w:i w:val="1"/>
          <w:iCs w:val="1"/>
          <w:color w:val="auto"/>
        </w:rPr>
        <w:t>provided, however</w:t>
      </w:r>
      <w:r>
        <w:rPr>
          <w:rFonts w:ascii="Arial" w:cs="Arial" w:eastAsia="Arial" w:hAnsi="Arial"/>
          <w:sz w:val="19"/>
          <w:szCs w:val="19"/>
          <w:color w:val="auto"/>
        </w:rPr>
        <w:t>, that, except as provided in paragraph (B) hereof with respect to proceedings to enforce rights to indemnification, the corporation shall indemnify any such indemnitee in connection with a proceeding (or part thereof) initiated by such indemnitee only if such proceeding (or part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131445</wp:posOffset>
            </wp:positionV>
            <wp:extent cx="7246620" cy="342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2" w:right="239" w:bottom="1440" w:gutter="0" w:footer="0" w:header="0"/>
        </w:sectPr>
      </w:pPr>
    </w:p>
    <w:bookmarkStart w:id="45" w:name="page46"/>
    <w:bookmarkEnd w:id="45"/>
    <w:p>
      <w:pPr>
        <w:jc w:val="both"/>
        <w:spacing w:after="0" w:line="244" w:lineRule="auto"/>
        <w:rPr>
          <w:sz w:val="20"/>
          <w:szCs w:val="20"/>
          <w:color w:val="auto"/>
        </w:rPr>
      </w:pPr>
      <w:r>
        <w:rPr>
          <w:rFonts w:ascii="Arial" w:cs="Arial" w:eastAsia="Arial" w:hAnsi="Arial"/>
          <w:sz w:val="21"/>
          <w:szCs w:val="21"/>
          <w:color w:val="auto"/>
        </w:rPr>
        <w:t xml:space="preserve">was authorized by the Board of Directors of the corporation. The right to indemnification conferred in this Section shall be a contract right and shall include the right to be paid by the corporation the expenses incurred in defending any such proceeding in advance of its final disposition (hereinafter, an “advancement of expenses”); </w:t>
      </w:r>
      <w:r>
        <w:rPr>
          <w:rFonts w:ascii="Arial" w:cs="Arial" w:eastAsia="Arial" w:hAnsi="Arial"/>
          <w:sz w:val="21"/>
          <w:szCs w:val="21"/>
          <w:i w:val="1"/>
          <w:iCs w:val="1"/>
          <w:color w:val="auto"/>
        </w:rPr>
        <w:t>provided, however,</w:t>
      </w:r>
      <w:r>
        <w:rPr>
          <w:rFonts w:ascii="Arial" w:cs="Arial" w:eastAsia="Arial" w:hAnsi="Arial"/>
          <w:sz w:val="21"/>
          <w:szCs w:val="21"/>
          <w:color w:val="auto"/>
        </w:rPr>
        <w:t xml:space="preserve"> that, if the Delaware General Corporation Law requires, an advancement of expenses incurred by an indemnitee in his or her capacity as a Director or officer (and not in any other capacity in which service was or is rendered by such indemnitee, including, without limitation, service to an employee benefit plan) in advance of the final disposition of a proceeding, shall be made only upon delivery to the corporation of an undertaking (hereinafter, an “undertaking”), by or on behalf of such indemnitee, to repay all amounts so advanced if it shall ultimately be determined by final judicial decision from which there is no further right to appeal (hereinafter, a “final adjudication”) that such indemnitee is not entitled to be indemnified for such expenses under this Section or otherwise, and, </w:t>
      </w:r>
      <w:r>
        <w:rPr>
          <w:rFonts w:ascii="Arial" w:cs="Arial" w:eastAsia="Arial" w:hAnsi="Arial"/>
          <w:sz w:val="21"/>
          <w:szCs w:val="21"/>
          <w:i w:val="1"/>
          <w:iCs w:val="1"/>
          <w:color w:val="auto"/>
        </w:rPr>
        <w:t>provided further</w:t>
      </w:r>
      <w:r>
        <w:rPr>
          <w:rFonts w:ascii="Arial" w:cs="Arial" w:eastAsia="Arial" w:hAnsi="Arial"/>
          <w:sz w:val="21"/>
          <w:szCs w:val="21"/>
          <w:color w:val="auto"/>
        </w:rPr>
        <w:t>, that an advancement of expenses incurred by an employee other than a Director or officer in advance of the final disposition of a proceeding shall be made, unless otherwise determined by the Board of Directors, only upon delivery to the corporation of an undertaking by or on behalf of such employee to the same effect as any undertaking required to be delivered by a Director or officer.</w:t>
      </w:r>
    </w:p>
    <w:p>
      <w:pPr>
        <w:spacing w:after="0" w:line="212"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9"/>
          <w:szCs w:val="19"/>
          <w:color w:val="auto"/>
        </w:rPr>
        <w:t>(B</w:t>
      </w:r>
      <w:r>
        <w:rPr>
          <w:rFonts w:ascii="Arial" w:cs="Arial" w:eastAsia="Arial" w:hAnsi="Arial"/>
          <w:sz w:val="19"/>
          <w:szCs w:val="19"/>
          <w:i w:val="1"/>
          <w:iCs w:val="1"/>
          <w:color w:val="auto"/>
        </w:rPr>
        <w:t>) Right of Indemnitee to Bring Suit.</w:t>
      </w:r>
      <w:r>
        <w:rPr>
          <w:rFonts w:ascii="Arial" w:cs="Arial" w:eastAsia="Arial" w:hAnsi="Arial"/>
          <w:sz w:val="19"/>
          <w:szCs w:val="19"/>
          <w:color w:val="auto"/>
        </w:rPr>
        <w:t xml:space="preserve"> If a claim under paragraph (A) of this Section is not paid in full by the corporation within sixty days after a written claim has been received by the corporation, except in the case of a claim for an advancement of expenses, in which case the applicable period shall be twenty days, the indemnitee may at any time thereafter bring suit against the corporation to recover the unpaid amount of the claim. If successful in whole or in part in any such suit, or in a suit brought by the corporation to recover an advancement of expenses pursuant to the terms of an undertaking, the indemnitee shall be entitled to be paid also the expense of prosecuting or defending such suit. In (i) any suit brought by the indemnitee to enforce a right to indemnification hereunder (but not in a suit brought by the indemnitee to enforce a right to an advancement of expenses) it shall be a defense that, and (ii) any suit by the corporation to recover an advancement of expenses pursuant to the terms of an undertaking, the corporation shall be entitled to recover such expenses upon a final adjudication that, the indemnitee has not met the applicable standard of conduct set forth in the Delaware General Corporation Law. Neither the failure of the corporation (including its Board of Directors, independent legal counsel, or its stockholders) to have made a determination prior to the commencement of such suit that indemnification of the indemnitee is proper in the circumstances because the indemnitee has met the applicable standard of conduct set forth in the Delaware General Corporation Law, nor an actual determination by the corporation (including its Board of Directors, independent legal counsel, or its stockholders) that the indemnitee has not met such applicable standard of conduct, shall create a presumption that the indemnitee has not met the applicable standard of conduct or, in the case of such a suit brought by the indemnitee, be a defense to such suit. In any suit brought by the indemnitee to enforce a right to indemnification or to an advancement of expenses hereunder, or by the corporation to recover an advancement of expenses pursuant to the terms of an undertaking, the burden of proving that the indemnitee is not entitled to be indemnified, or to such advancement of expenses, under this Section or otherwise shall be on the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246620" cy="342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2" w:right="239" w:bottom="1440" w:gutter="0" w:footer="0" w:header="0"/>
        </w:sectPr>
      </w:pPr>
    </w:p>
    <w:bookmarkStart w:id="46" w:name="page47"/>
    <w:bookmarkEnd w:id="46"/>
    <w:p>
      <w:pPr>
        <w:jc w:val="both"/>
        <w:ind w:firstLine="656"/>
        <w:spacing w:after="0" w:line="297" w:lineRule="auto"/>
        <w:tabs>
          <w:tab w:leader="none" w:pos="1004" w:val="left"/>
        </w:tabs>
        <w:numPr>
          <w:ilvl w:val="0"/>
          <w:numId w:val="15"/>
        </w:numPr>
        <w:rPr>
          <w:rFonts w:ascii="Arial" w:cs="Arial" w:eastAsia="Arial" w:hAnsi="Arial"/>
          <w:sz w:val="19"/>
          <w:szCs w:val="19"/>
          <w:color w:val="auto"/>
        </w:rPr>
      </w:pPr>
      <w:r>
        <w:rPr>
          <w:rFonts w:ascii="Arial" w:cs="Arial" w:eastAsia="Arial" w:hAnsi="Arial"/>
          <w:sz w:val="19"/>
          <w:szCs w:val="19"/>
          <w:i w:val="1"/>
          <w:iCs w:val="1"/>
          <w:color w:val="auto"/>
        </w:rPr>
        <w:t xml:space="preserve">Non-Exclusivity of Rights. </w:t>
      </w:r>
      <w:r>
        <w:rPr>
          <w:rFonts w:ascii="Arial" w:cs="Arial" w:eastAsia="Arial" w:hAnsi="Arial"/>
          <w:sz w:val="19"/>
          <w:szCs w:val="19"/>
          <w:color w:val="auto"/>
        </w:rPr>
        <w:t>The rights to indemnification and to the advancement of expenses conferred in this Section</w:t>
      </w:r>
      <w:r>
        <w:rPr>
          <w:rFonts w:ascii="Arial" w:cs="Arial" w:eastAsia="Arial" w:hAnsi="Arial"/>
          <w:sz w:val="19"/>
          <w:szCs w:val="19"/>
          <w:i w:val="1"/>
          <w:iCs w:val="1"/>
          <w:color w:val="auto"/>
        </w:rPr>
        <w:t xml:space="preserve"> </w:t>
      </w:r>
      <w:r>
        <w:rPr>
          <w:rFonts w:ascii="Arial" w:cs="Arial" w:eastAsia="Arial" w:hAnsi="Arial"/>
          <w:sz w:val="19"/>
          <w:szCs w:val="19"/>
          <w:color w:val="auto"/>
        </w:rPr>
        <w:t>shall not be exclusive of any other right which any person may have or hereafter acquire under any statute, provision of this Certificate of Incorporation, By-law, agreement, vote of stockholders or disinterested Directors or otherwise.</w:t>
      </w:r>
    </w:p>
    <w:p>
      <w:pPr>
        <w:spacing w:after="0" w:line="161" w:lineRule="exact"/>
        <w:rPr>
          <w:rFonts w:ascii="Arial" w:cs="Arial" w:eastAsia="Arial" w:hAnsi="Arial"/>
          <w:sz w:val="19"/>
          <w:szCs w:val="19"/>
          <w:color w:val="auto"/>
        </w:rPr>
      </w:pPr>
    </w:p>
    <w:p>
      <w:pPr>
        <w:jc w:val="both"/>
        <w:ind w:firstLine="656"/>
        <w:spacing w:after="0" w:line="238" w:lineRule="auto"/>
        <w:tabs>
          <w:tab w:leader="none" w:pos="1002" w:val="left"/>
        </w:tabs>
        <w:numPr>
          <w:ilvl w:val="0"/>
          <w:numId w:val="15"/>
        </w:numPr>
        <w:rPr>
          <w:rFonts w:ascii="Arial" w:cs="Arial" w:eastAsia="Arial" w:hAnsi="Arial"/>
          <w:sz w:val="22"/>
          <w:szCs w:val="22"/>
          <w:color w:val="auto"/>
        </w:rPr>
      </w:pPr>
      <w:r>
        <w:rPr>
          <w:rFonts w:ascii="Arial" w:cs="Arial" w:eastAsia="Arial" w:hAnsi="Arial"/>
          <w:sz w:val="22"/>
          <w:szCs w:val="22"/>
          <w:i w:val="1"/>
          <w:iCs w:val="1"/>
          <w:color w:val="auto"/>
        </w:rPr>
        <w:t>Insurance</w:t>
      </w:r>
      <w:r>
        <w:rPr>
          <w:rFonts w:ascii="Arial" w:cs="Arial" w:eastAsia="Arial" w:hAnsi="Arial"/>
          <w:sz w:val="22"/>
          <w:szCs w:val="22"/>
          <w:color w:val="auto"/>
        </w:rPr>
        <w:t>. The corporation may maintain insurance, at its expense, to protect itself and any Director, officer, employee</w:t>
      </w:r>
      <w:r>
        <w:rPr>
          <w:rFonts w:ascii="Arial" w:cs="Arial" w:eastAsia="Arial" w:hAnsi="Arial"/>
          <w:sz w:val="22"/>
          <w:szCs w:val="22"/>
          <w:i w:val="1"/>
          <w:iCs w:val="1"/>
          <w:color w:val="auto"/>
        </w:rPr>
        <w:t xml:space="preserve"> </w:t>
      </w:r>
      <w:r>
        <w:rPr>
          <w:rFonts w:ascii="Arial" w:cs="Arial" w:eastAsia="Arial" w:hAnsi="Arial"/>
          <w:sz w:val="22"/>
          <w:szCs w:val="22"/>
          <w:color w:val="auto"/>
        </w:rPr>
        <w:t>or agent of the corporation or another corporation, partnership, joint venture, trust or other enterprise against any such expense, liability or loss, whether or not the corporation would have the power to indemnify such person against such expense, liability or loss under the Delaware General Corporation Law.</w:t>
      </w:r>
    </w:p>
    <w:p>
      <w:pPr>
        <w:spacing w:after="0" w:line="212" w:lineRule="exact"/>
        <w:rPr>
          <w:rFonts w:ascii="Arial" w:cs="Arial" w:eastAsia="Arial" w:hAnsi="Arial"/>
          <w:sz w:val="22"/>
          <w:szCs w:val="22"/>
          <w:color w:val="auto"/>
        </w:rPr>
      </w:pPr>
    </w:p>
    <w:p>
      <w:pPr>
        <w:jc w:val="both"/>
        <w:ind w:firstLine="656"/>
        <w:spacing w:after="0" w:line="238" w:lineRule="auto"/>
        <w:tabs>
          <w:tab w:leader="none" w:pos="992" w:val="left"/>
        </w:tabs>
        <w:numPr>
          <w:ilvl w:val="0"/>
          <w:numId w:val="15"/>
        </w:numPr>
        <w:rPr>
          <w:rFonts w:ascii="Arial" w:cs="Arial" w:eastAsia="Arial" w:hAnsi="Arial"/>
          <w:sz w:val="22"/>
          <w:szCs w:val="22"/>
          <w:color w:val="auto"/>
        </w:rPr>
      </w:pPr>
      <w:r>
        <w:rPr>
          <w:rFonts w:ascii="Arial" w:cs="Arial" w:eastAsia="Arial" w:hAnsi="Arial"/>
          <w:sz w:val="22"/>
          <w:szCs w:val="22"/>
          <w:i w:val="1"/>
          <w:iCs w:val="1"/>
          <w:color w:val="auto"/>
        </w:rPr>
        <w:t xml:space="preserve">Indemnification of Agents of the Corporation. </w:t>
      </w:r>
      <w:r>
        <w:rPr>
          <w:rFonts w:ascii="Arial" w:cs="Arial" w:eastAsia="Arial" w:hAnsi="Arial"/>
          <w:sz w:val="22"/>
          <w:szCs w:val="22"/>
          <w:color w:val="auto"/>
        </w:rPr>
        <w:t>The corporation may, to the extent authorized from time to time by the</w:t>
      </w:r>
      <w:r>
        <w:rPr>
          <w:rFonts w:ascii="Arial" w:cs="Arial" w:eastAsia="Arial" w:hAnsi="Arial"/>
          <w:sz w:val="22"/>
          <w:szCs w:val="22"/>
          <w:i w:val="1"/>
          <w:iCs w:val="1"/>
          <w:color w:val="auto"/>
        </w:rPr>
        <w:t xml:space="preserve"> </w:t>
      </w:r>
      <w:r>
        <w:rPr>
          <w:rFonts w:ascii="Arial" w:cs="Arial" w:eastAsia="Arial" w:hAnsi="Arial"/>
          <w:sz w:val="22"/>
          <w:szCs w:val="22"/>
          <w:color w:val="auto"/>
        </w:rPr>
        <w:t>Board of Directors, grant rights to indemnification and to the advancement of expenses to any agent of the corporation to the fullest extent of the provisions of this Section with respect to the indemnification and advancement of expenses of Directors, officers and employees of the corporation.</w:t>
      </w:r>
    </w:p>
    <w:p>
      <w:pPr>
        <w:spacing w:after="0" w:line="212"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TWELFTH: The corporation reserves the right to amend, alter, change or repeal any provision contained in this Certificate of Incorporation, in the manner now or hereafter prescribed by statute, and all rights conferred upon stockholders herein are granted subject to this reservation.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149225</wp:posOffset>
            </wp:positionV>
            <wp:extent cx="7246620" cy="342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2" w:right="23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color w:val="auto"/>
        </w:rPr>
        <w:t>Exhibit 3(ii)</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By-laws</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of</w:t>
      </w:r>
    </w:p>
    <w:p>
      <w:pPr>
        <w:jc w:val="center"/>
        <w:spacing w:after="0"/>
        <w:rPr>
          <w:sz w:val="20"/>
          <w:szCs w:val="20"/>
          <w:color w:val="auto"/>
        </w:rPr>
      </w:pPr>
      <w:r>
        <w:rPr>
          <w:rFonts w:ascii="Arial" w:cs="Arial" w:eastAsia="Arial" w:hAnsi="Arial"/>
          <w:sz w:val="32"/>
          <w:szCs w:val="32"/>
          <w:b w:val="1"/>
          <w:bCs w:val="1"/>
          <w:color w:val="auto"/>
        </w:rPr>
        <w:t>Honeywell International Inc.</w:t>
      </w: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Amended as of</w:t>
      </w:r>
    </w:p>
    <w:p>
      <w:pPr>
        <w:spacing w:after="0" w:line="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April 23,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246620" cy="342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8" w:name="page49"/>
    <w:bookmarkEnd w:id="48"/>
    <w:tbl>
      <w:tblPr>
        <w:tblLayout w:type="fixed"/>
        <w:tblInd w:w="0" w:type="dxa"/>
        <w:tblCellMar>
          <w:top w:w="0" w:type="dxa"/>
          <w:left w:w="0" w:type="dxa"/>
          <w:bottom w:w="0" w:type="dxa"/>
          <w:right w:w="0" w:type="dxa"/>
        </w:tblCellMar>
      </w:tblPr>
      <w:tr>
        <w:trPr>
          <w:trHeight w:val="286"/>
        </w:trPr>
        <w:tc>
          <w:tcPr>
            <w:tcW w:w="9040" w:type="dxa"/>
            <w:vAlign w:val="bottom"/>
          </w:tcPr>
          <w:p>
            <w:pPr>
              <w:ind w:left="4560"/>
              <w:spacing w:after="0"/>
              <w:rPr>
                <w:sz w:val="20"/>
                <w:szCs w:val="20"/>
                <w:color w:val="auto"/>
              </w:rPr>
            </w:pPr>
            <w:r>
              <w:rPr>
                <w:rFonts w:ascii="Arial" w:cs="Arial" w:eastAsia="Arial" w:hAnsi="Arial"/>
                <w:sz w:val="22"/>
                <w:szCs w:val="22"/>
                <w:b w:val="1"/>
                <w:bCs w:val="1"/>
                <w:color w:val="auto"/>
              </w:rPr>
              <w:t>TABLE OF CONTENTS</w:t>
            </w:r>
          </w:p>
        </w:tc>
        <w:tc>
          <w:tcPr>
            <w:tcW w:w="2380" w:type="dxa"/>
            <w:vAlign w:val="bottom"/>
          </w:tcPr>
          <w:p>
            <w:pPr>
              <w:spacing w:after="0"/>
              <w:rPr>
                <w:sz w:val="24"/>
                <w:szCs w:val="24"/>
                <w:color w:val="auto"/>
              </w:rPr>
            </w:pPr>
          </w:p>
        </w:tc>
      </w:tr>
      <w:tr>
        <w:trPr>
          <w:trHeight w:val="486"/>
        </w:trPr>
        <w:tc>
          <w:tcPr>
            <w:tcW w:w="9040" w:type="dxa"/>
            <w:vAlign w:val="bottom"/>
          </w:tcPr>
          <w:p>
            <w:pPr>
              <w:spacing w:after="0"/>
              <w:rPr>
                <w:sz w:val="20"/>
                <w:szCs w:val="20"/>
                <w:color w:val="auto"/>
              </w:rPr>
            </w:pPr>
            <w:r>
              <w:rPr>
                <w:rFonts w:ascii="Arial" w:cs="Arial" w:eastAsia="Arial" w:hAnsi="Arial"/>
                <w:sz w:val="22"/>
                <w:szCs w:val="22"/>
                <w:color w:val="auto"/>
              </w:rPr>
              <w:t>ARTICLE I--OFFICES</w:t>
            </w:r>
          </w:p>
        </w:tc>
        <w:tc>
          <w:tcPr>
            <w:tcW w:w="2380" w:type="dxa"/>
            <w:vAlign w:val="bottom"/>
          </w:tcPr>
          <w:p>
            <w:pPr>
              <w:jc w:val="right"/>
              <w:spacing w:after="0"/>
              <w:rPr>
                <w:sz w:val="20"/>
                <w:szCs w:val="20"/>
                <w:color w:val="auto"/>
              </w:rPr>
            </w:pPr>
            <w:r>
              <w:rPr>
                <w:rFonts w:ascii="Arial" w:cs="Arial" w:eastAsia="Arial" w:hAnsi="Arial"/>
                <w:sz w:val="22"/>
                <w:szCs w:val="22"/>
                <w:color w:val="auto"/>
              </w:rPr>
              <w:t>1</w:t>
            </w:r>
          </w:p>
        </w:tc>
      </w:tr>
      <w:tr>
        <w:trPr>
          <w:trHeight w:val="486"/>
        </w:trPr>
        <w:tc>
          <w:tcPr>
            <w:tcW w:w="9040" w:type="dxa"/>
            <w:vAlign w:val="bottom"/>
          </w:tcPr>
          <w:p>
            <w:pPr>
              <w:ind w:left="160"/>
              <w:spacing w:after="0"/>
              <w:rPr>
                <w:sz w:val="20"/>
                <w:szCs w:val="20"/>
                <w:color w:val="auto"/>
              </w:rPr>
            </w:pPr>
            <w:r>
              <w:rPr>
                <w:rFonts w:ascii="Arial" w:cs="Arial" w:eastAsia="Arial" w:hAnsi="Arial"/>
                <w:sz w:val="22"/>
                <w:szCs w:val="22"/>
                <w:color w:val="auto"/>
              </w:rPr>
              <w:t>SECTION 1. Registered Office</w:t>
            </w:r>
          </w:p>
        </w:tc>
        <w:tc>
          <w:tcPr>
            <w:tcW w:w="2380" w:type="dxa"/>
            <w:vAlign w:val="bottom"/>
          </w:tcPr>
          <w:p>
            <w:pPr>
              <w:jc w:val="right"/>
              <w:spacing w:after="0"/>
              <w:rPr>
                <w:sz w:val="20"/>
                <w:szCs w:val="20"/>
                <w:color w:val="auto"/>
              </w:rPr>
            </w:pPr>
            <w:r>
              <w:rPr>
                <w:rFonts w:ascii="Arial" w:cs="Arial" w:eastAsia="Arial" w:hAnsi="Arial"/>
                <w:sz w:val="22"/>
                <w:szCs w:val="22"/>
                <w:color w:val="auto"/>
              </w:rPr>
              <w:t>1</w:t>
            </w:r>
          </w:p>
        </w:tc>
      </w:tr>
      <w:tr>
        <w:trPr>
          <w:trHeight w:val="486"/>
        </w:trPr>
        <w:tc>
          <w:tcPr>
            <w:tcW w:w="9040" w:type="dxa"/>
            <w:vAlign w:val="bottom"/>
          </w:tcPr>
          <w:p>
            <w:pPr>
              <w:ind w:left="160"/>
              <w:spacing w:after="0"/>
              <w:rPr>
                <w:sz w:val="20"/>
                <w:szCs w:val="20"/>
                <w:color w:val="auto"/>
              </w:rPr>
            </w:pPr>
            <w:r>
              <w:rPr>
                <w:rFonts w:ascii="Arial" w:cs="Arial" w:eastAsia="Arial" w:hAnsi="Arial"/>
                <w:sz w:val="22"/>
                <w:szCs w:val="22"/>
                <w:color w:val="auto"/>
              </w:rPr>
              <w:t>SECTION 2. Other Offices</w:t>
            </w:r>
          </w:p>
        </w:tc>
        <w:tc>
          <w:tcPr>
            <w:tcW w:w="2380" w:type="dxa"/>
            <w:vAlign w:val="bottom"/>
          </w:tcPr>
          <w:p>
            <w:pPr>
              <w:jc w:val="right"/>
              <w:spacing w:after="0"/>
              <w:rPr>
                <w:sz w:val="20"/>
                <w:szCs w:val="20"/>
                <w:color w:val="auto"/>
              </w:rPr>
            </w:pPr>
            <w:r>
              <w:rPr>
                <w:rFonts w:ascii="Arial" w:cs="Arial" w:eastAsia="Arial" w:hAnsi="Arial"/>
                <w:sz w:val="22"/>
                <w:szCs w:val="22"/>
                <w:color w:val="auto"/>
              </w:rPr>
              <w:t>1</w:t>
            </w:r>
          </w:p>
        </w:tc>
      </w:tr>
      <w:tr>
        <w:trPr>
          <w:trHeight w:val="486"/>
        </w:trPr>
        <w:tc>
          <w:tcPr>
            <w:tcW w:w="9040" w:type="dxa"/>
            <w:vAlign w:val="bottom"/>
          </w:tcPr>
          <w:p>
            <w:pPr>
              <w:spacing w:after="0"/>
              <w:rPr>
                <w:sz w:val="20"/>
                <w:szCs w:val="20"/>
                <w:color w:val="auto"/>
              </w:rPr>
            </w:pPr>
            <w:r>
              <w:rPr>
                <w:rFonts w:ascii="Arial" w:cs="Arial" w:eastAsia="Arial" w:hAnsi="Arial"/>
                <w:sz w:val="22"/>
                <w:szCs w:val="22"/>
                <w:color w:val="auto"/>
              </w:rPr>
              <w:t>ARTICLE II--MEETINGS OF STOCKHOLDERS</w:t>
            </w:r>
          </w:p>
        </w:tc>
        <w:tc>
          <w:tcPr>
            <w:tcW w:w="2380" w:type="dxa"/>
            <w:vAlign w:val="bottom"/>
          </w:tcPr>
          <w:p>
            <w:pPr>
              <w:jc w:val="right"/>
              <w:spacing w:after="0"/>
              <w:rPr>
                <w:sz w:val="20"/>
                <w:szCs w:val="20"/>
                <w:color w:val="auto"/>
              </w:rPr>
            </w:pPr>
            <w:r>
              <w:rPr>
                <w:rFonts w:ascii="Arial" w:cs="Arial" w:eastAsia="Arial" w:hAnsi="Arial"/>
                <w:sz w:val="22"/>
                <w:szCs w:val="22"/>
                <w:color w:val="auto"/>
              </w:rPr>
              <w:t>1</w:t>
            </w:r>
          </w:p>
        </w:tc>
      </w:tr>
      <w:tr>
        <w:trPr>
          <w:trHeight w:val="486"/>
        </w:trPr>
        <w:tc>
          <w:tcPr>
            <w:tcW w:w="9040" w:type="dxa"/>
            <w:vAlign w:val="bottom"/>
          </w:tcPr>
          <w:p>
            <w:pPr>
              <w:ind w:left="160"/>
              <w:spacing w:after="0"/>
              <w:rPr>
                <w:sz w:val="20"/>
                <w:szCs w:val="20"/>
                <w:color w:val="auto"/>
              </w:rPr>
            </w:pPr>
            <w:r>
              <w:rPr>
                <w:rFonts w:ascii="Arial" w:cs="Arial" w:eastAsia="Arial" w:hAnsi="Arial"/>
                <w:sz w:val="22"/>
                <w:szCs w:val="22"/>
                <w:color w:val="auto"/>
              </w:rPr>
              <w:t>SECTION 1. Place of Meetings</w:t>
            </w:r>
          </w:p>
        </w:tc>
        <w:tc>
          <w:tcPr>
            <w:tcW w:w="2380" w:type="dxa"/>
            <w:vAlign w:val="bottom"/>
          </w:tcPr>
          <w:p>
            <w:pPr>
              <w:jc w:val="right"/>
              <w:spacing w:after="0"/>
              <w:rPr>
                <w:sz w:val="20"/>
                <w:szCs w:val="20"/>
                <w:color w:val="auto"/>
              </w:rPr>
            </w:pPr>
            <w:r>
              <w:rPr>
                <w:rFonts w:ascii="Arial" w:cs="Arial" w:eastAsia="Arial" w:hAnsi="Arial"/>
                <w:sz w:val="22"/>
                <w:szCs w:val="22"/>
                <w:color w:val="auto"/>
              </w:rPr>
              <w:t>1</w:t>
            </w:r>
          </w:p>
        </w:tc>
      </w:tr>
      <w:tr>
        <w:trPr>
          <w:trHeight w:val="486"/>
        </w:trPr>
        <w:tc>
          <w:tcPr>
            <w:tcW w:w="9040" w:type="dxa"/>
            <w:vAlign w:val="bottom"/>
          </w:tcPr>
          <w:p>
            <w:pPr>
              <w:ind w:left="160"/>
              <w:spacing w:after="0"/>
              <w:rPr>
                <w:sz w:val="20"/>
                <w:szCs w:val="20"/>
                <w:color w:val="auto"/>
              </w:rPr>
            </w:pPr>
            <w:r>
              <w:rPr>
                <w:rFonts w:ascii="Arial" w:cs="Arial" w:eastAsia="Arial" w:hAnsi="Arial"/>
                <w:sz w:val="22"/>
                <w:szCs w:val="22"/>
                <w:color w:val="auto"/>
              </w:rPr>
              <w:t>SECTION 2. Annual Meetings</w:t>
            </w:r>
          </w:p>
        </w:tc>
        <w:tc>
          <w:tcPr>
            <w:tcW w:w="2380" w:type="dxa"/>
            <w:vAlign w:val="bottom"/>
          </w:tcPr>
          <w:p>
            <w:pPr>
              <w:jc w:val="right"/>
              <w:spacing w:after="0"/>
              <w:rPr>
                <w:sz w:val="20"/>
                <w:szCs w:val="20"/>
                <w:color w:val="auto"/>
              </w:rPr>
            </w:pPr>
            <w:r>
              <w:rPr>
                <w:rFonts w:ascii="Arial" w:cs="Arial" w:eastAsia="Arial" w:hAnsi="Arial"/>
                <w:sz w:val="22"/>
                <w:szCs w:val="22"/>
                <w:color w:val="auto"/>
              </w:rPr>
              <w:t>1</w:t>
            </w:r>
          </w:p>
        </w:tc>
      </w:tr>
      <w:tr>
        <w:trPr>
          <w:trHeight w:val="486"/>
        </w:trPr>
        <w:tc>
          <w:tcPr>
            <w:tcW w:w="9040" w:type="dxa"/>
            <w:vAlign w:val="bottom"/>
          </w:tcPr>
          <w:p>
            <w:pPr>
              <w:ind w:left="160"/>
              <w:spacing w:after="0"/>
              <w:rPr>
                <w:sz w:val="20"/>
                <w:szCs w:val="20"/>
                <w:color w:val="auto"/>
              </w:rPr>
            </w:pPr>
            <w:r>
              <w:rPr>
                <w:rFonts w:ascii="Arial" w:cs="Arial" w:eastAsia="Arial" w:hAnsi="Arial"/>
                <w:sz w:val="22"/>
                <w:szCs w:val="22"/>
                <w:color w:val="auto"/>
              </w:rPr>
              <w:t>SECTION 3. Special Meetings</w:t>
            </w:r>
          </w:p>
        </w:tc>
        <w:tc>
          <w:tcPr>
            <w:tcW w:w="2380" w:type="dxa"/>
            <w:vAlign w:val="bottom"/>
          </w:tcPr>
          <w:p>
            <w:pPr>
              <w:jc w:val="right"/>
              <w:spacing w:after="0"/>
              <w:rPr>
                <w:sz w:val="20"/>
                <w:szCs w:val="20"/>
                <w:color w:val="auto"/>
              </w:rPr>
            </w:pPr>
            <w:r>
              <w:rPr>
                <w:rFonts w:ascii="Arial" w:cs="Arial" w:eastAsia="Arial" w:hAnsi="Arial"/>
                <w:sz w:val="22"/>
                <w:szCs w:val="22"/>
                <w:color w:val="auto"/>
              </w:rPr>
              <w:t>1</w:t>
            </w:r>
          </w:p>
        </w:tc>
      </w:tr>
      <w:tr>
        <w:trPr>
          <w:trHeight w:val="486"/>
        </w:trPr>
        <w:tc>
          <w:tcPr>
            <w:tcW w:w="9040" w:type="dxa"/>
            <w:vAlign w:val="bottom"/>
          </w:tcPr>
          <w:p>
            <w:pPr>
              <w:ind w:left="160"/>
              <w:spacing w:after="0"/>
              <w:rPr>
                <w:sz w:val="20"/>
                <w:szCs w:val="20"/>
                <w:color w:val="auto"/>
              </w:rPr>
            </w:pPr>
            <w:r>
              <w:rPr>
                <w:rFonts w:ascii="Arial" w:cs="Arial" w:eastAsia="Arial" w:hAnsi="Arial"/>
                <w:sz w:val="22"/>
                <w:szCs w:val="22"/>
                <w:color w:val="auto"/>
              </w:rPr>
              <w:t>SECTION 4. Notice of Meetings</w:t>
            </w:r>
          </w:p>
        </w:tc>
        <w:tc>
          <w:tcPr>
            <w:tcW w:w="2380" w:type="dxa"/>
            <w:vAlign w:val="bottom"/>
          </w:tcPr>
          <w:p>
            <w:pPr>
              <w:jc w:val="right"/>
              <w:spacing w:after="0"/>
              <w:rPr>
                <w:sz w:val="20"/>
                <w:szCs w:val="20"/>
                <w:color w:val="auto"/>
              </w:rPr>
            </w:pPr>
            <w:r>
              <w:rPr>
                <w:rFonts w:ascii="Arial" w:cs="Arial" w:eastAsia="Arial" w:hAnsi="Arial"/>
                <w:sz w:val="22"/>
                <w:szCs w:val="22"/>
                <w:color w:val="auto"/>
              </w:rPr>
              <w:t>4</w:t>
            </w:r>
          </w:p>
        </w:tc>
      </w:tr>
      <w:tr>
        <w:trPr>
          <w:trHeight w:val="486"/>
        </w:trPr>
        <w:tc>
          <w:tcPr>
            <w:tcW w:w="9040" w:type="dxa"/>
            <w:vAlign w:val="bottom"/>
          </w:tcPr>
          <w:p>
            <w:pPr>
              <w:ind w:left="160"/>
              <w:spacing w:after="0"/>
              <w:rPr>
                <w:sz w:val="20"/>
                <w:szCs w:val="20"/>
                <w:color w:val="auto"/>
              </w:rPr>
            </w:pPr>
            <w:r>
              <w:rPr>
                <w:rFonts w:ascii="Arial" w:cs="Arial" w:eastAsia="Arial" w:hAnsi="Arial"/>
                <w:sz w:val="22"/>
                <w:szCs w:val="22"/>
                <w:color w:val="auto"/>
              </w:rPr>
              <w:t>SECTION 5. Quorum</w:t>
            </w:r>
          </w:p>
        </w:tc>
        <w:tc>
          <w:tcPr>
            <w:tcW w:w="2380" w:type="dxa"/>
            <w:vAlign w:val="bottom"/>
          </w:tcPr>
          <w:p>
            <w:pPr>
              <w:jc w:val="right"/>
              <w:spacing w:after="0"/>
              <w:rPr>
                <w:sz w:val="20"/>
                <w:szCs w:val="20"/>
                <w:color w:val="auto"/>
              </w:rPr>
            </w:pPr>
            <w:r>
              <w:rPr>
                <w:rFonts w:ascii="Arial" w:cs="Arial" w:eastAsia="Arial" w:hAnsi="Arial"/>
                <w:sz w:val="22"/>
                <w:szCs w:val="22"/>
                <w:color w:val="auto"/>
              </w:rPr>
              <w:t>4</w:t>
            </w:r>
          </w:p>
        </w:tc>
      </w:tr>
      <w:tr>
        <w:trPr>
          <w:trHeight w:val="486"/>
        </w:trPr>
        <w:tc>
          <w:tcPr>
            <w:tcW w:w="9040" w:type="dxa"/>
            <w:vAlign w:val="bottom"/>
          </w:tcPr>
          <w:p>
            <w:pPr>
              <w:ind w:left="160"/>
              <w:spacing w:after="0"/>
              <w:rPr>
                <w:sz w:val="20"/>
                <w:szCs w:val="20"/>
                <w:color w:val="auto"/>
              </w:rPr>
            </w:pPr>
            <w:r>
              <w:rPr>
                <w:rFonts w:ascii="Arial" w:cs="Arial" w:eastAsia="Arial" w:hAnsi="Arial"/>
                <w:sz w:val="22"/>
                <w:szCs w:val="22"/>
                <w:color w:val="auto"/>
              </w:rPr>
              <w:t>SECTION 6. Order of Business</w:t>
            </w:r>
          </w:p>
        </w:tc>
        <w:tc>
          <w:tcPr>
            <w:tcW w:w="2380" w:type="dxa"/>
            <w:vAlign w:val="bottom"/>
          </w:tcPr>
          <w:p>
            <w:pPr>
              <w:jc w:val="right"/>
              <w:spacing w:after="0"/>
              <w:rPr>
                <w:sz w:val="20"/>
                <w:szCs w:val="20"/>
                <w:color w:val="auto"/>
              </w:rPr>
            </w:pPr>
            <w:r>
              <w:rPr>
                <w:rFonts w:ascii="Arial" w:cs="Arial" w:eastAsia="Arial" w:hAnsi="Arial"/>
                <w:sz w:val="22"/>
                <w:szCs w:val="22"/>
                <w:color w:val="auto"/>
              </w:rPr>
              <w:t>4</w:t>
            </w:r>
          </w:p>
        </w:tc>
      </w:tr>
      <w:tr>
        <w:trPr>
          <w:trHeight w:val="486"/>
        </w:trPr>
        <w:tc>
          <w:tcPr>
            <w:tcW w:w="9040" w:type="dxa"/>
            <w:vAlign w:val="bottom"/>
          </w:tcPr>
          <w:p>
            <w:pPr>
              <w:ind w:left="160"/>
              <w:spacing w:after="0"/>
              <w:rPr>
                <w:sz w:val="20"/>
                <w:szCs w:val="20"/>
                <w:color w:val="auto"/>
              </w:rPr>
            </w:pPr>
            <w:r>
              <w:rPr>
                <w:rFonts w:ascii="Arial" w:cs="Arial" w:eastAsia="Arial" w:hAnsi="Arial"/>
                <w:sz w:val="22"/>
                <w:szCs w:val="22"/>
                <w:color w:val="auto"/>
              </w:rPr>
              <w:t>SECTION 7. Voting</w:t>
            </w:r>
          </w:p>
        </w:tc>
        <w:tc>
          <w:tcPr>
            <w:tcW w:w="2380" w:type="dxa"/>
            <w:vAlign w:val="bottom"/>
          </w:tcPr>
          <w:p>
            <w:pPr>
              <w:jc w:val="right"/>
              <w:spacing w:after="0"/>
              <w:rPr>
                <w:sz w:val="20"/>
                <w:szCs w:val="20"/>
                <w:color w:val="auto"/>
              </w:rPr>
            </w:pPr>
            <w:r>
              <w:rPr>
                <w:rFonts w:ascii="Arial" w:cs="Arial" w:eastAsia="Arial" w:hAnsi="Arial"/>
                <w:sz w:val="22"/>
                <w:szCs w:val="22"/>
                <w:color w:val="auto"/>
              </w:rPr>
              <w:t>4</w:t>
            </w:r>
          </w:p>
        </w:tc>
      </w:tr>
      <w:tr>
        <w:trPr>
          <w:trHeight w:val="486"/>
        </w:trPr>
        <w:tc>
          <w:tcPr>
            <w:tcW w:w="9040" w:type="dxa"/>
            <w:vAlign w:val="bottom"/>
          </w:tcPr>
          <w:p>
            <w:pPr>
              <w:ind w:left="160"/>
              <w:spacing w:after="0"/>
              <w:rPr>
                <w:sz w:val="20"/>
                <w:szCs w:val="20"/>
                <w:color w:val="auto"/>
              </w:rPr>
            </w:pPr>
            <w:r>
              <w:rPr>
                <w:rFonts w:ascii="Arial" w:cs="Arial" w:eastAsia="Arial" w:hAnsi="Arial"/>
                <w:sz w:val="22"/>
                <w:szCs w:val="22"/>
                <w:color w:val="auto"/>
              </w:rPr>
              <w:t>SECTION 8. Inspectors</w:t>
            </w:r>
          </w:p>
        </w:tc>
        <w:tc>
          <w:tcPr>
            <w:tcW w:w="2380" w:type="dxa"/>
            <w:vAlign w:val="bottom"/>
          </w:tcPr>
          <w:p>
            <w:pPr>
              <w:jc w:val="right"/>
              <w:spacing w:after="0"/>
              <w:rPr>
                <w:sz w:val="20"/>
                <w:szCs w:val="20"/>
                <w:color w:val="auto"/>
              </w:rPr>
            </w:pPr>
            <w:r>
              <w:rPr>
                <w:rFonts w:ascii="Arial" w:cs="Arial" w:eastAsia="Arial" w:hAnsi="Arial"/>
                <w:sz w:val="22"/>
                <w:szCs w:val="22"/>
                <w:color w:val="auto"/>
              </w:rPr>
              <w:t>4</w:t>
            </w:r>
          </w:p>
        </w:tc>
      </w:tr>
      <w:tr>
        <w:trPr>
          <w:trHeight w:val="486"/>
        </w:trPr>
        <w:tc>
          <w:tcPr>
            <w:tcW w:w="9040" w:type="dxa"/>
            <w:vAlign w:val="bottom"/>
          </w:tcPr>
          <w:p>
            <w:pPr>
              <w:spacing w:after="0"/>
              <w:rPr>
                <w:sz w:val="20"/>
                <w:szCs w:val="20"/>
                <w:color w:val="auto"/>
              </w:rPr>
            </w:pPr>
            <w:r>
              <w:rPr>
                <w:rFonts w:ascii="Arial" w:cs="Arial" w:eastAsia="Arial" w:hAnsi="Arial"/>
                <w:sz w:val="22"/>
                <w:szCs w:val="22"/>
                <w:color w:val="auto"/>
              </w:rPr>
              <w:t>ARTICLE III--DIRECTORS</w:t>
            </w:r>
          </w:p>
        </w:tc>
        <w:tc>
          <w:tcPr>
            <w:tcW w:w="2380" w:type="dxa"/>
            <w:vAlign w:val="bottom"/>
          </w:tcPr>
          <w:p>
            <w:pPr>
              <w:jc w:val="right"/>
              <w:spacing w:after="0"/>
              <w:rPr>
                <w:sz w:val="20"/>
                <w:szCs w:val="20"/>
                <w:color w:val="auto"/>
              </w:rPr>
            </w:pPr>
            <w:r>
              <w:rPr>
                <w:rFonts w:ascii="Arial" w:cs="Arial" w:eastAsia="Arial" w:hAnsi="Arial"/>
                <w:sz w:val="22"/>
                <w:szCs w:val="22"/>
                <w:color w:val="auto"/>
              </w:rPr>
              <w:t>5</w:t>
            </w:r>
          </w:p>
        </w:tc>
      </w:tr>
      <w:tr>
        <w:trPr>
          <w:trHeight w:val="486"/>
        </w:trPr>
        <w:tc>
          <w:tcPr>
            <w:tcW w:w="9040" w:type="dxa"/>
            <w:vAlign w:val="bottom"/>
          </w:tcPr>
          <w:p>
            <w:pPr>
              <w:ind w:left="160"/>
              <w:spacing w:after="0"/>
              <w:rPr>
                <w:sz w:val="20"/>
                <w:szCs w:val="20"/>
                <w:color w:val="auto"/>
              </w:rPr>
            </w:pPr>
            <w:r>
              <w:rPr>
                <w:rFonts w:ascii="Arial" w:cs="Arial" w:eastAsia="Arial" w:hAnsi="Arial"/>
                <w:sz w:val="22"/>
                <w:szCs w:val="22"/>
                <w:color w:val="auto"/>
              </w:rPr>
              <w:t>SECTION 1. Powers</w:t>
            </w:r>
          </w:p>
        </w:tc>
        <w:tc>
          <w:tcPr>
            <w:tcW w:w="2380" w:type="dxa"/>
            <w:vAlign w:val="bottom"/>
          </w:tcPr>
          <w:p>
            <w:pPr>
              <w:jc w:val="right"/>
              <w:spacing w:after="0"/>
              <w:rPr>
                <w:sz w:val="20"/>
                <w:szCs w:val="20"/>
                <w:color w:val="auto"/>
              </w:rPr>
            </w:pPr>
            <w:r>
              <w:rPr>
                <w:rFonts w:ascii="Arial" w:cs="Arial" w:eastAsia="Arial" w:hAnsi="Arial"/>
                <w:sz w:val="22"/>
                <w:szCs w:val="22"/>
                <w:color w:val="auto"/>
              </w:rPr>
              <w:t>5</w:t>
            </w:r>
          </w:p>
        </w:tc>
      </w:tr>
      <w:tr>
        <w:trPr>
          <w:trHeight w:val="486"/>
        </w:trPr>
        <w:tc>
          <w:tcPr>
            <w:tcW w:w="9040" w:type="dxa"/>
            <w:vAlign w:val="bottom"/>
          </w:tcPr>
          <w:p>
            <w:pPr>
              <w:ind w:left="160"/>
              <w:spacing w:after="0"/>
              <w:rPr>
                <w:sz w:val="20"/>
                <w:szCs w:val="20"/>
                <w:color w:val="auto"/>
              </w:rPr>
            </w:pPr>
            <w:r>
              <w:rPr>
                <w:rFonts w:ascii="Arial" w:cs="Arial" w:eastAsia="Arial" w:hAnsi="Arial"/>
                <w:sz w:val="22"/>
                <w:szCs w:val="22"/>
                <w:color w:val="auto"/>
              </w:rPr>
              <w:t>SECTION 2. Number, Election and Terms</w:t>
            </w:r>
          </w:p>
        </w:tc>
        <w:tc>
          <w:tcPr>
            <w:tcW w:w="2380" w:type="dxa"/>
            <w:vAlign w:val="bottom"/>
          </w:tcPr>
          <w:p>
            <w:pPr>
              <w:jc w:val="right"/>
              <w:spacing w:after="0"/>
              <w:rPr>
                <w:sz w:val="20"/>
                <w:szCs w:val="20"/>
                <w:color w:val="auto"/>
              </w:rPr>
            </w:pPr>
            <w:r>
              <w:rPr>
                <w:rFonts w:ascii="Arial" w:cs="Arial" w:eastAsia="Arial" w:hAnsi="Arial"/>
                <w:sz w:val="22"/>
                <w:szCs w:val="22"/>
                <w:color w:val="auto"/>
              </w:rPr>
              <w:t>5</w:t>
            </w:r>
          </w:p>
        </w:tc>
      </w:tr>
      <w:tr>
        <w:trPr>
          <w:trHeight w:val="486"/>
        </w:trPr>
        <w:tc>
          <w:tcPr>
            <w:tcW w:w="9040" w:type="dxa"/>
            <w:vAlign w:val="bottom"/>
          </w:tcPr>
          <w:p>
            <w:pPr>
              <w:ind w:left="160"/>
              <w:spacing w:after="0"/>
              <w:rPr>
                <w:sz w:val="20"/>
                <w:szCs w:val="20"/>
                <w:color w:val="auto"/>
              </w:rPr>
            </w:pPr>
            <w:r>
              <w:rPr>
                <w:rFonts w:ascii="Arial" w:cs="Arial" w:eastAsia="Arial" w:hAnsi="Arial"/>
                <w:sz w:val="22"/>
                <w:szCs w:val="22"/>
                <w:color w:val="auto"/>
              </w:rPr>
              <w:t>SECTION 3. Advance Notice of Stockholder Business and Nominations</w:t>
            </w:r>
          </w:p>
        </w:tc>
        <w:tc>
          <w:tcPr>
            <w:tcW w:w="2380" w:type="dxa"/>
            <w:vAlign w:val="bottom"/>
          </w:tcPr>
          <w:p>
            <w:pPr>
              <w:jc w:val="right"/>
              <w:spacing w:after="0"/>
              <w:rPr>
                <w:sz w:val="20"/>
                <w:szCs w:val="20"/>
                <w:color w:val="auto"/>
              </w:rPr>
            </w:pPr>
            <w:r>
              <w:rPr>
                <w:rFonts w:ascii="Arial" w:cs="Arial" w:eastAsia="Arial" w:hAnsi="Arial"/>
                <w:sz w:val="22"/>
                <w:szCs w:val="22"/>
                <w:color w:val="auto"/>
              </w:rPr>
              <w:t>6</w:t>
            </w:r>
          </w:p>
        </w:tc>
      </w:tr>
      <w:tr>
        <w:trPr>
          <w:trHeight w:val="486"/>
        </w:trPr>
        <w:tc>
          <w:tcPr>
            <w:tcW w:w="9040" w:type="dxa"/>
            <w:vAlign w:val="bottom"/>
          </w:tcPr>
          <w:p>
            <w:pPr>
              <w:ind w:left="160"/>
              <w:spacing w:after="0"/>
              <w:rPr>
                <w:sz w:val="20"/>
                <w:szCs w:val="20"/>
                <w:color w:val="auto"/>
              </w:rPr>
            </w:pPr>
            <w:r>
              <w:rPr>
                <w:rFonts w:ascii="Arial" w:cs="Arial" w:eastAsia="Arial" w:hAnsi="Arial"/>
                <w:sz w:val="22"/>
                <w:szCs w:val="22"/>
                <w:color w:val="auto"/>
              </w:rPr>
              <w:t>SECTION 4. Proxy Access for Director Nominations</w:t>
            </w:r>
          </w:p>
        </w:tc>
        <w:tc>
          <w:tcPr>
            <w:tcW w:w="2380" w:type="dxa"/>
            <w:vAlign w:val="bottom"/>
          </w:tcPr>
          <w:p>
            <w:pPr>
              <w:jc w:val="right"/>
              <w:spacing w:after="0"/>
              <w:rPr>
                <w:sz w:val="20"/>
                <w:szCs w:val="20"/>
                <w:color w:val="auto"/>
              </w:rPr>
            </w:pPr>
            <w:r>
              <w:rPr>
                <w:rFonts w:ascii="Arial" w:cs="Arial" w:eastAsia="Arial" w:hAnsi="Arial"/>
                <w:sz w:val="22"/>
                <w:szCs w:val="22"/>
                <w:color w:val="auto"/>
              </w:rPr>
              <w:t>9</w:t>
            </w:r>
          </w:p>
        </w:tc>
      </w:tr>
      <w:tr>
        <w:trPr>
          <w:trHeight w:val="486"/>
        </w:trPr>
        <w:tc>
          <w:tcPr>
            <w:tcW w:w="9040" w:type="dxa"/>
            <w:vAlign w:val="bottom"/>
          </w:tcPr>
          <w:p>
            <w:pPr>
              <w:ind w:left="160"/>
              <w:spacing w:after="0"/>
              <w:rPr>
                <w:sz w:val="20"/>
                <w:szCs w:val="20"/>
                <w:color w:val="auto"/>
              </w:rPr>
            </w:pPr>
            <w:r>
              <w:rPr>
                <w:rFonts w:ascii="Arial" w:cs="Arial" w:eastAsia="Arial" w:hAnsi="Arial"/>
                <w:sz w:val="22"/>
                <w:szCs w:val="22"/>
                <w:color w:val="auto"/>
              </w:rPr>
              <w:t>SECTION 5. Submission of Questionnaire, Representation and Agreement</w:t>
            </w:r>
          </w:p>
        </w:tc>
        <w:tc>
          <w:tcPr>
            <w:tcW w:w="2380" w:type="dxa"/>
            <w:vAlign w:val="bottom"/>
          </w:tcPr>
          <w:p>
            <w:pPr>
              <w:jc w:val="right"/>
              <w:spacing w:after="0"/>
              <w:rPr>
                <w:sz w:val="20"/>
                <w:szCs w:val="20"/>
                <w:color w:val="auto"/>
              </w:rPr>
            </w:pPr>
            <w:r>
              <w:rPr>
                <w:rFonts w:ascii="Arial" w:cs="Arial" w:eastAsia="Arial" w:hAnsi="Arial"/>
                <w:sz w:val="22"/>
                <w:szCs w:val="22"/>
                <w:color w:val="auto"/>
              </w:rPr>
              <w:t>15</w:t>
            </w:r>
          </w:p>
        </w:tc>
      </w:tr>
      <w:tr>
        <w:trPr>
          <w:trHeight w:val="486"/>
        </w:trPr>
        <w:tc>
          <w:tcPr>
            <w:tcW w:w="9040" w:type="dxa"/>
            <w:vAlign w:val="bottom"/>
          </w:tcPr>
          <w:p>
            <w:pPr>
              <w:ind w:left="160"/>
              <w:spacing w:after="0"/>
              <w:rPr>
                <w:sz w:val="20"/>
                <w:szCs w:val="20"/>
                <w:color w:val="auto"/>
              </w:rPr>
            </w:pPr>
            <w:r>
              <w:rPr>
                <w:rFonts w:ascii="Arial" w:cs="Arial" w:eastAsia="Arial" w:hAnsi="Arial"/>
                <w:sz w:val="22"/>
                <w:szCs w:val="22"/>
                <w:color w:val="auto"/>
              </w:rPr>
              <w:t>SECTION 6. Place of Meetings</w:t>
            </w:r>
          </w:p>
        </w:tc>
        <w:tc>
          <w:tcPr>
            <w:tcW w:w="2380" w:type="dxa"/>
            <w:vAlign w:val="bottom"/>
          </w:tcPr>
          <w:p>
            <w:pPr>
              <w:jc w:val="right"/>
              <w:spacing w:after="0"/>
              <w:rPr>
                <w:sz w:val="20"/>
                <w:szCs w:val="20"/>
                <w:color w:val="auto"/>
              </w:rPr>
            </w:pPr>
            <w:r>
              <w:rPr>
                <w:rFonts w:ascii="Arial" w:cs="Arial" w:eastAsia="Arial" w:hAnsi="Arial"/>
                <w:sz w:val="22"/>
                <w:szCs w:val="22"/>
                <w:color w:val="auto"/>
              </w:rPr>
              <w:t>15</w:t>
            </w:r>
          </w:p>
        </w:tc>
      </w:tr>
      <w:tr>
        <w:trPr>
          <w:trHeight w:val="486"/>
        </w:trPr>
        <w:tc>
          <w:tcPr>
            <w:tcW w:w="9040" w:type="dxa"/>
            <w:vAlign w:val="bottom"/>
          </w:tcPr>
          <w:p>
            <w:pPr>
              <w:ind w:left="160"/>
              <w:spacing w:after="0"/>
              <w:rPr>
                <w:sz w:val="20"/>
                <w:szCs w:val="20"/>
                <w:color w:val="auto"/>
              </w:rPr>
            </w:pPr>
            <w:r>
              <w:rPr>
                <w:rFonts w:ascii="Arial" w:cs="Arial" w:eastAsia="Arial" w:hAnsi="Arial"/>
                <w:sz w:val="22"/>
                <w:szCs w:val="22"/>
                <w:color w:val="auto"/>
              </w:rPr>
              <w:t>SECTION 7. Regular Meetings</w:t>
            </w:r>
          </w:p>
        </w:tc>
        <w:tc>
          <w:tcPr>
            <w:tcW w:w="2380" w:type="dxa"/>
            <w:vAlign w:val="bottom"/>
          </w:tcPr>
          <w:p>
            <w:pPr>
              <w:jc w:val="right"/>
              <w:spacing w:after="0"/>
              <w:rPr>
                <w:sz w:val="20"/>
                <w:szCs w:val="20"/>
                <w:color w:val="auto"/>
              </w:rPr>
            </w:pPr>
            <w:r>
              <w:rPr>
                <w:rFonts w:ascii="Arial" w:cs="Arial" w:eastAsia="Arial" w:hAnsi="Arial"/>
                <w:sz w:val="22"/>
                <w:szCs w:val="22"/>
                <w:color w:val="auto"/>
              </w:rPr>
              <w:t>15</w:t>
            </w:r>
          </w:p>
        </w:tc>
      </w:tr>
      <w:tr>
        <w:trPr>
          <w:trHeight w:val="486"/>
        </w:trPr>
        <w:tc>
          <w:tcPr>
            <w:tcW w:w="9040" w:type="dxa"/>
            <w:vAlign w:val="bottom"/>
          </w:tcPr>
          <w:p>
            <w:pPr>
              <w:ind w:left="160"/>
              <w:spacing w:after="0"/>
              <w:rPr>
                <w:sz w:val="20"/>
                <w:szCs w:val="20"/>
                <w:color w:val="auto"/>
              </w:rPr>
            </w:pPr>
            <w:r>
              <w:rPr>
                <w:rFonts w:ascii="Arial" w:cs="Arial" w:eastAsia="Arial" w:hAnsi="Arial"/>
                <w:sz w:val="22"/>
                <w:szCs w:val="22"/>
                <w:color w:val="auto"/>
              </w:rPr>
              <w:t>SECTION 8. Special Meetings</w:t>
            </w:r>
          </w:p>
        </w:tc>
        <w:tc>
          <w:tcPr>
            <w:tcW w:w="2380" w:type="dxa"/>
            <w:vAlign w:val="bottom"/>
          </w:tcPr>
          <w:p>
            <w:pPr>
              <w:jc w:val="right"/>
              <w:spacing w:after="0"/>
              <w:rPr>
                <w:sz w:val="20"/>
                <w:szCs w:val="20"/>
                <w:color w:val="auto"/>
              </w:rPr>
            </w:pPr>
            <w:r>
              <w:rPr>
                <w:rFonts w:ascii="Arial" w:cs="Arial" w:eastAsia="Arial" w:hAnsi="Arial"/>
                <w:sz w:val="22"/>
                <w:szCs w:val="22"/>
                <w:color w:val="auto"/>
              </w:rPr>
              <w:t>16</w:t>
            </w:r>
          </w:p>
        </w:tc>
      </w:tr>
      <w:tr>
        <w:trPr>
          <w:trHeight w:val="395"/>
        </w:trPr>
        <w:tc>
          <w:tcPr>
            <w:tcW w:w="9040" w:type="dxa"/>
            <w:vAlign w:val="bottom"/>
          </w:tcPr>
          <w:p>
            <w:pPr>
              <w:ind w:left="5680"/>
              <w:spacing w:after="0"/>
              <w:rPr>
                <w:sz w:val="20"/>
                <w:szCs w:val="20"/>
                <w:color w:val="auto"/>
              </w:rPr>
            </w:pPr>
            <w:r>
              <w:rPr>
                <w:rFonts w:ascii="Arial" w:cs="Arial" w:eastAsia="Arial" w:hAnsi="Arial"/>
                <w:sz w:val="18"/>
                <w:szCs w:val="18"/>
                <w:color w:val="auto"/>
              </w:rPr>
              <w:t>i</w:t>
            </w:r>
          </w:p>
        </w:tc>
        <w:tc>
          <w:tcPr>
            <w:tcW w:w="2380" w:type="dxa"/>
            <w:vAlign w:val="bottom"/>
          </w:tcPr>
          <w:p>
            <w:pPr>
              <w:spacing w:after="0"/>
              <w:rPr>
                <w:sz w:val="24"/>
                <w:szCs w:val="24"/>
                <w:color w:val="auto"/>
              </w:rPr>
            </w:pPr>
          </w:p>
        </w:tc>
      </w:tr>
      <w:tr>
        <w:trPr>
          <w:trHeight w:val="250"/>
        </w:trPr>
        <w:tc>
          <w:tcPr>
            <w:tcW w:w="9040" w:type="dxa"/>
            <w:vAlign w:val="bottom"/>
            <w:tcBorders>
              <w:bottom w:val="single" w:sz="8" w:color="C0C0C0"/>
            </w:tcBorders>
          </w:tcPr>
          <w:p>
            <w:pPr>
              <w:spacing w:after="0"/>
              <w:rPr>
                <w:sz w:val="21"/>
                <w:szCs w:val="21"/>
                <w:color w:val="auto"/>
              </w:rPr>
            </w:pPr>
          </w:p>
        </w:tc>
        <w:tc>
          <w:tcPr>
            <w:tcW w:w="2380" w:type="dxa"/>
            <w:vAlign w:val="bottom"/>
            <w:tcBorders>
              <w:bottom w:val="single" w:sz="8" w:color="C0C0C0"/>
            </w:tcBorders>
          </w:tcPr>
          <w:p>
            <w:pPr>
              <w:spacing w:after="0"/>
              <w:rPr>
                <w:sz w:val="21"/>
                <w:szCs w:val="21"/>
                <w:color w:val="auto"/>
              </w:rPr>
            </w:pPr>
          </w:p>
        </w:tc>
      </w:tr>
    </w:tbl>
    <w:p>
      <w:pPr>
        <w:sectPr>
          <w:pgSz w:w="11900" w:h="16838" w:orient="portrait"/>
          <w:cols w:equalWidth="0" w:num="1">
            <w:col w:w="11420"/>
          </w:cols>
          <w:pgMar w:left="240" w:top="391" w:right="239" w:bottom="1440" w:gutter="0" w:footer="0" w:header="0"/>
        </w:sectPr>
      </w:pPr>
    </w:p>
    <w:bookmarkStart w:id="49" w:name="page50"/>
    <w:bookmarkEnd w:id="4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9260" w:type="dxa"/>
            <w:vAlign w:val="bottom"/>
          </w:tcPr>
          <w:p>
            <w:pPr>
              <w:ind w:left="160"/>
              <w:spacing w:after="0"/>
              <w:rPr>
                <w:sz w:val="20"/>
                <w:szCs w:val="20"/>
                <w:color w:val="auto"/>
              </w:rPr>
            </w:pPr>
            <w:r>
              <w:rPr>
                <w:rFonts w:ascii="Arial" w:cs="Arial" w:eastAsia="Arial" w:hAnsi="Arial"/>
                <w:sz w:val="22"/>
                <w:szCs w:val="22"/>
                <w:color w:val="auto"/>
              </w:rPr>
              <w:t>SECTION 9. Notice of Meetings</w:t>
            </w:r>
          </w:p>
        </w:tc>
        <w:tc>
          <w:tcPr>
            <w:tcW w:w="2160" w:type="dxa"/>
            <w:vAlign w:val="bottom"/>
          </w:tcPr>
          <w:p>
            <w:pPr>
              <w:jc w:val="right"/>
              <w:spacing w:after="0"/>
              <w:rPr>
                <w:sz w:val="20"/>
                <w:szCs w:val="20"/>
                <w:color w:val="auto"/>
              </w:rPr>
            </w:pPr>
            <w:r>
              <w:rPr>
                <w:rFonts w:ascii="Arial" w:cs="Arial" w:eastAsia="Arial" w:hAnsi="Arial"/>
                <w:sz w:val="22"/>
                <w:szCs w:val="22"/>
                <w:color w:val="auto"/>
              </w:rPr>
              <w:t>16</w:t>
            </w:r>
          </w:p>
        </w:tc>
      </w:tr>
      <w:tr>
        <w:trPr>
          <w:trHeight w:val="486"/>
        </w:trPr>
        <w:tc>
          <w:tcPr>
            <w:tcW w:w="9260" w:type="dxa"/>
            <w:vAlign w:val="bottom"/>
          </w:tcPr>
          <w:p>
            <w:pPr>
              <w:ind w:left="160"/>
              <w:spacing w:after="0"/>
              <w:rPr>
                <w:sz w:val="20"/>
                <w:szCs w:val="20"/>
                <w:color w:val="auto"/>
              </w:rPr>
            </w:pPr>
            <w:r>
              <w:rPr>
                <w:rFonts w:ascii="Arial" w:cs="Arial" w:eastAsia="Arial" w:hAnsi="Arial"/>
                <w:sz w:val="22"/>
                <w:szCs w:val="22"/>
                <w:color w:val="auto"/>
              </w:rPr>
              <w:t>SECTION 10. Quorum and Manner of Acting</w:t>
            </w:r>
          </w:p>
        </w:tc>
        <w:tc>
          <w:tcPr>
            <w:tcW w:w="2160" w:type="dxa"/>
            <w:vAlign w:val="bottom"/>
          </w:tcPr>
          <w:p>
            <w:pPr>
              <w:jc w:val="right"/>
              <w:spacing w:after="0"/>
              <w:rPr>
                <w:sz w:val="20"/>
                <w:szCs w:val="20"/>
                <w:color w:val="auto"/>
              </w:rPr>
            </w:pPr>
            <w:r>
              <w:rPr>
                <w:rFonts w:ascii="Arial" w:cs="Arial" w:eastAsia="Arial" w:hAnsi="Arial"/>
                <w:sz w:val="22"/>
                <w:szCs w:val="22"/>
                <w:color w:val="auto"/>
              </w:rPr>
              <w:t>16</w:t>
            </w:r>
          </w:p>
        </w:tc>
      </w:tr>
      <w:tr>
        <w:trPr>
          <w:trHeight w:val="486"/>
        </w:trPr>
        <w:tc>
          <w:tcPr>
            <w:tcW w:w="9260" w:type="dxa"/>
            <w:vAlign w:val="bottom"/>
          </w:tcPr>
          <w:p>
            <w:pPr>
              <w:ind w:left="160"/>
              <w:spacing w:after="0"/>
              <w:rPr>
                <w:sz w:val="20"/>
                <w:szCs w:val="20"/>
                <w:color w:val="auto"/>
              </w:rPr>
            </w:pPr>
            <w:r>
              <w:rPr>
                <w:rFonts w:ascii="Arial" w:cs="Arial" w:eastAsia="Arial" w:hAnsi="Arial"/>
                <w:sz w:val="22"/>
                <w:szCs w:val="22"/>
                <w:color w:val="auto"/>
              </w:rPr>
              <w:t>SECTION 11. Resignation</w:t>
            </w:r>
          </w:p>
        </w:tc>
        <w:tc>
          <w:tcPr>
            <w:tcW w:w="2160" w:type="dxa"/>
            <w:vAlign w:val="bottom"/>
          </w:tcPr>
          <w:p>
            <w:pPr>
              <w:jc w:val="right"/>
              <w:spacing w:after="0"/>
              <w:rPr>
                <w:sz w:val="20"/>
                <w:szCs w:val="20"/>
                <w:color w:val="auto"/>
              </w:rPr>
            </w:pPr>
            <w:r>
              <w:rPr>
                <w:rFonts w:ascii="Arial" w:cs="Arial" w:eastAsia="Arial" w:hAnsi="Arial"/>
                <w:sz w:val="22"/>
                <w:szCs w:val="22"/>
                <w:color w:val="auto"/>
              </w:rPr>
              <w:t>16</w:t>
            </w:r>
          </w:p>
        </w:tc>
      </w:tr>
      <w:tr>
        <w:trPr>
          <w:trHeight w:val="486"/>
        </w:trPr>
        <w:tc>
          <w:tcPr>
            <w:tcW w:w="9260" w:type="dxa"/>
            <w:vAlign w:val="bottom"/>
          </w:tcPr>
          <w:p>
            <w:pPr>
              <w:ind w:left="160"/>
              <w:spacing w:after="0"/>
              <w:rPr>
                <w:sz w:val="20"/>
                <w:szCs w:val="20"/>
                <w:color w:val="auto"/>
              </w:rPr>
            </w:pPr>
            <w:r>
              <w:rPr>
                <w:rFonts w:ascii="Arial" w:cs="Arial" w:eastAsia="Arial" w:hAnsi="Arial"/>
                <w:sz w:val="22"/>
                <w:szCs w:val="22"/>
                <w:color w:val="auto"/>
              </w:rPr>
              <w:t>SECTION 12. Removal of Directors</w:t>
            </w:r>
          </w:p>
        </w:tc>
        <w:tc>
          <w:tcPr>
            <w:tcW w:w="2160" w:type="dxa"/>
            <w:vAlign w:val="bottom"/>
          </w:tcPr>
          <w:p>
            <w:pPr>
              <w:jc w:val="right"/>
              <w:spacing w:after="0"/>
              <w:rPr>
                <w:sz w:val="20"/>
                <w:szCs w:val="20"/>
                <w:color w:val="auto"/>
              </w:rPr>
            </w:pPr>
            <w:r>
              <w:rPr>
                <w:rFonts w:ascii="Arial" w:cs="Arial" w:eastAsia="Arial" w:hAnsi="Arial"/>
                <w:sz w:val="22"/>
                <w:szCs w:val="22"/>
                <w:color w:val="auto"/>
              </w:rPr>
              <w:t>16</w:t>
            </w:r>
          </w:p>
        </w:tc>
      </w:tr>
      <w:tr>
        <w:trPr>
          <w:trHeight w:val="486"/>
        </w:trPr>
        <w:tc>
          <w:tcPr>
            <w:tcW w:w="9260" w:type="dxa"/>
            <w:vAlign w:val="bottom"/>
          </w:tcPr>
          <w:p>
            <w:pPr>
              <w:ind w:left="160"/>
              <w:spacing w:after="0"/>
              <w:rPr>
                <w:sz w:val="20"/>
                <w:szCs w:val="20"/>
                <w:color w:val="auto"/>
              </w:rPr>
            </w:pPr>
            <w:r>
              <w:rPr>
                <w:rFonts w:ascii="Arial" w:cs="Arial" w:eastAsia="Arial" w:hAnsi="Arial"/>
                <w:sz w:val="22"/>
                <w:szCs w:val="22"/>
                <w:color w:val="auto"/>
              </w:rPr>
              <w:t>SECTION 13. Compensation of Directors</w:t>
            </w:r>
          </w:p>
        </w:tc>
        <w:tc>
          <w:tcPr>
            <w:tcW w:w="2160" w:type="dxa"/>
            <w:vAlign w:val="bottom"/>
          </w:tcPr>
          <w:p>
            <w:pPr>
              <w:jc w:val="right"/>
              <w:spacing w:after="0"/>
              <w:rPr>
                <w:sz w:val="20"/>
                <w:szCs w:val="20"/>
                <w:color w:val="auto"/>
              </w:rPr>
            </w:pPr>
            <w:r>
              <w:rPr>
                <w:rFonts w:ascii="Arial" w:cs="Arial" w:eastAsia="Arial" w:hAnsi="Arial"/>
                <w:sz w:val="22"/>
                <w:szCs w:val="22"/>
                <w:color w:val="auto"/>
              </w:rPr>
              <w:t>16</w:t>
            </w:r>
          </w:p>
        </w:tc>
      </w:tr>
      <w:tr>
        <w:trPr>
          <w:trHeight w:val="486"/>
        </w:trPr>
        <w:tc>
          <w:tcPr>
            <w:tcW w:w="9260" w:type="dxa"/>
            <w:vAlign w:val="bottom"/>
          </w:tcPr>
          <w:p>
            <w:pPr>
              <w:spacing w:after="0"/>
              <w:rPr>
                <w:sz w:val="20"/>
                <w:szCs w:val="20"/>
                <w:color w:val="auto"/>
              </w:rPr>
            </w:pPr>
            <w:r>
              <w:rPr>
                <w:rFonts w:ascii="Arial" w:cs="Arial" w:eastAsia="Arial" w:hAnsi="Arial"/>
                <w:sz w:val="22"/>
                <w:szCs w:val="22"/>
                <w:color w:val="auto"/>
              </w:rPr>
              <w:t>ARTICLE IV--COMMITTEES OF THE BOARD</w:t>
            </w:r>
          </w:p>
        </w:tc>
        <w:tc>
          <w:tcPr>
            <w:tcW w:w="2160" w:type="dxa"/>
            <w:vAlign w:val="bottom"/>
          </w:tcPr>
          <w:p>
            <w:pPr>
              <w:jc w:val="right"/>
              <w:spacing w:after="0"/>
              <w:rPr>
                <w:sz w:val="20"/>
                <w:szCs w:val="20"/>
                <w:color w:val="auto"/>
              </w:rPr>
            </w:pPr>
            <w:r>
              <w:rPr>
                <w:rFonts w:ascii="Arial" w:cs="Arial" w:eastAsia="Arial" w:hAnsi="Arial"/>
                <w:sz w:val="22"/>
                <w:szCs w:val="22"/>
                <w:color w:val="auto"/>
              </w:rPr>
              <w:t>17</w:t>
            </w:r>
          </w:p>
        </w:tc>
      </w:tr>
      <w:tr>
        <w:trPr>
          <w:trHeight w:val="486"/>
        </w:trPr>
        <w:tc>
          <w:tcPr>
            <w:tcW w:w="9260" w:type="dxa"/>
            <w:vAlign w:val="bottom"/>
          </w:tcPr>
          <w:p>
            <w:pPr>
              <w:ind w:left="160"/>
              <w:spacing w:after="0"/>
              <w:rPr>
                <w:sz w:val="20"/>
                <w:szCs w:val="20"/>
                <w:color w:val="auto"/>
              </w:rPr>
            </w:pPr>
            <w:r>
              <w:rPr>
                <w:rFonts w:ascii="Arial" w:cs="Arial" w:eastAsia="Arial" w:hAnsi="Arial"/>
                <w:sz w:val="22"/>
                <w:szCs w:val="22"/>
                <w:color w:val="auto"/>
              </w:rPr>
              <w:t>SECTION 1. Appointment and Powers of Audit Committee</w:t>
            </w:r>
          </w:p>
        </w:tc>
        <w:tc>
          <w:tcPr>
            <w:tcW w:w="2160" w:type="dxa"/>
            <w:vAlign w:val="bottom"/>
          </w:tcPr>
          <w:p>
            <w:pPr>
              <w:jc w:val="right"/>
              <w:spacing w:after="0"/>
              <w:rPr>
                <w:sz w:val="20"/>
                <w:szCs w:val="20"/>
                <w:color w:val="auto"/>
              </w:rPr>
            </w:pPr>
            <w:r>
              <w:rPr>
                <w:rFonts w:ascii="Arial" w:cs="Arial" w:eastAsia="Arial" w:hAnsi="Arial"/>
                <w:sz w:val="22"/>
                <w:szCs w:val="22"/>
                <w:color w:val="auto"/>
              </w:rPr>
              <w:t>17</w:t>
            </w:r>
          </w:p>
        </w:tc>
      </w:tr>
      <w:tr>
        <w:trPr>
          <w:trHeight w:val="486"/>
        </w:trPr>
        <w:tc>
          <w:tcPr>
            <w:tcW w:w="9260" w:type="dxa"/>
            <w:vAlign w:val="bottom"/>
          </w:tcPr>
          <w:p>
            <w:pPr>
              <w:ind w:left="160"/>
              <w:spacing w:after="0"/>
              <w:rPr>
                <w:sz w:val="20"/>
                <w:szCs w:val="20"/>
                <w:color w:val="auto"/>
              </w:rPr>
            </w:pPr>
            <w:r>
              <w:rPr>
                <w:rFonts w:ascii="Arial" w:cs="Arial" w:eastAsia="Arial" w:hAnsi="Arial"/>
                <w:sz w:val="22"/>
                <w:szCs w:val="22"/>
                <w:color w:val="auto"/>
              </w:rPr>
              <w:t>SECTION 2. Other Committees</w:t>
            </w:r>
          </w:p>
        </w:tc>
        <w:tc>
          <w:tcPr>
            <w:tcW w:w="2160" w:type="dxa"/>
            <w:vAlign w:val="bottom"/>
          </w:tcPr>
          <w:p>
            <w:pPr>
              <w:jc w:val="right"/>
              <w:spacing w:after="0"/>
              <w:rPr>
                <w:sz w:val="20"/>
                <w:szCs w:val="20"/>
                <w:color w:val="auto"/>
              </w:rPr>
            </w:pPr>
            <w:r>
              <w:rPr>
                <w:rFonts w:ascii="Arial" w:cs="Arial" w:eastAsia="Arial" w:hAnsi="Arial"/>
                <w:sz w:val="22"/>
                <w:szCs w:val="22"/>
                <w:color w:val="auto"/>
              </w:rPr>
              <w:t>17</w:t>
            </w:r>
          </w:p>
        </w:tc>
      </w:tr>
      <w:tr>
        <w:trPr>
          <w:trHeight w:val="486"/>
        </w:trPr>
        <w:tc>
          <w:tcPr>
            <w:tcW w:w="9260" w:type="dxa"/>
            <w:vAlign w:val="bottom"/>
          </w:tcPr>
          <w:p>
            <w:pPr>
              <w:ind w:left="160"/>
              <w:spacing w:after="0"/>
              <w:rPr>
                <w:sz w:val="20"/>
                <w:szCs w:val="20"/>
                <w:color w:val="auto"/>
              </w:rPr>
            </w:pPr>
            <w:r>
              <w:rPr>
                <w:rFonts w:ascii="Arial" w:cs="Arial" w:eastAsia="Arial" w:hAnsi="Arial"/>
                <w:sz w:val="22"/>
                <w:szCs w:val="22"/>
                <w:color w:val="auto"/>
              </w:rPr>
              <w:t>SECTION 3. Action by Consent; Participation by Telephone or Similar Equipment</w:t>
            </w:r>
          </w:p>
        </w:tc>
        <w:tc>
          <w:tcPr>
            <w:tcW w:w="2160" w:type="dxa"/>
            <w:vAlign w:val="bottom"/>
          </w:tcPr>
          <w:p>
            <w:pPr>
              <w:jc w:val="right"/>
              <w:spacing w:after="0"/>
              <w:rPr>
                <w:sz w:val="20"/>
                <w:szCs w:val="20"/>
                <w:color w:val="auto"/>
              </w:rPr>
            </w:pPr>
            <w:r>
              <w:rPr>
                <w:rFonts w:ascii="Arial" w:cs="Arial" w:eastAsia="Arial" w:hAnsi="Arial"/>
                <w:sz w:val="22"/>
                <w:szCs w:val="22"/>
                <w:color w:val="auto"/>
              </w:rPr>
              <w:t>17</w:t>
            </w:r>
          </w:p>
        </w:tc>
      </w:tr>
      <w:tr>
        <w:trPr>
          <w:trHeight w:val="486"/>
        </w:trPr>
        <w:tc>
          <w:tcPr>
            <w:tcW w:w="9260" w:type="dxa"/>
            <w:vAlign w:val="bottom"/>
          </w:tcPr>
          <w:p>
            <w:pPr>
              <w:ind w:left="160"/>
              <w:spacing w:after="0"/>
              <w:rPr>
                <w:sz w:val="20"/>
                <w:szCs w:val="20"/>
                <w:color w:val="auto"/>
              </w:rPr>
            </w:pPr>
            <w:r>
              <w:rPr>
                <w:rFonts w:ascii="Arial" w:cs="Arial" w:eastAsia="Arial" w:hAnsi="Arial"/>
                <w:sz w:val="22"/>
                <w:szCs w:val="22"/>
                <w:color w:val="auto"/>
              </w:rPr>
              <w:t>SECTION 4. Changes in Committees; Resignations; Removals</w:t>
            </w:r>
          </w:p>
        </w:tc>
        <w:tc>
          <w:tcPr>
            <w:tcW w:w="2160" w:type="dxa"/>
            <w:vAlign w:val="bottom"/>
          </w:tcPr>
          <w:p>
            <w:pPr>
              <w:jc w:val="right"/>
              <w:spacing w:after="0"/>
              <w:rPr>
                <w:sz w:val="20"/>
                <w:szCs w:val="20"/>
                <w:color w:val="auto"/>
              </w:rPr>
            </w:pPr>
            <w:r>
              <w:rPr>
                <w:rFonts w:ascii="Arial" w:cs="Arial" w:eastAsia="Arial" w:hAnsi="Arial"/>
                <w:sz w:val="22"/>
                <w:szCs w:val="22"/>
                <w:color w:val="auto"/>
              </w:rPr>
              <w:t>17</w:t>
            </w:r>
          </w:p>
        </w:tc>
      </w:tr>
      <w:tr>
        <w:trPr>
          <w:trHeight w:val="486"/>
        </w:trPr>
        <w:tc>
          <w:tcPr>
            <w:tcW w:w="9260" w:type="dxa"/>
            <w:vAlign w:val="bottom"/>
          </w:tcPr>
          <w:p>
            <w:pPr>
              <w:spacing w:after="0"/>
              <w:rPr>
                <w:sz w:val="20"/>
                <w:szCs w:val="20"/>
                <w:color w:val="auto"/>
              </w:rPr>
            </w:pPr>
            <w:r>
              <w:rPr>
                <w:rFonts w:ascii="Arial" w:cs="Arial" w:eastAsia="Arial" w:hAnsi="Arial"/>
                <w:sz w:val="22"/>
                <w:szCs w:val="22"/>
                <w:color w:val="auto"/>
              </w:rPr>
              <w:t>ARTICLE V--OFFICERS</w:t>
            </w:r>
          </w:p>
        </w:tc>
        <w:tc>
          <w:tcPr>
            <w:tcW w:w="2160" w:type="dxa"/>
            <w:vAlign w:val="bottom"/>
          </w:tcPr>
          <w:p>
            <w:pPr>
              <w:jc w:val="right"/>
              <w:spacing w:after="0"/>
              <w:rPr>
                <w:sz w:val="20"/>
                <w:szCs w:val="20"/>
                <w:color w:val="auto"/>
              </w:rPr>
            </w:pPr>
            <w:r>
              <w:rPr>
                <w:rFonts w:ascii="Arial" w:cs="Arial" w:eastAsia="Arial" w:hAnsi="Arial"/>
                <w:sz w:val="22"/>
                <w:szCs w:val="22"/>
                <w:color w:val="auto"/>
              </w:rPr>
              <w:t>18</w:t>
            </w:r>
          </w:p>
        </w:tc>
      </w:tr>
      <w:tr>
        <w:trPr>
          <w:trHeight w:val="486"/>
        </w:trPr>
        <w:tc>
          <w:tcPr>
            <w:tcW w:w="9260" w:type="dxa"/>
            <w:vAlign w:val="bottom"/>
          </w:tcPr>
          <w:p>
            <w:pPr>
              <w:ind w:left="160"/>
              <w:spacing w:after="0"/>
              <w:rPr>
                <w:sz w:val="20"/>
                <w:szCs w:val="20"/>
                <w:color w:val="auto"/>
              </w:rPr>
            </w:pPr>
            <w:r>
              <w:rPr>
                <w:rFonts w:ascii="Arial" w:cs="Arial" w:eastAsia="Arial" w:hAnsi="Arial"/>
                <w:sz w:val="22"/>
                <w:szCs w:val="22"/>
                <w:color w:val="auto"/>
              </w:rPr>
              <w:t>SECTION 1. Number and Qualifications</w:t>
            </w:r>
          </w:p>
        </w:tc>
        <w:tc>
          <w:tcPr>
            <w:tcW w:w="2160" w:type="dxa"/>
            <w:vAlign w:val="bottom"/>
          </w:tcPr>
          <w:p>
            <w:pPr>
              <w:jc w:val="right"/>
              <w:spacing w:after="0"/>
              <w:rPr>
                <w:sz w:val="20"/>
                <w:szCs w:val="20"/>
                <w:color w:val="auto"/>
              </w:rPr>
            </w:pPr>
            <w:r>
              <w:rPr>
                <w:rFonts w:ascii="Arial" w:cs="Arial" w:eastAsia="Arial" w:hAnsi="Arial"/>
                <w:sz w:val="22"/>
                <w:szCs w:val="22"/>
                <w:color w:val="auto"/>
              </w:rPr>
              <w:t>18</w:t>
            </w:r>
          </w:p>
        </w:tc>
      </w:tr>
      <w:tr>
        <w:trPr>
          <w:trHeight w:val="486"/>
        </w:trPr>
        <w:tc>
          <w:tcPr>
            <w:tcW w:w="9260" w:type="dxa"/>
            <w:vAlign w:val="bottom"/>
          </w:tcPr>
          <w:p>
            <w:pPr>
              <w:ind w:left="160"/>
              <w:spacing w:after="0"/>
              <w:rPr>
                <w:sz w:val="20"/>
                <w:szCs w:val="20"/>
                <w:color w:val="auto"/>
              </w:rPr>
            </w:pPr>
            <w:r>
              <w:rPr>
                <w:rFonts w:ascii="Arial" w:cs="Arial" w:eastAsia="Arial" w:hAnsi="Arial"/>
                <w:sz w:val="22"/>
                <w:szCs w:val="22"/>
                <w:color w:val="auto"/>
              </w:rPr>
              <w:t>SECTION 2. Resignations</w:t>
            </w:r>
          </w:p>
        </w:tc>
        <w:tc>
          <w:tcPr>
            <w:tcW w:w="2160" w:type="dxa"/>
            <w:vAlign w:val="bottom"/>
          </w:tcPr>
          <w:p>
            <w:pPr>
              <w:jc w:val="right"/>
              <w:spacing w:after="0"/>
              <w:rPr>
                <w:sz w:val="20"/>
                <w:szCs w:val="20"/>
                <w:color w:val="auto"/>
              </w:rPr>
            </w:pPr>
            <w:r>
              <w:rPr>
                <w:rFonts w:ascii="Arial" w:cs="Arial" w:eastAsia="Arial" w:hAnsi="Arial"/>
                <w:sz w:val="22"/>
                <w:szCs w:val="22"/>
                <w:color w:val="auto"/>
              </w:rPr>
              <w:t>18</w:t>
            </w:r>
          </w:p>
        </w:tc>
      </w:tr>
      <w:tr>
        <w:trPr>
          <w:trHeight w:val="486"/>
        </w:trPr>
        <w:tc>
          <w:tcPr>
            <w:tcW w:w="9260" w:type="dxa"/>
            <w:vAlign w:val="bottom"/>
          </w:tcPr>
          <w:p>
            <w:pPr>
              <w:ind w:left="160"/>
              <w:spacing w:after="0"/>
              <w:rPr>
                <w:sz w:val="20"/>
                <w:szCs w:val="20"/>
                <w:color w:val="auto"/>
              </w:rPr>
            </w:pPr>
            <w:r>
              <w:rPr>
                <w:rFonts w:ascii="Arial" w:cs="Arial" w:eastAsia="Arial" w:hAnsi="Arial"/>
                <w:sz w:val="22"/>
                <w:szCs w:val="22"/>
                <w:color w:val="auto"/>
              </w:rPr>
              <w:t>SECTION 3. Removal</w:t>
            </w:r>
          </w:p>
        </w:tc>
        <w:tc>
          <w:tcPr>
            <w:tcW w:w="2160" w:type="dxa"/>
            <w:vAlign w:val="bottom"/>
          </w:tcPr>
          <w:p>
            <w:pPr>
              <w:jc w:val="right"/>
              <w:spacing w:after="0"/>
              <w:rPr>
                <w:sz w:val="20"/>
                <w:szCs w:val="20"/>
                <w:color w:val="auto"/>
              </w:rPr>
            </w:pPr>
            <w:r>
              <w:rPr>
                <w:rFonts w:ascii="Arial" w:cs="Arial" w:eastAsia="Arial" w:hAnsi="Arial"/>
                <w:sz w:val="22"/>
                <w:szCs w:val="22"/>
                <w:color w:val="auto"/>
              </w:rPr>
              <w:t>18</w:t>
            </w:r>
          </w:p>
        </w:tc>
      </w:tr>
      <w:tr>
        <w:trPr>
          <w:trHeight w:val="486"/>
        </w:trPr>
        <w:tc>
          <w:tcPr>
            <w:tcW w:w="9260" w:type="dxa"/>
            <w:vAlign w:val="bottom"/>
          </w:tcPr>
          <w:p>
            <w:pPr>
              <w:ind w:left="160"/>
              <w:spacing w:after="0"/>
              <w:rPr>
                <w:sz w:val="20"/>
                <w:szCs w:val="20"/>
                <w:color w:val="auto"/>
              </w:rPr>
            </w:pPr>
            <w:r>
              <w:rPr>
                <w:rFonts w:ascii="Arial" w:cs="Arial" w:eastAsia="Arial" w:hAnsi="Arial"/>
                <w:sz w:val="22"/>
                <w:szCs w:val="22"/>
                <w:color w:val="auto"/>
              </w:rPr>
              <w:t>SECTION 4. Vacancies</w:t>
            </w:r>
          </w:p>
        </w:tc>
        <w:tc>
          <w:tcPr>
            <w:tcW w:w="2160" w:type="dxa"/>
            <w:vAlign w:val="bottom"/>
          </w:tcPr>
          <w:p>
            <w:pPr>
              <w:jc w:val="right"/>
              <w:spacing w:after="0"/>
              <w:rPr>
                <w:sz w:val="20"/>
                <w:szCs w:val="20"/>
                <w:color w:val="auto"/>
              </w:rPr>
            </w:pPr>
            <w:r>
              <w:rPr>
                <w:rFonts w:ascii="Arial" w:cs="Arial" w:eastAsia="Arial" w:hAnsi="Arial"/>
                <w:sz w:val="22"/>
                <w:szCs w:val="22"/>
                <w:color w:val="auto"/>
              </w:rPr>
              <w:t>18</w:t>
            </w:r>
          </w:p>
        </w:tc>
      </w:tr>
      <w:tr>
        <w:trPr>
          <w:trHeight w:val="486"/>
        </w:trPr>
        <w:tc>
          <w:tcPr>
            <w:tcW w:w="9260" w:type="dxa"/>
            <w:vAlign w:val="bottom"/>
          </w:tcPr>
          <w:p>
            <w:pPr>
              <w:ind w:left="160"/>
              <w:spacing w:after="0"/>
              <w:rPr>
                <w:sz w:val="20"/>
                <w:szCs w:val="20"/>
                <w:color w:val="auto"/>
              </w:rPr>
            </w:pPr>
            <w:r>
              <w:rPr>
                <w:rFonts w:ascii="Arial" w:cs="Arial" w:eastAsia="Arial" w:hAnsi="Arial"/>
                <w:sz w:val="22"/>
                <w:szCs w:val="22"/>
                <w:color w:val="auto"/>
              </w:rPr>
              <w:t>SECTION 5. Chairman of the Board</w:t>
            </w:r>
          </w:p>
        </w:tc>
        <w:tc>
          <w:tcPr>
            <w:tcW w:w="2160" w:type="dxa"/>
            <w:vAlign w:val="bottom"/>
          </w:tcPr>
          <w:p>
            <w:pPr>
              <w:jc w:val="right"/>
              <w:spacing w:after="0"/>
              <w:rPr>
                <w:sz w:val="20"/>
                <w:szCs w:val="20"/>
                <w:color w:val="auto"/>
              </w:rPr>
            </w:pPr>
            <w:r>
              <w:rPr>
                <w:rFonts w:ascii="Arial" w:cs="Arial" w:eastAsia="Arial" w:hAnsi="Arial"/>
                <w:sz w:val="22"/>
                <w:szCs w:val="22"/>
                <w:color w:val="auto"/>
              </w:rPr>
              <w:t>19</w:t>
            </w:r>
          </w:p>
        </w:tc>
      </w:tr>
      <w:tr>
        <w:trPr>
          <w:trHeight w:val="486"/>
        </w:trPr>
        <w:tc>
          <w:tcPr>
            <w:tcW w:w="9260" w:type="dxa"/>
            <w:vAlign w:val="bottom"/>
          </w:tcPr>
          <w:p>
            <w:pPr>
              <w:ind w:left="160"/>
              <w:spacing w:after="0"/>
              <w:rPr>
                <w:sz w:val="20"/>
                <w:szCs w:val="20"/>
                <w:color w:val="auto"/>
              </w:rPr>
            </w:pPr>
            <w:r>
              <w:rPr>
                <w:rFonts w:ascii="Arial" w:cs="Arial" w:eastAsia="Arial" w:hAnsi="Arial"/>
                <w:sz w:val="22"/>
                <w:szCs w:val="22"/>
                <w:color w:val="auto"/>
              </w:rPr>
              <w:t>SECTION 6. Vice Chairman of the Board</w:t>
            </w:r>
          </w:p>
        </w:tc>
        <w:tc>
          <w:tcPr>
            <w:tcW w:w="2160" w:type="dxa"/>
            <w:vAlign w:val="bottom"/>
          </w:tcPr>
          <w:p>
            <w:pPr>
              <w:jc w:val="right"/>
              <w:spacing w:after="0"/>
              <w:rPr>
                <w:sz w:val="20"/>
                <w:szCs w:val="20"/>
                <w:color w:val="auto"/>
              </w:rPr>
            </w:pPr>
            <w:r>
              <w:rPr>
                <w:rFonts w:ascii="Arial" w:cs="Arial" w:eastAsia="Arial" w:hAnsi="Arial"/>
                <w:sz w:val="22"/>
                <w:szCs w:val="22"/>
                <w:color w:val="auto"/>
              </w:rPr>
              <w:t>19</w:t>
            </w:r>
          </w:p>
        </w:tc>
      </w:tr>
      <w:tr>
        <w:trPr>
          <w:trHeight w:val="486"/>
        </w:trPr>
        <w:tc>
          <w:tcPr>
            <w:tcW w:w="9260" w:type="dxa"/>
            <w:vAlign w:val="bottom"/>
          </w:tcPr>
          <w:p>
            <w:pPr>
              <w:ind w:left="160"/>
              <w:spacing w:after="0"/>
              <w:rPr>
                <w:sz w:val="20"/>
                <w:szCs w:val="20"/>
                <w:color w:val="auto"/>
              </w:rPr>
            </w:pPr>
            <w:r>
              <w:rPr>
                <w:rFonts w:ascii="Arial" w:cs="Arial" w:eastAsia="Arial" w:hAnsi="Arial"/>
                <w:sz w:val="22"/>
                <w:szCs w:val="22"/>
                <w:color w:val="auto"/>
              </w:rPr>
              <w:t>SECTION 7. Chief Executive Officer</w:t>
            </w:r>
          </w:p>
        </w:tc>
        <w:tc>
          <w:tcPr>
            <w:tcW w:w="2160" w:type="dxa"/>
            <w:vAlign w:val="bottom"/>
          </w:tcPr>
          <w:p>
            <w:pPr>
              <w:jc w:val="right"/>
              <w:spacing w:after="0"/>
              <w:rPr>
                <w:sz w:val="20"/>
                <w:szCs w:val="20"/>
                <w:color w:val="auto"/>
              </w:rPr>
            </w:pPr>
            <w:r>
              <w:rPr>
                <w:rFonts w:ascii="Arial" w:cs="Arial" w:eastAsia="Arial" w:hAnsi="Arial"/>
                <w:sz w:val="22"/>
                <w:szCs w:val="22"/>
                <w:color w:val="auto"/>
              </w:rPr>
              <w:t>19</w:t>
            </w:r>
          </w:p>
        </w:tc>
      </w:tr>
      <w:tr>
        <w:trPr>
          <w:trHeight w:val="486"/>
        </w:trPr>
        <w:tc>
          <w:tcPr>
            <w:tcW w:w="9260" w:type="dxa"/>
            <w:vAlign w:val="bottom"/>
          </w:tcPr>
          <w:p>
            <w:pPr>
              <w:ind w:left="160"/>
              <w:spacing w:after="0"/>
              <w:rPr>
                <w:sz w:val="20"/>
                <w:szCs w:val="20"/>
                <w:color w:val="auto"/>
              </w:rPr>
            </w:pPr>
            <w:r>
              <w:rPr>
                <w:rFonts w:ascii="Arial" w:cs="Arial" w:eastAsia="Arial" w:hAnsi="Arial"/>
                <w:sz w:val="22"/>
                <w:szCs w:val="22"/>
                <w:color w:val="auto"/>
              </w:rPr>
              <w:t>SECTION 8. President</w:t>
            </w:r>
          </w:p>
        </w:tc>
        <w:tc>
          <w:tcPr>
            <w:tcW w:w="2160" w:type="dxa"/>
            <w:vAlign w:val="bottom"/>
          </w:tcPr>
          <w:p>
            <w:pPr>
              <w:jc w:val="right"/>
              <w:spacing w:after="0"/>
              <w:rPr>
                <w:sz w:val="20"/>
                <w:szCs w:val="20"/>
                <w:color w:val="auto"/>
              </w:rPr>
            </w:pPr>
            <w:r>
              <w:rPr>
                <w:rFonts w:ascii="Arial" w:cs="Arial" w:eastAsia="Arial" w:hAnsi="Arial"/>
                <w:sz w:val="22"/>
                <w:szCs w:val="22"/>
                <w:color w:val="auto"/>
              </w:rPr>
              <w:t>19</w:t>
            </w:r>
          </w:p>
        </w:tc>
      </w:tr>
      <w:tr>
        <w:trPr>
          <w:trHeight w:val="486"/>
        </w:trPr>
        <w:tc>
          <w:tcPr>
            <w:tcW w:w="9260" w:type="dxa"/>
            <w:vAlign w:val="bottom"/>
          </w:tcPr>
          <w:p>
            <w:pPr>
              <w:ind w:left="160"/>
              <w:spacing w:after="0"/>
              <w:rPr>
                <w:sz w:val="20"/>
                <w:szCs w:val="20"/>
                <w:color w:val="auto"/>
              </w:rPr>
            </w:pPr>
            <w:r>
              <w:rPr>
                <w:rFonts w:ascii="Arial" w:cs="Arial" w:eastAsia="Arial" w:hAnsi="Arial"/>
                <w:sz w:val="22"/>
                <w:szCs w:val="22"/>
                <w:color w:val="auto"/>
              </w:rPr>
              <w:t>SECTION 9. Vice Presidents</w:t>
            </w:r>
          </w:p>
        </w:tc>
        <w:tc>
          <w:tcPr>
            <w:tcW w:w="2160" w:type="dxa"/>
            <w:vAlign w:val="bottom"/>
          </w:tcPr>
          <w:p>
            <w:pPr>
              <w:jc w:val="right"/>
              <w:spacing w:after="0"/>
              <w:rPr>
                <w:sz w:val="20"/>
                <w:szCs w:val="20"/>
                <w:color w:val="auto"/>
              </w:rPr>
            </w:pPr>
            <w:r>
              <w:rPr>
                <w:rFonts w:ascii="Arial" w:cs="Arial" w:eastAsia="Arial" w:hAnsi="Arial"/>
                <w:sz w:val="22"/>
                <w:szCs w:val="22"/>
                <w:color w:val="auto"/>
              </w:rPr>
              <w:t>19</w:t>
            </w:r>
          </w:p>
        </w:tc>
      </w:tr>
      <w:tr>
        <w:trPr>
          <w:trHeight w:val="486"/>
        </w:trPr>
        <w:tc>
          <w:tcPr>
            <w:tcW w:w="9260" w:type="dxa"/>
            <w:vAlign w:val="bottom"/>
          </w:tcPr>
          <w:p>
            <w:pPr>
              <w:ind w:left="160"/>
              <w:spacing w:after="0"/>
              <w:rPr>
                <w:sz w:val="20"/>
                <w:szCs w:val="20"/>
                <w:color w:val="auto"/>
              </w:rPr>
            </w:pPr>
            <w:r>
              <w:rPr>
                <w:rFonts w:ascii="Arial" w:cs="Arial" w:eastAsia="Arial" w:hAnsi="Arial"/>
                <w:sz w:val="22"/>
                <w:szCs w:val="22"/>
                <w:color w:val="auto"/>
              </w:rPr>
              <w:t>SECTION 10. General Counsel</w:t>
            </w:r>
          </w:p>
        </w:tc>
        <w:tc>
          <w:tcPr>
            <w:tcW w:w="2160" w:type="dxa"/>
            <w:vAlign w:val="bottom"/>
          </w:tcPr>
          <w:p>
            <w:pPr>
              <w:jc w:val="right"/>
              <w:spacing w:after="0"/>
              <w:rPr>
                <w:sz w:val="20"/>
                <w:szCs w:val="20"/>
                <w:color w:val="auto"/>
              </w:rPr>
            </w:pPr>
            <w:r>
              <w:rPr>
                <w:rFonts w:ascii="Arial" w:cs="Arial" w:eastAsia="Arial" w:hAnsi="Arial"/>
                <w:sz w:val="22"/>
                <w:szCs w:val="22"/>
                <w:color w:val="auto"/>
              </w:rPr>
              <w:t>19</w:t>
            </w:r>
          </w:p>
        </w:tc>
      </w:tr>
      <w:tr>
        <w:trPr>
          <w:trHeight w:val="486"/>
        </w:trPr>
        <w:tc>
          <w:tcPr>
            <w:tcW w:w="9260" w:type="dxa"/>
            <w:vAlign w:val="bottom"/>
          </w:tcPr>
          <w:p>
            <w:pPr>
              <w:ind w:left="160"/>
              <w:spacing w:after="0"/>
              <w:rPr>
                <w:sz w:val="20"/>
                <w:szCs w:val="20"/>
                <w:color w:val="auto"/>
              </w:rPr>
            </w:pPr>
            <w:r>
              <w:rPr>
                <w:rFonts w:ascii="Arial" w:cs="Arial" w:eastAsia="Arial" w:hAnsi="Arial"/>
                <w:sz w:val="22"/>
                <w:szCs w:val="22"/>
                <w:color w:val="auto"/>
              </w:rPr>
              <w:t>SECTION 11. Treasurer</w:t>
            </w:r>
          </w:p>
        </w:tc>
        <w:tc>
          <w:tcPr>
            <w:tcW w:w="2160" w:type="dxa"/>
            <w:vAlign w:val="bottom"/>
          </w:tcPr>
          <w:p>
            <w:pPr>
              <w:jc w:val="right"/>
              <w:spacing w:after="0"/>
              <w:rPr>
                <w:sz w:val="20"/>
                <w:szCs w:val="20"/>
                <w:color w:val="auto"/>
              </w:rPr>
            </w:pPr>
            <w:r>
              <w:rPr>
                <w:rFonts w:ascii="Arial" w:cs="Arial" w:eastAsia="Arial" w:hAnsi="Arial"/>
                <w:sz w:val="22"/>
                <w:szCs w:val="22"/>
                <w:color w:val="auto"/>
              </w:rPr>
              <w:t>19</w:t>
            </w:r>
          </w:p>
        </w:tc>
      </w:tr>
      <w:tr>
        <w:trPr>
          <w:trHeight w:val="486"/>
        </w:trPr>
        <w:tc>
          <w:tcPr>
            <w:tcW w:w="9260" w:type="dxa"/>
            <w:vAlign w:val="bottom"/>
          </w:tcPr>
          <w:p>
            <w:pPr>
              <w:ind w:left="160"/>
              <w:spacing w:after="0"/>
              <w:rPr>
                <w:sz w:val="20"/>
                <w:szCs w:val="20"/>
                <w:color w:val="auto"/>
              </w:rPr>
            </w:pPr>
            <w:r>
              <w:rPr>
                <w:rFonts w:ascii="Arial" w:cs="Arial" w:eastAsia="Arial" w:hAnsi="Arial"/>
                <w:sz w:val="22"/>
                <w:szCs w:val="22"/>
                <w:color w:val="auto"/>
              </w:rPr>
              <w:t>SECTION 12. Secretary</w:t>
            </w:r>
          </w:p>
        </w:tc>
        <w:tc>
          <w:tcPr>
            <w:tcW w:w="2160" w:type="dxa"/>
            <w:vAlign w:val="bottom"/>
          </w:tcPr>
          <w:p>
            <w:pPr>
              <w:jc w:val="right"/>
              <w:spacing w:after="0"/>
              <w:rPr>
                <w:sz w:val="20"/>
                <w:szCs w:val="20"/>
                <w:color w:val="auto"/>
              </w:rPr>
            </w:pPr>
            <w:r>
              <w:rPr>
                <w:rFonts w:ascii="Arial" w:cs="Arial" w:eastAsia="Arial" w:hAnsi="Arial"/>
                <w:sz w:val="22"/>
                <w:szCs w:val="22"/>
                <w:color w:val="auto"/>
              </w:rPr>
              <w:t>20</w:t>
            </w:r>
          </w:p>
        </w:tc>
      </w:tr>
      <w:tr>
        <w:trPr>
          <w:trHeight w:val="486"/>
        </w:trPr>
        <w:tc>
          <w:tcPr>
            <w:tcW w:w="9260" w:type="dxa"/>
            <w:vAlign w:val="bottom"/>
          </w:tcPr>
          <w:p>
            <w:pPr>
              <w:ind w:left="160"/>
              <w:spacing w:after="0"/>
              <w:rPr>
                <w:sz w:val="20"/>
                <w:szCs w:val="20"/>
                <w:color w:val="auto"/>
              </w:rPr>
            </w:pPr>
            <w:r>
              <w:rPr>
                <w:rFonts w:ascii="Arial" w:cs="Arial" w:eastAsia="Arial" w:hAnsi="Arial"/>
                <w:sz w:val="22"/>
                <w:szCs w:val="22"/>
                <w:color w:val="auto"/>
              </w:rPr>
              <w:t>SECTION 13. Controller</w:t>
            </w:r>
          </w:p>
        </w:tc>
        <w:tc>
          <w:tcPr>
            <w:tcW w:w="2160" w:type="dxa"/>
            <w:vAlign w:val="bottom"/>
          </w:tcPr>
          <w:p>
            <w:pPr>
              <w:jc w:val="right"/>
              <w:spacing w:after="0"/>
              <w:rPr>
                <w:sz w:val="20"/>
                <w:szCs w:val="20"/>
                <w:color w:val="auto"/>
              </w:rPr>
            </w:pPr>
            <w:r>
              <w:rPr>
                <w:rFonts w:ascii="Arial" w:cs="Arial" w:eastAsia="Arial" w:hAnsi="Arial"/>
                <w:sz w:val="22"/>
                <w:szCs w:val="22"/>
                <w:color w:val="auto"/>
              </w:rPr>
              <w:t>20</w:t>
            </w:r>
          </w:p>
        </w:tc>
      </w:tr>
      <w:tr>
        <w:trPr>
          <w:trHeight w:val="486"/>
        </w:trPr>
        <w:tc>
          <w:tcPr>
            <w:tcW w:w="9260" w:type="dxa"/>
            <w:vAlign w:val="bottom"/>
          </w:tcPr>
          <w:p>
            <w:pPr>
              <w:ind w:left="160"/>
              <w:spacing w:after="0"/>
              <w:rPr>
                <w:sz w:val="20"/>
                <w:szCs w:val="20"/>
                <w:color w:val="auto"/>
              </w:rPr>
            </w:pPr>
            <w:r>
              <w:rPr>
                <w:rFonts w:ascii="Arial" w:cs="Arial" w:eastAsia="Arial" w:hAnsi="Arial"/>
                <w:sz w:val="22"/>
                <w:szCs w:val="22"/>
                <w:color w:val="auto"/>
              </w:rPr>
              <w:t>SECTION 14. Bonds of Officers</w:t>
            </w:r>
          </w:p>
        </w:tc>
        <w:tc>
          <w:tcPr>
            <w:tcW w:w="2160" w:type="dxa"/>
            <w:vAlign w:val="bottom"/>
          </w:tcPr>
          <w:p>
            <w:pPr>
              <w:jc w:val="right"/>
              <w:spacing w:after="0"/>
              <w:rPr>
                <w:sz w:val="20"/>
                <w:szCs w:val="20"/>
                <w:color w:val="auto"/>
              </w:rPr>
            </w:pPr>
            <w:r>
              <w:rPr>
                <w:rFonts w:ascii="Arial" w:cs="Arial" w:eastAsia="Arial" w:hAnsi="Arial"/>
                <w:sz w:val="22"/>
                <w:szCs w:val="22"/>
                <w:color w:val="auto"/>
              </w:rPr>
              <w:t>20</w:t>
            </w:r>
          </w:p>
        </w:tc>
      </w:tr>
      <w:tr>
        <w:trPr>
          <w:trHeight w:val="395"/>
        </w:trPr>
        <w:tc>
          <w:tcPr>
            <w:tcW w:w="9260" w:type="dxa"/>
            <w:vAlign w:val="bottom"/>
          </w:tcPr>
          <w:p>
            <w:pPr>
              <w:ind w:left="5660"/>
              <w:spacing w:after="0"/>
              <w:rPr>
                <w:sz w:val="20"/>
                <w:szCs w:val="20"/>
                <w:color w:val="auto"/>
              </w:rPr>
            </w:pPr>
            <w:r>
              <w:rPr>
                <w:rFonts w:ascii="Arial" w:cs="Arial" w:eastAsia="Arial" w:hAnsi="Arial"/>
                <w:sz w:val="18"/>
                <w:szCs w:val="18"/>
                <w:color w:val="auto"/>
              </w:rPr>
              <w:t>ii</w:t>
            </w:r>
          </w:p>
        </w:tc>
        <w:tc>
          <w:tcPr>
            <w:tcW w:w="2160" w:type="dxa"/>
            <w:vAlign w:val="bottom"/>
          </w:tcPr>
          <w:p>
            <w:pPr>
              <w:spacing w:after="0"/>
              <w:rPr>
                <w:sz w:val="24"/>
                <w:szCs w:val="24"/>
                <w:color w:val="auto"/>
              </w:rPr>
            </w:pPr>
          </w:p>
        </w:tc>
      </w:tr>
      <w:tr>
        <w:trPr>
          <w:trHeight w:val="250"/>
        </w:trPr>
        <w:tc>
          <w:tcPr>
            <w:tcW w:w="9260" w:type="dxa"/>
            <w:vAlign w:val="bottom"/>
            <w:tcBorders>
              <w:bottom w:val="single" w:sz="8" w:color="C0C0C0"/>
            </w:tcBorders>
          </w:tcPr>
          <w:p>
            <w:pPr>
              <w:spacing w:after="0"/>
              <w:rPr>
                <w:sz w:val="21"/>
                <w:szCs w:val="21"/>
                <w:color w:val="auto"/>
              </w:rPr>
            </w:pPr>
          </w:p>
        </w:tc>
        <w:tc>
          <w:tcPr>
            <w:tcW w:w="2160" w:type="dxa"/>
            <w:vAlign w:val="bottom"/>
            <w:tcBorders>
              <w:bottom w:val="single" w:sz="8" w:color="C0C0C0"/>
            </w:tcBorders>
          </w:tcPr>
          <w:p>
            <w:pPr>
              <w:spacing w:after="0"/>
              <w:rPr>
                <w:sz w:val="21"/>
                <w:szCs w:val="21"/>
                <w:color w:val="auto"/>
              </w:rPr>
            </w:pPr>
          </w:p>
        </w:tc>
      </w:tr>
    </w:tbl>
    <w:p>
      <w:pPr>
        <w:sectPr>
          <w:pgSz w:w="11900" w:h="16838" w:orient="portrait"/>
          <w:cols w:equalWidth="0" w:num="1">
            <w:col w:w="11420"/>
          </w:cols>
          <w:pgMar w:left="240" w:top="402" w:right="239" w:bottom="1440" w:gutter="0" w:footer="0" w:header="0"/>
        </w:sectPr>
      </w:pPr>
    </w:p>
    <w:bookmarkStart w:id="50" w:name="page51"/>
    <w:bookmarkEnd w:id="5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8640" w:type="dxa"/>
            <w:vAlign w:val="bottom"/>
          </w:tcPr>
          <w:p>
            <w:pPr>
              <w:ind w:left="160"/>
              <w:spacing w:after="0"/>
              <w:rPr>
                <w:sz w:val="20"/>
                <w:szCs w:val="20"/>
                <w:color w:val="auto"/>
              </w:rPr>
            </w:pPr>
            <w:r>
              <w:rPr>
                <w:rFonts w:ascii="Arial" w:cs="Arial" w:eastAsia="Arial" w:hAnsi="Arial"/>
                <w:sz w:val="22"/>
                <w:szCs w:val="22"/>
                <w:color w:val="auto"/>
              </w:rPr>
              <w:t>SECTION 15. Compensation</w:t>
            </w:r>
          </w:p>
        </w:tc>
        <w:tc>
          <w:tcPr>
            <w:tcW w:w="2780" w:type="dxa"/>
            <w:vAlign w:val="bottom"/>
          </w:tcPr>
          <w:p>
            <w:pPr>
              <w:jc w:val="right"/>
              <w:spacing w:after="0"/>
              <w:rPr>
                <w:sz w:val="20"/>
                <w:szCs w:val="20"/>
                <w:color w:val="auto"/>
              </w:rPr>
            </w:pPr>
            <w:r>
              <w:rPr>
                <w:rFonts w:ascii="Arial" w:cs="Arial" w:eastAsia="Arial" w:hAnsi="Arial"/>
                <w:sz w:val="22"/>
                <w:szCs w:val="22"/>
                <w:color w:val="auto"/>
              </w:rPr>
              <w:t>20</w:t>
            </w:r>
          </w:p>
        </w:tc>
      </w:tr>
      <w:tr>
        <w:trPr>
          <w:trHeight w:val="486"/>
        </w:trPr>
        <w:tc>
          <w:tcPr>
            <w:tcW w:w="8640" w:type="dxa"/>
            <w:vAlign w:val="bottom"/>
          </w:tcPr>
          <w:p>
            <w:pPr>
              <w:ind w:left="160"/>
              <w:spacing w:after="0"/>
              <w:rPr>
                <w:sz w:val="20"/>
                <w:szCs w:val="20"/>
                <w:color w:val="auto"/>
              </w:rPr>
            </w:pPr>
            <w:r>
              <w:rPr>
                <w:rFonts w:ascii="Arial" w:cs="Arial" w:eastAsia="Arial" w:hAnsi="Arial"/>
                <w:sz w:val="22"/>
                <w:szCs w:val="22"/>
                <w:color w:val="auto"/>
              </w:rPr>
              <w:t>SECTION 16. Officers of Operating Companies or Divisions</w:t>
            </w:r>
          </w:p>
        </w:tc>
        <w:tc>
          <w:tcPr>
            <w:tcW w:w="2780" w:type="dxa"/>
            <w:vAlign w:val="bottom"/>
          </w:tcPr>
          <w:p>
            <w:pPr>
              <w:jc w:val="right"/>
              <w:spacing w:after="0"/>
              <w:rPr>
                <w:sz w:val="20"/>
                <w:szCs w:val="20"/>
                <w:color w:val="auto"/>
              </w:rPr>
            </w:pPr>
            <w:r>
              <w:rPr>
                <w:rFonts w:ascii="Arial" w:cs="Arial" w:eastAsia="Arial" w:hAnsi="Arial"/>
                <w:sz w:val="22"/>
                <w:szCs w:val="22"/>
                <w:color w:val="auto"/>
              </w:rPr>
              <w:t>20</w:t>
            </w:r>
          </w:p>
        </w:tc>
      </w:tr>
      <w:tr>
        <w:trPr>
          <w:trHeight w:val="486"/>
        </w:trPr>
        <w:tc>
          <w:tcPr>
            <w:tcW w:w="8640" w:type="dxa"/>
            <w:vAlign w:val="bottom"/>
          </w:tcPr>
          <w:p>
            <w:pPr>
              <w:spacing w:after="0"/>
              <w:rPr>
                <w:sz w:val="20"/>
                <w:szCs w:val="20"/>
                <w:color w:val="auto"/>
              </w:rPr>
            </w:pPr>
            <w:r>
              <w:rPr>
                <w:rFonts w:ascii="Arial" w:cs="Arial" w:eastAsia="Arial" w:hAnsi="Arial"/>
                <w:sz w:val="22"/>
                <w:szCs w:val="22"/>
                <w:color w:val="auto"/>
              </w:rPr>
              <w:t>ARTICLE VI--CONTRACTS, CHECKS, LOANS, DEPOSITS, ETC.</w:t>
            </w:r>
          </w:p>
        </w:tc>
        <w:tc>
          <w:tcPr>
            <w:tcW w:w="2780" w:type="dxa"/>
            <w:vAlign w:val="bottom"/>
          </w:tcPr>
          <w:p>
            <w:pPr>
              <w:jc w:val="right"/>
              <w:spacing w:after="0"/>
              <w:rPr>
                <w:sz w:val="20"/>
                <w:szCs w:val="20"/>
                <w:color w:val="auto"/>
              </w:rPr>
            </w:pPr>
            <w:r>
              <w:rPr>
                <w:rFonts w:ascii="Arial" w:cs="Arial" w:eastAsia="Arial" w:hAnsi="Arial"/>
                <w:sz w:val="22"/>
                <w:szCs w:val="22"/>
                <w:color w:val="auto"/>
              </w:rPr>
              <w:t>20</w:t>
            </w:r>
          </w:p>
        </w:tc>
      </w:tr>
      <w:tr>
        <w:trPr>
          <w:trHeight w:val="486"/>
        </w:trPr>
        <w:tc>
          <w:tcPr>
            <w:tcW w:w="8640" w:type="dxa"/>
            <w:vAlign w:val="bottom"/>
          </w:tcPr>
          <w:p>
            <w:pPr>
              <w:ind w:left="160"/>
              <w:spacing w:after="0"/>
              <w:rPr>
                <w:sz w:val="20"/>
                <w:szCs w:val="20"/>
                <w:color w:val="auto"/>
              </w:rPr>
            </w:pPr>
            <w:r>
              <w:rPr>
                <w:rFonts w:ascii="Arial" w:cs="Arial" w:eastAsia="Arial" w:hAnsi="Arial"/>
                <w:sz w:val="22"/>
                <w:szCs w:val="22"/>
                <w:color w:val="auto"/>
              </w:rPr>
              <w:t>SECTION 1. Contracts</w:t>
            </w:r>
          </w:p>
        </w:tc>
        <w:tc>
          <w:tcPr>
            <w:tcW w:w="2780" w:type="dxa"/>
            <w:vAlign w:val="bottom"/>
          </w:tcPr>
          <w:p>
            <w:pPr>
              <w:jc w:val="right"/>
              <w:spacing w:after="0"/>
              <w:rPr>
                <w:sz w:val="20"/>
                <w:szCs w:val="20"/>
                <w:color w:val="auto"/>
              </w:rPr>
            </w:pPr>
            <w:r>
              <w:rPr>
                <w:rFonts w:ascii="Arial" w:cs="Arial" w:eastAsia="Arial" w:hAnsi="Arial"/>
                <w:sz w:val="22"/>
                <w:szCs w:val="22"/>
                <w:color w:val="auto"/>
              </w:rPr>
              <w:t>20</w:t>
            </w:r>
          </w:p>
        </w:tc>
      </w:tr>
      <w:tr>
        <w:trPr>
          <w:trHeight w:val="486"/>
        </w:trPr>
        <w:tc>
          <w:tcPr>
            <w:tcW w:w="8640" w:type="dxa"/>
            <w:vAlign w:val="bottom"/>
          </w:tcPr>
          <w:p>
            <w:pPr>
              <w:ind w:left="160"/>
              <w:spacing w:after="0"/>
              <w:rPr>
                <w:sz w:val="20"/>
                <w:szCs w:val="20"/>
                <w:color w:val="auto"/>
              </w:rPr>
            </w:pPr>
            <w:r>
              <w:rPr>
                <w:rFonts w:ascii="Arial" w:cs="Arial" w:eastAsia="Arial" w:hAnsi="Arial"/>
                <w:sz w:val="22"/>
                <w:szCs w:val="22"/>
                <w:color w:val="auto"/>
              </w:rPr>
              <w:t>SECTION 2. Checks, etc.</w:t>
            </w:r>
          </w:p>
        </w:tc>
        <w:tc>
          <w:tcPr>
            <w:tcW w:w="2780" w:type="dxa"/>
            <w:vAlign w:val="bottom"/>
          </w:tcPr>
          <w:p>
            <w:pPr>
              <w:jc w:val="right"/>
              <w:spacing w:after="0"/>
              <w:rPr>
                <w:sz w:val="20"/>
                <w:szCs w:val="20"/>
                <w:color w:val="auto"/>
              </w:rPr>
            </w:pPr>
            <w:r>
              <w:rPr>
                <w:rFonts w:ascii="Arial" w:cs="Arial" w:eastAsia="Arial" w:hAnsi="Arial"/>
                <w:sz w:val="22"/>
                <w:szCs w:val="22"/>
                <w:color w:val="auto"/>
              </w:rPr>
              <w:t>20</w:t>
            </w:r>
          </w:p>
        </w:tc>
      </w:tr>
      <w:tr>
        <w:trPr>
          <w:trHeight w:val="486"/>
        </w:trPr>
        <w:tc>
          <w:tcPr>
            <w:tcW w:w="8640" w:type="dxa"/>
            <w:vAlign w:val="bottom"/>
          </w:tcPr>
          <w:p>
            <w:pPr>
              <w:ind w:left="160"/>
              <w:spacing w:after="0"/>
              <w:rPr>
                <w:sz w:val="20"/>
                <w:szCs w:val="20"/>
                <w:color w:val="auto"/>
              </w:rPr>
            </w:pPr>
            <w:r>
              <w:rPr>
                <w:rFonts w:ascii="Arial" w:cs="Arial" w:eastAsia="Arial" w:hAnsi="Arial"/>
                <w:sz w:val="22"/>
                <w:szCs w:val="22"/>
                <w:color w:val="auto"/>
              </w:rPr>
              <w:t>SECTION 3. Loans</w:t>
            </w:r>
          </w:p>
        </w:tc>
        <w:tc>
          <w:tcPr>
            <w:tcW w:w="2780" w:type="dxa"/>
            <w:vAlign w:val="bottom"/>
          </w:tcPr>
          <w:p>
            <w:pPr>
              <w:jc w:val="right"/>
              <w:spacing w:after="0"/>
              <w:rPr>
                <w:sz w:val="20"/>
                <w:szCs w:val="20"/>
                <w:color w:val="auto"/>
              </w:rPr>
            </w:pPr>
            <w:r>
              <w:rPr>
                <w:rFonts w:ascii="Arial" w:cs="Arial" w:eastAsia="Arial" w:hAnsi="Arial"/>
                <w:sz w:val="22"/>
                <w:szCs w:val="22"/>
                <w:color w:val="auto"/>
              </w:rPr>
              <w:t>21</w:t>
            </w:r>
          </w:p>
        </w:tc>
      </w:tr>
      <w:tr>
        <w:trPr>
          <w:trHeight w:val="486"/>
        </w:trPr>
        <w:tc>
          <w:tcPr>
            <w:tcW w:w="8640" w:type="dxa"/>
            <w:vAlign w:val="bottom"/>
          </w:tcPr>
          <w:p>
            <w:pPr>
              <w:ind w:left="160"/>
              <w:spacing w:after="0"/>
              <w:rPr>
                <w:sz w:val="20"/>
                <w:szCs w:val="20"/>
                <w:color w:val="auto"/>
              </w:rPr>
            </w:pPr>
            <w:r>
              <w:rPr>
                <w:rFonts w:ascii="Arial" w:cs="Arial" w:eastAsia="Arial" w:hAnsi="Arial"/>
                <w:sz w:val="22"/>
                <w:szCs w:val="22"/>
                <w:color w:val="auto"/>
              </w:rPr>
              <w:t>SECTION 4. Deposits</w:t>
            </w:r>
          </w:p>
        </w:tc>
        <w:tc>
          <w:tcPr>
            <w:tcW w:w="2780" w:type="dxa"/>
            <w:vAlign w:val="bottom"/>
          </w:tcPr>
          <w:p>
            <w:pPr>
              <w:jc w:val="right"/>
              <w:spacing w:after="0"/>
              <w:rPr>
                <w:sz w:val="20"/>
                <w:szCs w:val="20"/>
                <w:color w:val="auto"/>
              </w:rPr>
            </w:pPr>
            <w:r>
              <w:rPr>
                <w:rFonts w:ascii="Arial" w:cs="Arial" w:eastAsia="Arial" w:hAnsi="Arial"/>
                <w:sz w:val="22"/>
                <w:szCs w:val="22"/>
                <w:color w:val="auto"/>
              </w:rPr>
              <w:t>21</w:t>
            </w:r>
          </w:p>
        </w:tc>
      </w:tr>
      <w:tr>
        <w:trPr>
          <w:trHeight w:val="486"/>
        </w:trPr>
        <w:tc>
          <w:tcPr>
            <w:tcW w:w="8640" w:type="dxa"/>
            <w:vAlign w:val="bottom"/>
          </w:tcPr>
          <w:p>
            <w:pPr>
              <w:spacing w:after="0"/>
              <w:rPr>
                <w:sz w:val="20"/>
                <w:szCs w:val="20"/>
                <w:color w:val="auto"/>
              </w:rPr>
            </w:pPr>
            <w:r>
              <w:rPr>
                <w:rFonts w:ascii="Arial" w:cs="Arial" w:eastAsia="Arial" w:hAnsi="Arial"/>
                <w:sz w:val="22"/>
                <w:szCs w:val="22"/>
                <w:color w:val="auto"/>
              </w:rPr>
              <w:t>ARTICLE VII--CAPITAL STOCK</w:t>
            </w:r>
          </w:p>
        </w:tc>
        <w:tc>
          <w:tcPr>
            <w:tcW w:w="2780" w:type="dxa"/>
            <w:vAlign w:val="bottom"/>
          </w:tcPr>
          <w:p>
            <w:pPr>
              <w:jc w:val="right"/>
              <w:spacing w:after="0"/>
              <w:rPr>
                <w:sz w:val="20"/>
                <w:szCs w:val="20"/>
                <w:color w:val="auto"/>
              </w:rPr>
            </w:pPr>
            <w:r>
              <w:rPr>
                <w:rFonts w:ascii="Arial" w:cs="Arial" w:eastAsia="Arial" w:hAnsi="Arial"/>
                <w:sz w:val="22"/>
                <w:szCs w:val="22"/>
                <w:color w:val="auto"/>
              </w:rPr>
              <w:t>21</w:t>
            </w:r>
          </w:p>
        </w:tc>
      </w:tr>
      <w:tr>
        <w:trPr>
          <w:trHeight w:val="486"/>
        </w:trPr>
        <w:tc>
          <w:tcPr>
            <w:tcW w:w="8640" w:type="dxa"/>
            <w:vAlign w:val="bottom"/>
          </w:tcPr>
          <w:p>
            <w:pPr>
              <w:ind w:left="160"/>
              <w:spacing w:after="0"/>
              <w:rPr>
                <w:sz w:val="20"/>
                <w:szCs w:val="20"/>
                <w:color w:val="auto"/>
              </w:rPr>
            </w:pPr>
            <w:r>
              <w:rPr>
                <w:rFonts w:ascii="Arial" w:cs="Arial" w:eastAsia="Arial" w:hAnsi="Arial"/>
                <w:sz w:val="22"/>
                <w:szCs w:val="22"/>
                <w:color w:val="auto"/>
              </w:rPr>
              <w:t>SECTION 1. Stock Certificates and Uncertificated Shares</w:t>
            </w:r>
          </w:p>
        </w:tc>
        <w:tc>
          <w:tcPr>
            <w:tcW w:w="2780" w:type="dxa"/>
            <w:vAlign w:val="bottom"/>
          </w:tcPr>
          <w:p>
            <w:pPr>
              <w:jc w:val="right"/>
              <w:spacing w:after="0"/>
              <w:rPr>
                <w:sz w:val="20"/>
                <w:szCs w:val="20"/>
                <w:color w:val="auto"/>
              </w:rPr>
            </w:pPr>
            <w:r>
              <w:rPr>
                <w:rFonts w:ascii="Arial" w:cs="Arial" w:eastAsia="Arial" w:hAnsi="Arial"/>
                <w:sz w:val="22"/>
                <w:szCs w:val="22"/>
                <w:color w:val="auto"/>
              </w:rPr>
              <w:t>21</w:t>
            </w:r>
          </w:p>
        </w:tc>
      </w:tr>
      <w:tr>
        <w:trPr>
          <w:trHeight w:val="486"/>
        </w:trPr>
        <w:tc>
          <w:tcPr>
            <w:tcW w:w="8640" w:type="dxa"/>
            <w:vAlign w:val="bottom"/>
          </w:tcPr>
          <w:p>
            <w:pPr>
              <w:ind w:left="160"/>
              <w:spacing w:after="0"/>
              <w:rPr>
                <w:sz w:val="20"/>
                <w:szCs w:val="20"/>
                <w:color w:val="auto"/>
              </w:rPr>
            </w:pPr>
            <w:r>
              <w:rPr>
                <w:rFonts w:ascii="Arial" w:cs="Arial" w:eastAsia="Arial" w:hAnsi="Arial"/>
                <w:sz w:val="22"/>
                <w:szCs w:val="22"/>
                <w:color w:val="auto"/>
              </w:rPr>
              <w:t>SECTION 2. List of Stockholders Entitled to Vote</w:t>
            </w:r>
          </w:p>
        </w:tc>
        <w:tc>
          <w:tcPr>
            <w:tcW w:w="2780" w:type="dxa"/>
            <w:vAlign w:val="bottom"/>
          </w:tcPr>
          <w:p>
            <w:pPr>
              <w:jc w:val="right"/>
              <w:spacing w:after="0"/>
              <w:rPr>
                <w:sz w:val="20"/>
                <w:szCs w:val="20"/>
                <w:color w:val="auto"/>
              </w:rPr>
            </w:pPr>
            <w:r>
              <w:rPr>
                <w:rFonts w:ascii="Arial" w:cs="Arial" w:eastAsia="Arial" w:hAnsi="Arial"/>
                <w:sz w:val="22"/>
                <w:szCs w:val="22"/>
                <w:color w:val="auto"/>
              </w:rPr>
              <w:t>21</w:t>
            </w:r>
          </w:p>
        </w:tc>
      </w:tr>
      <w:tr>
        <w:trPr>
          <w:trHeight w:val="486"/>
        </w:trPr>
        <w:tc>
          <w:tcPr>
            <w:tcW w:w="8640" w:type="dxa"/>
            <w:vAlign w:val="bottom"/>
          </w:tcPr>
          <w:p>
            <w:pPr>
              <w:ind w:left="160"/>
              <w:spacing w:after="0"/>
              <w:rPr>
                <w:sz w:val="20"/>
                <w:szCs w:val="20"/>
                <w:color w:val="auto"/>
              </w:rPr>
            </w:pPr>
            <w:r>
              <w:rPr>
                <w:rFonts w:ascii="Arial" w:cs="Arial" w:eastAsia="Arial" w:hAnsi="Arial"/>
                <w:sz w:val="22"/>
                <w:szCs w:val="22"/>
                <w:color w:val="auto"/>
              </w:rPr>
              <w:t>SECTION 3. Stock Ledger</w:t>
            </w:r>
          </w:p>
        </w:tc>
        <w:tc>
          <w:tcPr>
            <w:tcW w:w="2780" w:type="dxa"/>
            <w:vAlign w:val="bottom"/>
          </w:tcPr>
          <w:p>
            <w:pPr>
              <w:jc w:val="right"/>
              <w:spacing w:after="0"/>
              <w:rPr>
                <w:sz w:val="20"/>
                <w:szCs w:val="20"/>
                <w:color w:val="auto"/>
              </w:rPr>
            </w:pPr>
            <w:r>
              <w:rPr>
                <w:rFonts w:ascii="Arial" w:cs="Arial" w:eastAsia="Arial" w:hAnsi="Arial"/>
                <w:sz w:val="22"/>
                <w:szCs w:val="22"/>
                <w:color w:val="auto"/>
              </w:rPr>
              <w:t>22</w:t>
            </w:r>
          </w:p>
        </w:tc>
      </w:tr>
      <w:tr>
        <w:trPr>
          <w:trHeight w:val="486"/>
        </w:trPr>
        <w:tc>
          <w:tcPr>
            <w:tcW w:w="8640" w:type="dxa"/>
            <w:vAlign w:val="bottom"/>
          </w:tcPr>
          <w:p>
            <w:pPr>
              <w:ind w:left="160"/>
              <w:spacing w:after="0"/>
              <w:rPr>
                <w:sz w:val="20"/>
                <w:szCs w:val="20"/>
                <w:color w:val="auto"/>
              </w:rPr>
            </w:pPr>
            <w:r>
              <w:rPr>
                <w:rFonts w:ascii="Arial" w:cs="Arial" w:eastAsia="Arial" w:hAnsi="Arial"/>
                <w:sz w:val="22"/>
                <w:szCs w:val="22"/>
                <w:color w:val="auto"/>
              </w:rPr>
              <w:t>SECTION 4. Transfers of Capital Stock</w:t>
            </w:r>
          </w:p>
        </w:tc>
        <w:tc>
          <w:tcPr>
            <w:tcW w:w="2780" w:type="dxa"/>
            <w:vAlign w:val="bottom"/>
          </w:tcPr>
          <w:p>
            <w:pPr>
              <w:jc w:val="right"/>
              <w:spacing w:after="0"/>
              <w:rPr>
                <w:sz w:val="20"/>
                <w:szCs w:val="20"/>
                <w:color w:val="auto"/>
              </w:rPr>
            </w:pPr>
            <w:r>
              <w:rPr>
                <w:rFonts w:ascii="Arial" w:cs="Arial" w:eastAsia="Arial" w:hAnsi="Arial"/>
                <w:sz w:val="22"/>
                <w:szCs w:val="22"/>
                <w:color w:val="auto"/>
              </w:rPr>
              <w:t>22</w:t>
            </w:r>
          </w:p>
        </w:tc>
      </w:tr>
      <w:tr>
        <w:trPr>
          <w:trHeight w:val="486"/>
        </w:trPr>
        <w:tc>
          <w:tcPr>
            <w:tcW w:w="8640" w:type="dxa"/>
            <w:vAlign w:val="bottom"/>
          </w:tcPr>
          <w:p>
            <w:pPr>
              <w:ind w:left="160"/>
              <w:spacing w:after="0"/>
              <w:rPr>
                <w:sz w:val="20"/>
                <w:szCs w:val="20"/>
                <w:color w:val="auto"/>
              </w:rPr>
            </w:pPr>
            <w:r>
              <w:rPr>
                <w:rFonts w:ascii="Arial" w:cs="Arial" w:eastAsia="Arial" w:hAnsi="Arial"/>
                <w:sz w:val="22"/>
                <w:szCs w:val="22"/>
                <w:color w:val="auto"/>
              </w:rPr>
              <w:t>SECTION 5. Lost Certificates</w:t>
            </w:r>
          </w:p>
        </w:tc>
        <w:tc>
          <w:tcPr>
            <w:tcW w:w="2780" w:type="dxa"/>
            <w:vAlign w:val="bottom"/>
          </w:tcPr>
          <w:p>
            <w:pPr>
              <w:jc w:val="right"/>
              <w:spacing w:after="0"/>
              <w:rPr>
                <w:sz w:val="20"/>
                <w:szCs w:val="20"/>
                <w:color w:val="auto"/>
              </w:rPr>
            </w:pPr>
            <w:r>
              <w:rPr>
                <w:rFonts w:ascii="Arial" w:cs="Arial" w:eastAsia="Arial" w:hAnsi="Arial"/>
                <w:sz w:val="22"/>
                <w:szCs w:val="22"/>
                <w:color w:val="auto"/>
              </w:rPr>
              <w:t>22</w:t>
            </w:r>
          </w:p>
        </w:tc>
      </w:tr>
      <w:tr>
        <w:trPr>
          <w:trHeight w:val="486"/>
        </w:trPr>
        <w:tc>
          <w:tcPr>
            <w:tcW w:w="8640" w:type="dxa"/>
            <w:vAlign w:val="bottom"/>
          </w:tcPr>
          <w:p>
            <w:pPr>
              <w:ind w:left="160"/>
              <w:spacing w:after="0"/>
              <w:rPr>
                <w:sz w:val="20"/>
                <w:szCs w:val="20"/>
                <w:color w:val="auto"/>
              </w:rPr>
            </w:pPr>
            <w:r>
              <w:rPr>
                <w:rFonts w:ascii="Arial" w:cs="Arial" w:eastAsia="Arial" w:hAnsi="Arial"/>
                <w:sz w:val="22"/>
                <w:szCs w:val="22"/>
                <w:color w:val="auto"/>
              </w:rPr>
              <w:t>SECTION 6. Fixing of Record Date</w:t>
            </w:r>
          </w:p>
        </w:tc>
        <w:tc>
          <w:tcPr>
            <w:tcW w:w="2780" w:type="dxa"/>
            <w:vAlign w:val="bottom"/>
          </w:tcPr>
          <w:p>
            <w:pPr>
              <w:jc w:val="right"/>
              <w:spacing w:after="0"/>
              <w:rPr>
                <w:sz w:val="20"/>
                <w:szCs w:val="20"/>
                <w:color w:val="auto"/>
              </w:rPr>
            </w:pPr>
            <w:r>
              <w:rPr>
                <w:rFonts w:ascii="Arial" w:cs="Arial" w:eastAsia="Arial" w:hAnsi="Arial"/>
                <w:sz w:val="22"/>
                <w:szCs w:val="22"/>
                <w:color w:val="auto"/>
              </w:rPr>
              <w:t>22</w:t>
            </w:r>
          </w:p>
        </w:tc>
      </w:tr>
      <w:tr>
        <w:trPr>
          <w:trHeight w:val="486"/>
        </w:trPr>
        <w:tc>
          <w:tcPr>
            <w:tcW w:w="8640" w:type="dxa"/>
            <w:vAlign w:val="bottom"/>
          </w:tcPr>
          <w:p>
            <w:pPr>
              <w:ind w:left="160"/>
              <w:spacing w:after="0"/>
              <w:rPr>
                <w:sz w:val="20"/>
                <w:szCs w:val="20"/>
                <w:color w:val="auto"/>
              </w:rPr>
            </w:pPr>
            <w:r>
              <w:rPr>
                <w:rFonts w:ascii="Arial" w:cs="Arial" w:eastAsia="Arial" w:hAnsi="Arial"/>
                <w:sz w:val="22"/>
                <w:szCs w:val="22"/>
                <w:color w:val="auto"/>
              </w:rPr>
              <w:t>SECTION 7. Registered Owners</w:t>
            </w:r>
          </w:p>
        </w:tc>
        <w:tc>
          <w:tcPr>
            <w:tcW w:w="2780" w:type="dxa"/>
            <w:vAlign w:val="bottom"/>
          </w:tcPr>
          <w:p>
            <w:pPr>
              <w:jc w:val="right"/>
              <w:spacing w:after="0"/>
              <w:rPr>
                <w:sz w:val="20"/>
                <w:szCs w:val="20"/>
                <w:color w:val="auto"/>
              </w:rPr>
            </w:pPr>
            <w:r>
              <w:rPr>
                <w:rFonts w:ascii="Arial" w:cs="Arial" w:eastAsia="Arial" w:hAnsi="Arial"/>
                <w:sz w:val="22"/>
                <w:szCs w:val="22"/>
                <w:color w:val="auto"/>
              </w:rPr>
              <w:t>22</w:t>
            </w:r>
          </w:p>
        </w:tc>
      </w:tr>
      <w:tr>
        <w:trPr>
          <w:trHeight w:val="486"/>
        </w:trPr>
        <w:tc>
          <w:tcPr>
            <w:tcW w:w="8640" w:type="dxa"/>
            <w:vAlign w:val="bottom"/>
          </w:tcPr>
          <w:p>
            <w:pPr>
              <w:ind w:left="160"/>
              <w:spacing w:after="0"/>
              <w:rPr>
                <w:sz w:val="20"/>
                <w:szCs w:val="20"/>
                <w:color w:val="auto"/>
              </w:rPr>
            </w:pPr>
            <w:r>
              <w:rPr>
                <w:rFonts w:ascii="Arial" w:cs="Arial" w:eastAsia="Arial" w:hAnsi="Arial"/>
                <w:sz w:val="22"/>
                <w:szCs w:val="22"/>
                <w:color w:val="auto"/>
              </w:rPr>
              <w:t>SECTION 8. Rights Plans</w:t>
            </w:r>
          </w:p>
        </w:tc>
        <w:tc>
          <w:tcPr>
            <w:tcW w:w="2780" w:type="dxa"/>
            <w:vAlign w:val="bottom"/>
          </w:tcPr>
          <w:p>
            <w:pPr>
              <w:jc w:val="right"/>
              <w:spacing w:after="0"/>
              <w:rPr>
                <w:sz w:val="20"/>
                <w:szCs w:val="20"/>
                <w:color w:val="auto"/>
              </w:rPr>
            </w:pPr>
            <w:r>
              <w:rPr>
                <w:rFonts w:ascii="Arial" w:cs="Arial" w:eastAsia="Arial" w:hAnsi="Arial"/>
                <w:sz w:val="22"/>
                <w:szCs w:val="22"/>
                <w:color w:val="auto"/>
              </w:rPr>
              <w:t>23</w:t>
            </w:r>
          </w:p>
        </w:tc>
      </w:tr>
      <w:tr>
        <w:trPr>
          <w:trHeight w:val="486"/>
        </w:trPr>
        <w:tc>
          <w:tcPr>
            <w:tcW w:w="8640" w:type="dxa"/>
            <w:vAlign w:val="bottom"/>
          </w:tcPr>
          <w:p>
            <w:pPr>
              <w:spacing w:after="0"/>
              <w:rPr>
                <w:sz w:val="20"/>
                <w:szCs w:val="20"/>
                <w:color w:val="auto"/>
              </w:rPr>
            </w:pPr>
            <w:r>
              <w:rPr>
                <w:rFonts w:ascii="Arial" w:cs="Arial" w:eastAsia="Arial" w:hAnsi="Arial"/>
                <w:sz w:val="22"/>
                <w:szCs w:val="22"/>
                <w:color w:val="auto"/>
              </w:rPr>
              <w:t>ARTICLE VIII--FISCAL YEAR</w:t>
            </w:r>
          </w:p>
        </w:tc>
        <w:tc>
          <w:tcPr>
            <w:tcW w:w="2780" w:type="dxa"/>
            <w:vAlign w:val="bottom"/>
          </w:tcPr>
          <w:p>
            <w:pPr>
              <w:jc w:val="right"/>
              <w:spacing w:after="0"/>
              <w:rPr>
                <w:sz w:val="20"/>
                <w:szCs w:val="20"/>
                <w:color w:val="auto"/>
              </w:rPr>
            </w:pPr>
            <w:r>
              <w:rPr>
                <w:rFonts w:ascii="Arial" w:cs="Arial" w:eastAsia="Arial" w:hAnsi="Arial"/>
                <w:sz w:val="22"/>
                <w:szCs w:val="22"/>
                <w:color w:val="auto"/>
              </w:rPr>
              <w:t>23</w:t>
            </w:r>
          </w:p>
        </w:tc>
      </w:tr>
      <w:tr>
        <w:trPr>
          <w:trHeight w:val="486"/>
        </w:trPr>
        <w:tc>
          <w:tcPr>
            <w:tcW w:w="8640" w:type="dxa"/>
            <w:vAlign w:val="bottom"/>
          </w:tcPr>
          <w:p>
            <w:pPr>
              <w:spacing w:after="0"/>
              <w:rPr>
                <w:sz w:val="20"/>
                <w:szCs w:val="20"/>
                <w:color w:val="auto"/>
              </w:rPr>
            </w:pPr>
            <w:r>
              <w:rPr>
                <w:rFonts w:ascii="Arial" w:cs="Arial" w:eastAsia="Arial" w:hAnsi="Arial"/>
                <w:sz w:val="22"/>
                <w:szCs w:val="22"/>
                <w:color w:val="auto"/>
              </w:rPr>
              <w:t>ARTICLE IX--SEAL</w:t>
            </w:r>
          </w:p>
        </w:tc>
        <w:tc>
          <w:tcPr>
            <w:tcW w:w="2780" w:type="dxa"/>
            <w:vAlign w:val="bottom"/>
          </w:tcPr>
          <w:p>
            <w:pPr>
              <w:jc w:val="right"/>
              <w:spacing w:after="0"/>
              <w:rPr>
                <w:sz w:val="20"/>
                <w:szCs w:val="20"/>
                <w:color w:val="auto"/>
              </w:rPr>
            </w:pPr>
            <w:r>
              <w:rPr>
                <w:rFonts w:ascii="Arial" w:cs="Arial" w:eastAsia="Arial" w:hAnsi="Arial"/>
                <w:sz w:val="22"/>
                <w:szCs w:val="22"/>
                <w:color w:val="auto"/>
              </w:rPr>
              <w:t>23</w:t>
            </w:r>
          </w:p>
        </w:tc>
      </w:tr>
      <w:tr>
        <w:trPr>
          <w:trHeight w:val="486"/>
        </w:trPr>
        <w:tc>
          <w:tcPr>
            <w:tcW w:w="8640" w:type="dxa"/>
            <w:vAlign w:val="bottom"/>
          </w:tcPr>
          <w:p>
            <w:pPr>
              <w:spacing w:after="0"/>
              <w:rPr>
                <w:sz w:val="20"/>
                <w:szCs w:val="20"/>
                <w:color w:val="auto"/>
              </w:rPr>
            </w:pPr>
            <w:r>
              <w:rPr>
                <w:rFonts w:ascii="Arial" w:cs="Arial" w:eastAsia="Arial" w:hAnsi="Arial"/>
                <w:sz w:val="22"/>
                <w:szCs w:val="22"/>
                <w:color w:val="auto"/>
              </w:rPr>
              <w:t>ARTICLE X--WAIVER OF NOTICE</w:t>
            </w:r>
          </w:p>
        </w:tc>
        <w:tc>
          <w:tcPr>
            <w:tcW w:w="2780" w:type="dxa"/>
            <w:vAlign w:val="bottom"/>
          </w:tcPr>
          <w:p>
            <w:pPr>
              <w:jc w:val="right"/>
              <w:spacing w:after="0"/>
              <w:rPr>
                <w:sz w:val="20"/>
                <w:szCs w:val="20"/>
                <w:color w:val="auto"/>
              </w:rPr>
            </w:pPr>
            <w:r>
              <w:rPr>
                <w:rFonts w:ascii="Arial" w:cs="Arial" w:eastAsia="Arial" w:hAnsi="Arial"/>
                <w:sz w:val="22"/>
                <w:szCs w:val="22"/>
                <w:color w:val="auto"/>
              </w:rPr>
              <w:t>23</w:t>
            </w:r>
          </w:p>
        </w:tc>
      </w:tr>
      <w:tr>
        <w:trPr>
          <w:trHeight w:val="486"/>
        </w:trPr>
        <w:tc>
          <w:tcPr>
            <w:tcW w:w="8640" w:type="dxa"/>
            <w:vAlign w:val="bottom"/>
          </w:tcPr>
          <w:p>
            <w:pPr>
              <w:spacing w:after="0"/>
              <w:rPr>
                <w:sz w:val="20"/>
                <w:szCs w:val="20"/>
                <w:color w:val="auto"/>
              </w:rPr>
            </w:pPr>
            <w:r>
              <w:rPr>
                <w:rFonts w:ascii="Arial" w:cs="Arial" w:eastAsia="Arial" w:hAnsi="Arial"/>
                <w:sz w:val="22"/>
                <w:szCs w:val="22"/>
                <w:color w:val="auto"/>
              </w:rPr>
              <w:t>ARTICLE XI--AMENDMENTS</w:t>
            </w:r>
          </w:p>
        </w:tc>
        <w:tc>
          <w:tcPr>
            <w:tcW w:w="2780" w:type="dxa"/>
            <w:vAlign w:val="bottom"/>
          </w:tcPr>
          <w:p>
            <w:pPr>
              <w:jc w:val="right"/>
              <w:spacing w:after="0"/>
              <w:rPr>
                <w:sz w:val="20"/>
                <w:szCs w:val="20"/>
                <w:color w:val="auto"/>
              </w:rPr>
            </w:pPr>
            <w:r>
              <w:rPr>
                <w:rFonts w:ascii="Arial" w:cs="Arial" w:eastAsia="Arial" w:hAnsi="Arial"/>
                <w:sz w:val="22"/>
                <w:szCs w:val="22"/>
                <w:color w:val="auto"/>
              </w:rPr>
              <w:t>23</w:t>
            </w:r>
          </w:p>
        </w:tc>
      </w:tr>
      <w:tr>
        <w:trPr>
          <w:trHeight w:val="486"/>
        </w:trPr>
        <w:tc>
          <w:tcPr>
            <w:tcW w:w="8640" w:type="dxa"/>
            <w:vAlign w:val="bottom"/>
          </w:tcPr>
          <w:p>
            <w:pPr>
              <w:spacing w:after="0"/>
              <w:rPr>
                <w:sz w:val="20"/>
                <w:szCs w:val="20"/>
                <w:color w:val="auto"/>
              </w:rPr>
            </w:pPr>
            <w:r>
              <w:rPr>
                <w:rFonts w:ascii="Arial" w:cs="Arial" w:eastAsia="Arial" w:hAnsi="Arial"/>
                <w:sz w:val="22"/>
                <w:szCs w:val="22"/>
                <w:color w:val="auto"/>
              </w:rPr>
              <w:t>ARTICLE XII--FORUM FOR ADJUDICATION OF DISPUTES</w:t>
            </w:r>
          </w:p>
        </w:tc>
        <w:tc>
          <w:tcPr>
            <w:tcW w:w="2780" w:type="dxa"/>
            <w:vAlign w:val="bottom"/>
          </w:tcPr>
          <w:p>
            <w:pPr>
              <w:jc w:val="right"/>
              <w:spacing w:after="0"/>
              <w:rPr>
                <w:sz w:val="20"/>
                <w:szCs w:val="20"/>
                <w:color w:val="auto"/>
              </w:rPr>
            </w:pPr>
            <w:r>
              <w:rPr>
                <w:rFonts w:ascii="Arial" w:cs="Arial" w:eastAsia="Arial" w:hAnsi="Arial"/>
                <w:sz w:val="22"/>
                <w:szCs w:val="22"/>
                <w:color w:val="auto"/>
              </w:rPr>
              <w:t>24</w:t>
            </w:r>
          </w:p>
        </w:tc>
      </w:tr>
      <w:tr>
        <w:trPr>
          <w:trHeight w:val="486"/>
        </w:trPr>
        <w:tc>
          <w:tcPr>
            <w:tcW w:w="8640" w:type="dxa"/>
            <w:vAlign w:val="bottom"/>
          </w:tcPr>
          <w:p>
            <w:pPr>
              <w:spacing w:after="0"/>
              <w:rPr>
                <w:sz w:val="20"/>
                <w:szCs w:val="20"/>
                <w:color w:val="auto"/>
              </w:rPr>
            </w:pPr>
            <w:r>
              <w:rPr>
                <w:rFonts w:ascii="Arial" w:cs="Arial" w:eastAsia="Arial" w:hAnsi="Arial"/>
                <w:sz w:val="22"/>
                <w:szCs w:val="22"/>
                <w:color w:val="auto"/>
              </w:rPr>
              <w:t>ARTICLE XIII--EMERGENCY BY-LAWS</w:t>
            </w:r>
          </w:p>
        </w:tc>
        <w:tc>
          <w:tcPr>
            <w:tcW w:w="2780" w:type="dxa"/>
            <w:vAlign w:val="bottom"/>
          </w:tcPr>
          <w:p>
            <w:pPr>
              <w:jc w:val="right"/>
              <w:spacing w:after="0"/>
              <w:rPr>
                <w:sz w:val="20"/>
                <w:szCs w:val="20"/>
                <w:color w:val="auto"/>
              </w:rPr>
            </w:pPr>
            <w:r>
              <w:rPr>
                <w:rFonts w:ascii="Arial" w:cs="Arial" w:eastAsia="Arial" w:hAnsi="Arial"/>
                <w:sz w:val="22"/>
                <w:szCs w:val="22"/>
                <w:color w:val="auto"/>
              </w:rPr>
              <w:t>24</w:t>
            </w:r>
          </w:p>
        </w:tc>
      </w:tr>
      <w:tr>
        <w:trPr>
          <w:trHeight w:val="486"/>
        </w:trPr>
        <w:tc>
          <w:tcPr>
            <w:tcW w:w="8640" w:type="dxa"/>
            <w:vAlign w:val="bottom"/>
          </w:tcPr>
          <w:p>
            <w:pPr>
              <w:ind w:left="160"/>
              <w:spacing w:after="0"/>
              <w:rPr>
                <w:sz w:val="20"/>
                <w:szCs w:val="20"/>
                <w:color w:val="auto"/>
              </w:rPr>
            </w:pPr>
            <w:r>
              <w:rPr>
                <w:rFonts w:ascii="Arial" w:cs="Arial" w:eastAsia="Arial" w:hAnsi="Arial"/>
                <w:sz w:val="22"/>
                <w:szCs w:val="22"/>
                <w:color w:val="auto"/>
              </w:rPr>
              <w:t>SECTION 1. Emergency Board of Directors</w:t>
            </w:r>
          </w:p>
        </w:tc>
        <w:tc>
          <w:tcPr>
            <w:tcW w:w="2780" w:type="dxa"/>
            <w:vAlign w:val="bottom"/>
          </w:tcPr>
          <w:p>
            <w:pPr>
              <w:jc w:val="right"/>
              <w:spacing w:after="0"/>
              <w:rPr>
                <w:sz w:val="20"/>
                <w:szCs w:val="20"/>
                <w:color w:val="auto"/>
              </w:rPr>
            </w:pPr>
            <w:r>
              <w:rPr>
                <w:rFonts w:ascii="Arial" w:cs="Arial" w:eastAsia="Arial" w:hAnsi="Arial"/>
                <w:sz w:val="22"/>
                <w:szCs w:val="22"/>
                <w:color w:val="auto"/>
              </w:rPr>
              <w:t>24</w:t>
            </w:r>
          </w:p>
        </w:tc>
      </w:tr>
      <w:tr>
        <w:trPr>
          <w:trHeight w:val="395"/>
        </w:trPr>
        <w:tc>
          <w:tcPr>
            <w:tcW w:w="8640" w:type="dxa"/>
            <w:vAlign w:val="bottom"/>
          </w:tcPr>
          <w:p>
            <w:pPr>
              <w:ind w:left="5640"/>
              <w:spacing w:after="0"/>
              <w:rPr>
                <w:sz w:val="20"/>
                <w:szCs w:val="20"/>
                <w:color w:val="auto"/>
              </w:rPr>
            </w:pPr>
            <w:r>
              <w:rPr>
                <w:rFonts w:ascii="Arial" w:cs="Arial" w:eastAsia="Arial" w:hAnsi="Arial"/>
                <w:sz w:val="18"/>
                <w:szCs w:val="18"/>
                <w:color w:val="auto"/>
              </w:rPr>
              <w:t>iii</w:t>
            </w:r>
          </w:p>
        </w:tc>
        <w:tc>
          <w:tcPr>
            <w:tcW w:w="2780" w:type="dxa"/>
            <w:vAlign w:val="bottom"/>
          </w:tcPr>
          <w:p>
            <w:pPr>
              <w:spacing w:after="0"/>
              <w:rPr>
                <w:sz w:val="24"/>
                <w:szCs w:val="24"/>
                <w:color w:val="auto"/>
              </w:rPr>
            </w:pPr>
          </w:p>
        </w:tc>
      </w:tr>
      <w:tr>
        <w:trPr>
          <w:trHeight w:val="250"/>
        </w:trPr>
        <w:tc>
          <w:tcPr>
            <w:tcW w:w="8640" w:type="dxa"/>
            <w:vAlign w:val="bottom"/>
            <w:tcBorders>
              <w:bottom w:val="single" w:sz="8" w:color="C0C0C0"/>
            </w:tcBorders>
          </w:tcPr>
          <w:p>
            <w:pPr>
              <w:spacing w:after="0"/>
              <w:rPr>
                <w:sz w:val="21"/>
                <w:szCs w:val="21"/>
                <w:color w:val="auto"/>
              </w:rPr>
            </w:pPr>
          </w:p>
        </w:tc>
        <w:tc>
          <w:tcPr>
            <w:tcW w:w="2780" w:type="dxa"/>
            <w:vAlign w:val="bottom"/>
            <w:tcBorders>
              <w:bottom w:val="single" w:sz="8" w:color="C0C0C0"/>
            </w:tcBorders>
          </w:tcPr>
          <w:p>
            <w:pPr>
              <w:spacing w:after="0"/>
              <w:rPr>
                <w:sz w:val="21"/>
                <w:szCs w:val="21"/>
                <w:color w:val="auto"/>
              </w:rPr>
            </w:pPr>
          </w:p>
        </w:tc>
      </w:tr>
    </w:tbl>
    <w:p>
      <w:pPr>
        <w:sectPr>
          <w:pgSz w:w="11900" w:h="16838" w:orient="portrait"/>
          <w:cols w:equalWidth="0" w:num="1">
            <w:col w:w="11420"/>
          </w:cols>
          <w:pgMar w:left="240" w:top="402" w:right="239" w:bottom="1440" w:gutter="0" w:footer="0" w:header="0"/>
        </w:sectPr>
      </w:pPr>
    </w:p>
    <w:bookmarkStart w:id="51" w:name="page52"/>
    <w:bookmarkEnd w:id="5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5520" w:type="dxa"/>
            <w:vAlign w:val="bottom"/>
            <w:gridSpan w:val="2"/>
          </w:tcPr>
          <w:p>
            <w:pPr>
              <w:ind w:left="160"/>
              <w:spacing w:after="0"/>
              <w:rPr>
                <w:sz w:val="20"/>
                <w:szCs w:val="20"/>
                <w:color w:val="auto"/>
              </w:rPr>
            </w:pPr>
            <w:r>
              <w:rPr>
                <w:rFonts w:ascii="Arial" w:cs="Arial" w:eastAsia="Arial" w:hAnsi="Arial"/>
                <w:sz w:val="22"/>
                <w:szCs w:val="22"/>
                <w:color w:val="auto"/>
                <w:w w:val="92"/>
              </w:rPr>
              <w:t>SECTION 2. Membership of Emergency Board of Directors</w:t>
            </w:r>
          </w:p>
        </w:tc>
        <w:tc>
          <w:tcPr>
            <w:tcW w:w="5900" w:type="dxa"/>
            <w:vAlign w:val="bottom"/>
          </w:tcPr>
          <w:p>
            <w:pPr>
              <w:jc w:val="right"/>
              <w:spacing w:after="0"/>
              <w:rPr>
                <w:sz w:val="20"/>
                <w:szCs w:val="20"/>
                <w:color w:val="auto"/>
              </w:rPr>
            </w:pPr>
            <w:r>
              <w:rPr>
                <w:rFonts w:ascii="Arial" w:cs="Arial" w:eastAsia="Arial" w:hAnsi="Arial"/>
                <w:sz w:val="22"/>
                <w:szCs w:val="22"/>
                <w:color w:val="auto"/>
              </w:rPr>
              <w:t>24</w:t>
            </w:r>
          </w:p>
        </w:tc>
      </w:tr>
      <w:tr>
        <w:trPr>
          <w:trHeight w:val="486"/>
        </w:trPr>
        <w:tc>
          <w:tcPr>
            <w:tcW w:w="1320" w:type="dxa"/>
            <w:vAlign w:val="bottom"/>
          </w:tcPr>
          <w:p>
            <w:pPr>
              <w:ind w:left="160"/>
              <w:spacing w:after="0"/>
              <w:rPr>
                <w:sz w:val="20"/>
                <w:szCs w:val="20"/>
                <w:color w:val="auto"/>
              </w:rPr>
            </w:pPr>
            <w:r>
              <w:rPr>
                <w:rFonts w:ascii="Arial" w:cs="Arial" w:eastAsia="Arial" w:hAnsi="Arial"/>
                <w:sz w:val="22"/>
                <w:szCs w:val="22"/>
                <w:color w:val="auto"/>
                <w:w w:val="93"/>
              </w:rPr>
              <w:t>SECTION 3.</w:t>
            </w:r>
          </w:p>
        </w:tc>
        <w:tc>
          <w:tcPr>
            <w:tcW w:w="4200" w:type="dxa"/>
            <w:vAlign w:val="bottom"/>
          </w:tcPr>
          <w:p>
            <w:pPr>
              <w:ind w:left="20"/>
              <w:spacing w:after="0"/>
              <w:rPr>
                <w:sz w:val="20"/>
                <w:szCs w:val="20"/>
                <w:color w:val="auto"/>
              </w:rPr>
            </w:pPr>
            <w:r>
              <w:rPr>
                <w:rFonts w:ascii="Arial" w:cs="Arial" w:eastAsia="Arial" w:hAnsi="Arial"/>
                <w:sz w:val="22"/>
                <w:szCs w:val="22"/>
                <w:color w:val="auto"/>
              </w:rPr>
              <w:t>Powers of the Emergency Board</w:t>
            </w:r>
          </w:p>
        </w:tc>
        <w:tc>
          <w:tcPr>
            <w:tcW w:w="5900" w:type="dxa"/>
            <w:vAlign w:val="bottom"/>
          </w:tcPr>
          <w:p>
            <w:pPr>
              <w:jc w:val="right"/>
              <w:spacing w:after="0"/>
              <w:rPr>
                <w:sz w:val="20"/>
                <w:szCs w:val="20"/>
                <w:color w:val="auto"/>
              </w:rPr>
            </w:pPr>
            <w:r>
              <w:rPr>
                <w:rFonts w:ascii="Arial" w:cs="Arial" w:eastAsia="Arial" w:hAnsi="Arial"/>
                <w:sz w:val="22"/>
                <w:szCs w:val="22"/>
                <w:color w:val="auto"/>
              </w:rPr>
              <w:t>24</w:t>
            </w:r>
          </w:p>
        </w:tc>
      </w:tr>
      <w:tr>
        <w:trPr>
          <w:trHeight w:val="486"/>
        </w:trPr>
        <w:tc>
          <w:tcPr>
            <w:tcW w:w="1320" w:type="dxa"/>
            <w:vAlign w:val="bottom"/>
          </w:tcPr>
          <w:p>
            <w:pPr>
              <w:ind w:left="160"/>
              <w:spacing w:after="0"/>
              <w:rPr>
                <w:sz w:val="20"/>
                <w:szCs w:val="20"/>
                <w:color w:val="auto"/>
              </w:rPr>
            </w:pPr>
            <w:r>
              <w:rPr>
                <w:rFonts w:ascii="Arial" w:cs="Arial" w:eastAsia="Arial" w:hAnsi="Arial"/>
                <w:sz w:val="22"/>
                <w:szCs w:val="22"/>
                <w:color w:val="auto"/>
                <w:w w:val="93"/>
              </w:rPr>
              <w:t>SECTION 4.</w:t>
            </w:r>
          </w:p>
        </w:tc>
        <w:tc>
          <w:tcPr>
            <w:tcW w:w="4200" w:type="dxa"/>
            <w:vAlign w:val="bottom"/>
          </w:tcPr>
          <w:p>
            <w:pPr>
              <w:ind w:left="20"/>
              <w:spacing w:after="0"/>
              <w:rPr>
                <w:sz w:val="20"/>
                <w:szCs w:val="20"/>
                <w:color w:val="auto"/>
              </w:rPr>
            </w:pPr>
            <w:r>
              <w:rPr>
                <w:rFonts w:ascii="Arial" w:cs="Arial" w:eastAsia="Arial" w:hAnsi="Arial"/>
                <w:sz w:val="22"/>
                <w:szCs w:val="22"/>
                <w:color w:val="auto"/>
              </w:rPr>
              <w:t>Stockholders’ Meeting</w:t>
            </w:r>
          </w:p>
        </w:tc>
        <w:tc>
          <w:tcPr>
            <w:tcW w:w="5900" w:type="dxa"/>
            <w:vAlign w:val="bottom"/>
          </w:tcPr>
          <w:p>
            <w:pPr>
              <w:jc w:val="right"/>
              <w:spacing w:after="0"/>
              <w:rPr>
                <w:sz w:val="20"/>
                <w:szCs w:val="20"/>
                <w:color w:val="auto"/>
              </w:rPr>
            </w:pPr>
            <w:r>
              <w:rPr>
                <w:rFonts w:ascii="Arial" w:cs="Arial" w:eastAsia="Arial" w:hAnsi="Arial"/>
                <w:sz w:val="22"/>
                <w:szCs w:val="22"/>
                <w:color w:val="auto"/>
              </w:rPr>
              <w:t>24</w:t>
            </w:r>
          </w:p>
        </w:tc>
      </w:tr>
      <w:tr>
        <w:trPr>
          <w:trHeight w:val="486"/>
        </w:trPr>
        <w:tc>
          <w:tcPr>
            <w:tcW w:w="1320" w:type="dxa"/>
            <w:vAlign w:val="bottom"/>
          </w:tcPr>
          <w:p>
            <w:pPr>
              <w:ind w:left="160"/>
              <w:spacing w:after="0"/>
              <w:rPr>
                <w:sz w:val="20"/>
                <w:szCs w:val="20"/>
                <w:color w:val="auto"/>
              </w:rPr>
            </w:pPr>
            <w:r>
              <w:rPr>
                <w:rFonts w:ascii="Arial" w:cs="Arial" w:eastAsia="Arial" w:hAnsi="Arial"/>
                <w:sz w:val="22"/>
                <w:szCs w:val="22"/>
                <w:color w:val="auto"/>
                <w:w w:val="93"/>
              </w:rPr>
              <w:t>SECTION 5.</w:t>
            </w:r>
          </w:p>
        </w:tc>
        <w:tc>
          <w:tcPr>
            <w:tcW w:w="4200" w:type="dxa"/>
            <w:vAlign w:val="bottom"/>
          </w:tcPr>
          <w:p>
            <w:pPr>
              <w:ind w:left="20"/>
              <w:spacing w:after="0"/>
              <w:rPr>
                <w:sz w:val="20"/>
                <w:szCs w:val="20"/>
                <w:color w:val="auto"/>
              </w:rPr>
            </w:pPr>
            <w:r>
              <w:rPr>
                <w:rFonts w:ascii="Arial" w:cs="Arial" w:eastAsia="Arial" w:hAnsi="Arial"/>
                <w:sz w:val="22"/>
                <w:szCs w:val="22"/>
                <w:color w:val="auto"/>
              </w:rPr>
              <w:t>Emergency Corporate Headquarters</w:t>
            </w:r>
          </w:p>
        </w:tc>
        <w:tc>
          <w:tcPr>
            <w:tcW w:w="5900" w:type="dxa"/>
            <w:vAlign w:val="bottom"/>
          </w:tcPr>
          <w:p>
            <w:pPr>
              <w:jc w:val="right"/>
              <w:spacing w:after="0"/>
              <w:rPr>
                <w:sz w:val="20"/>
                <w:szCs w:val="20"/>
                <w:color w:val="auto"/>
              </w:rPr>
            </w:pPr>
            <w:r>
              <w:rPr>
                <w:rFonts w:ascii="Arial" w:cs="Arial" w:eastAsia="Arial" w:hAnsi="Arial"/>
                <w:sz w:val="22"/>
                <w:szCs w:val="22"/>
                <w:color w:val="auto"/>
              </w:rPr>
              <w:t>25</w:t>
            </w:r>
          </w:p>
        </w:tc>
      </w:tr>
      <w:tr>
        <w:trPr>
          <w:trHeight w:val="486"/>
        </w:trPr>
        <w:tc>
          <w:tcPr>
            <w:tcW w:w="1320" w:type="dxa"/>
            <w:vAlign w:val="bottom"/>
          </w:tcPr>
          <w:p>
            <w:pPr>
              <w:ind w:left="160"/>
              <w:spacing w:after="0"/>
              <w:rPr>
                <w:sz w:val="20"/>
                <w:szCs w:val="20"/>
                <w:color w:val="auto"/>
              </w:rPr>
            </w:pPr>
            <w:r>
              <w:rPr>
                <w:rFonts w:ascii="Arial" w:cs="Arial" w:eastAsia="Arial" w:hAnsi="Arial"/>
                <w:sz w:val="22"/>
                <w:szCs w:val="22"/>
                <w:color w:val="auto"/>
                <w:w w:val="93"/>
              </w:rPr>
              <w:t>SECTION 6.</w:t>
            </w:r>
          </w:p>
        </w:tc>
        <w:tc>
          <w:tcPr>
            <w:tcW w:w="4200" w:type="dxa"/>
            <w:vAlign w:val="bottom"/>
          </w:tcPr>
          <w:p>
            <w:pPr>
              <w:ind w:left="20"/>
              <w:spacing w:after="0"/>
              <w:rPr>
                <w:sz w:val="20"/>
                <w:szCs w:val="20"/>
                <w:color w:val="auto"/>
              </w:rPr>
            </w:pPr>
            <w:r>
              <w:rPr>
                <w:rFonts w:ascii="Arial" w:cs="Arial" w:eastAsia="Arial" w:hAnsi="Arial"/>
                <w:sz w:val="22"/>
                <w:szCs w:val="22"/>
                <w:color w:val="auto"/>
              </w:rPr>
              <w:t>Limitation of Liability</w:t>
            </w:r>
          </w:p>
        </w:tc>
        <w:tc>
          <w:tcPr>
            <w:tcW w:w="5900" w:type="dxa"/>
            <w:vAlign w:val="bottom"/>
          </w:tcPr>
          <w:p>
            <w:pPr>
              <w:jc w:val="right"/>
              <w:spacing w:after="0"/>
              <w:rPr>
                <w:sz w:val="20"/>
                <w:szCs w:val="20"/>
                <w:color w:val="auto"/>
              </w:rPr>
            </w:pPr>
            <w:r>
              <w:rPr>
                <w:rFonts w:ascii="Arial" w:cs="Arial" w:eastAsia="Arial" w:hAnsi="Arial"/>
                <w:sz w:val="22"/>
                <w:szCs w:val="22"/>
                <w:color w:val="auto"/>
              </w:rPr>
              <w:t>25</w:t>
            </w:r>
          </w:p>
        </w:tc>
      </w:tr>
      <w:tr>
        <w:trPr>
          <w:trHeight w:val="395"/>
        </w:trPr>
        <w:tc>
          <w:tcPr>
            <w:tcW w:w="132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5900" w:type="dxa"/>
            <w:vAlign w:val="bottom"/>
          </w:tcPr>
          <w:p>
            <w:pPr>
              <w:jc w:val="right"/>
              <w:ind w:right="5535"/>
              <w:spacing w:after="0"/>
              <w:rPr>
                <w:sz w:val="20"/>
                <w:szCs w:val="20"/>
                <w:color w:val="auto"/>
              </w:rPr>
            </w:pPr>
            <w:r>
              <w:rPr>
                <w:rFonts w:ascii="Arial" w:cs="Arial" w:eastAsia="Arial" w:hAnsi="Arial"/>
                <w:sz w:val="18"/>
                <w:szCs w:val="18"/>
                <w:color w:val="auto"/>
              </w:rPr>
              <w:t>iv</w:t>
            </w:r>
          </w:p>
        </w:tc>
      </w:tr>
      <w:tr>
        <w:trPr>
          <w:trHeight w:val="250"/>
        </w:trPr>
        <w:tc>
          <w:tcPr>
            <w:tcW w:w="1320" w:type="dxa"/>
            <w:vAlign w:val="bottom"/>
            <w:tcBorders>
              <w:bottom w:val="single" w:sz="8" w:color="C0C0C0"/>
            </w:tcBorders>
          </w:tcPr>
          <w:p>
            <w:pPr>
              <w:spacing w:after="0"/>
              <w:rPr>
                <w:sz w:val="21"/>
                <w:szCs w:val="21"/>
                <w:color w:val="auto"/>
              </w:rPr>
            </w:pPr>
          </w:p>
        </w:tc>
        <w:tc>
          <w:tcPr>
            <w:tcW w:w="4200" w:type="dxa"/>
            <w:vAlign w:val="bottom"/>
            <w:tcBorders>
              <w:bottom w:val="single" w:sz="8" w:color="C0C0C0"/>
            </w:tcBorders>
          </w:tcPr>
          <w:p>
            <w:pPr>
              <w:spacing w:after="0"/>
              <w:rPr>
                <w:sz w:val="21"/>
                <w:szCs w:val="21"/>
                <w:color w:val="auto"/>
              </w:rPr>
            </w:pPr>
          </w:p>
        </w:tc>
        <w:tc>
          <w:tcPr>
            <w:tcW w:w="5900" w:type="dxa"/>
            <w:vAlign w:val="bottom"/>
            <w:tcBorders>
              <w:bottom w:val="single" w:sz="8" w:color="C0C0C0"/>
            </w:tcBorders>
          </w:tcPr>
          <w:p>
            <w:pPr>
              <w:spacing w:after="0"/>
              <w:rPr>
                <w:sz w:val="21"/>
                <w:szCs w:val="21"/>
                <w:color w:val="auto"/>
              </w:rPr>
            </w:pPr>
          </w:p>
        </w:tc>
      </w:tr>
    </w:tbl>
    <w:p>
      <w:pPr>
        <w:sectPr>
          <w:pgSz w:w="11900" w:h="16838" w:orient="portrait"/>
          <w:cols w:equalWidth="0" w:num="1">
            <w:col w:w="11420"/>
          </w:cols>
          <w:pgMar w:left="240" w:top="402" w:right="239" w:bottom="1440" w:gutter="0" w:footer="0" w:header="0"/>
        </w:sectPr>
      </w:pPr>
    </w:p>
    <w:bookmarkStart w:id="52" w:name="page53"/>
    <w:bookmarkEnd w:id="52"/>
    <w:p>
      <w:pPr>
        <w:jc w:val="center"/>
        <w:spacing w:after="0"/>
        <w:rPr>
          <w:sz w:val="20"/>
          <w:szCs w:val="20"/>
          <w:color w:val="auto"/>
        </w:rPr>
      </w:pPr>
      <w:r>
        <w:rPr>
          <w:rFonts w:ascii="Arial" w:cs="Arial" w:eastAsia="Arial" w:hAnsi="Arial"/>
          <w:sz w:val="22"/>
          <w:szCs w:val="22"/>
          <w:b w:val="1"/>
          <w:bCs w:val="1"/>
          <w:color w:val="auto"/>
        </w:rPr>
        <w:t>By-laws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of</w:t>
      </w:r>
    </w:p>
    <w:p>
      <w:pPr>
        <w:jc w:val="center"/>
        <w:spacing w:after="0"/>
        <w:rPr>
          <w:sz w:val="20"/>
          <w:szCs w:val="20"/>
          <w:color w:val="auto"/>
        </w:rPr>
      </w:pPr>
      <w:r>
        <w:rPr>
          <w:rFonts w:ascii="Arial" w:cs="Arial" w:eastAsia="Arial" w:hAnsi="Arial"/>
          <w:sz w:val="22"/>
          <w:szCs w:val="22"/>
          <w:b w:val="1"/>
          <w:bCs w:val="1"/>
          <w:color w:val="auto"/>
        </w:rPr>
        <w:t>Honeywell International Inc.</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I</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OFFICES</w:t>
      </w:r>
    </w:p>
    <w:p>
      <w:pPr>
        <w:spacing w:after="0" w:line="215" w:lineRule="exact"/>
        <w:rPr>
          <w:sz w:val="20"/>
          <w:szCs w:val="20"/>
          <w:color w:val="auto"/>
        </w:rPr>
      </w:pPr>
    </w:p>
    <w:p>
      <w:pPr>
        <w:jc w:val="both"/>
        <w:ind w:right="20" w:firstLine="324"/>
        <w:spacing w:after="0" w:line="251" w:lineRule="auto"/>
        <w:rPr>
          <w:sz w:val="20"/>
          <w:szCs w:val="20"/>
          <w:color w:val="auto"/>
        </w:rPr>
      </w:pPr>
      <w:r>
        <w:rPr>
          <w:rFonts w:ascii="Arial" w:cs="Arial" w:eastAsia="Arial" w:hAnsi="Arial"/>
          <w:sz w:val="22"/>
          <w:szCs w:val="22"/>
          <w:color w:val="auto"/>
        </w:rPr>
        <w:t xml:space="preserve">SECTION 1. </w:t>
      </w:r>
      <w:r>
        <w:rPr>
          <w:rFonts w:ascii="Arial" w:cs="Arial" w:eastAsia="Arial" w:hAnsi="Arial"/>
          <w:sz w:val="22"/>
          <w:szCs w:val="22"/>
          <w:b w:val="1"/>
          <w:bCs w:val="1"/>
          <w:i w:val="1"/>
          <w:iCs w:val="1"/>
          <w:color w:val="auto"/>
        </w:rPr>
        <w:t>Registered Office</w:t>
      </w:r>
      <w:r>
        <w:rPr>
          <w:rFonts w:ascii="Arial" w:cs="Arial" w:eastAsia="Arial" w:hAnsi="Arial"/>
          <w:sz w:val="22"/>
          <w:szCs w:val="22"/>
          <w:color w:val="auto"/>
        </w:rPr>
        <w:t>. The registered office of Honeywell International Inc. (hereinafter called the Corporation) within the State of Delaware shall be in the City of Wilmington, County of New Castle.</w:t>
      </w:r>
    </w:p>
    <w:p>
      <w:pPr>
        <w:spacing w:after="0" w:line="200" w:lineRule="exact"/>
        <w:rPr>
          <w:sz w:val="20"/>
          <w:szCs w:val="20"/>
          <w:color w:val="auto"/>
        </w:rPr>
      </w:pPr>
    </w:p>
    <w:p>
      <w:pPr>
        <w:jc w:val="both"/>
        <w:ind w:firstLine="324"/>
        <w:spacing w:after="0" w:line="238" w:lineRule="auto"/>
        <w:rPr>
          <w:sz w:val="20"/>
          <w:szCs w:val="20"/>
          <w:color w:val="auto"/>
        </w:rPr>
      </w:pPr>
      <w:r>
        <w:rPr>
          <w:rFonts w:ascii="Arial" w:cs="Arial" w:eastAsia="Arial" w:hAnsi="Arial"/>
          <w:sz w:val="22"/>
          <w:szCs w:val="22"/>
          <w:color w:val="auto"/>
        </w:rPr>
        <w:t xml:space="preserve">SECTION 2. </w:t>
      </w:r>
      <w:r>
        <w:rPr>
          <w:rFonts w:ascii="Arial" w:cs="Arial" w:eastAsia="Arial" w:hAnsi="Arial"/>
          <w:sz w:val="22"/>
          <w:szCs w:val="22"/>
          <w:b w:val="1"/>
          <w:bCs w:val="1"/>
          <w:i w:val="1"/>
          <w:iCs w:val="1"/>
          <w:color w:val="auto"/>
        </w:rPr>
        <w:t>Other Offices</w:t>
      </w:r>
      <w:r>
        <w:rPr>
          <w:rFonts w:ascii="Arial" w:cs="Arial" w:eastAsia="Arial" w:hAnsi="Arial"/>
          <w:sz w:val="22"/>
          <w:szCs w:val="22"/>
          <w:color w:val="auto"/>
        </w:rPr>
        <w:t>. The Corporation may also have an office or offices and keep the books and records of the Corporation, except as may otherwise be required by law, in such other place or places, either within or without the State of Delaware, as the Board of Directors of the Corporation (hereinafter called the Board) may from time to time determine or the business of the Corporation may require.</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II</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MEETINGS OF STOCKHOLDERS</w:t>
      </w:r>
    </w:p>
    <w:p>
      <w:pPr>
        <w:spacing w:after="0" w:line="215" w:lineRule="exact"/>
        <w:rPr>
          <w:sz w:val="20"/>
          <w:szCs w:val="20"/>
          <w:color w:val="auto"/>
        </w:rPr>
      </w:pPr>
    </w:p>
    <w:p>
      <w:pPr>
        <w:jc w:val="both"/>
        <w:ind w:firstLine="324"/>
        <w:spacing w:after="0"/>
        <w:rPr>
          <w:sz w:val="20"/>
          <w:szCs w:val="20"/>
          <w:color w:val="auto"/>
        </w:rPr>
      </w:pPr>
      <w:r>
        <w:rPr>
          <w:rFonts w:ascii="Arial" w:cs="Arial" w:eastAsia="Arial" w:hAnsi="Arial"/>
          <w:sz w:val="22"/>
          <w:szCs w:val="22"/>
          <w:color w:val="auto"/>
        </w:rPr>
        <w:t xml:space="preserve">SECTION 1. </w:t>
      </w:r>
      <w:r>
        <w:rPr>
          <w:rFonts w:ascii="Arial" w:cs="Arial" w:eastAsia="Arial" w:hAnsi="Arial"/>
          <w:sz w:val="22"/>
          <w:szCs w:val="22"/>
          <w:b w:val="1"/>
          <w:bCs w:val="1"/>
          <w:i w:val="1"/>
          <w:iCs w:val="1"/>
          <w:color w:val="auto"/>
        </w:rPr>
        <w:t>Place of Meetings</w:t>
      </w:r>
      <w:r>
        <w:rPr>
          <w:rFonts w:ascii="Arial" w:cs="Arial" w:eastAsia="Arial" w:hAnsi="Arial"/>
          <w:sz w:val="22"/>
          <w:szCs w:val="22"/>
          <w:color w:val="auto"/>
        </w:rPr>
        <w:t>. All meetings of stockholders of the Corporation shall be held at the registered office of the Corporation in the State of Delaware or at such other place, within or without the State of Delaware, as may from time to time be fixed by the Board or specified or fixed in the respective notices or waivers of notice thereof.</w:t>
      </w:r>
    </w:p>
    <w:p>
      <w:pPr>
        <w:spacing w:after="0" w:line="21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21"/>
          <w:szCs w:val="21"/>
          <w:color w:val="auto"/>
        </w:rPr>
        <w:t xml:space="preserve">SECTION 2. </w:t>
      </w:r>
      <w:r>
        <w:rPr>
          <w:rFonts w:ascii="Arial" w:cs="Arial" w:eastAsia="Arial" w:hAnsi="Arial"/>
          <w:sz w:val="21"/>
          <w:szCs w:val="21"/>
          <w:b w:val="1"/>
          <w:bCs w:val="1"/>
          <w:i w:val="1"/>
          <w:iCs w:val="1"/>
          <w:color w:val="auto"/>
        </w:rPr>
        <w:t>Annual Meetings</w:t>
      </w:r>
      <w:r>
        <w:rPr>
          <w:rFonts w:ascii="Arial" w:cs="Arial" w:eastAsia="Arial" w:hAnsi="Arial"/>
          <w:sz w:val="21"/>
          <w:szCs w:val="21"/>
          <w:color w:val="auto"/>
        </w:rPr>
        <w:t>. The annual meeting of stockholders of the Corporation for the election of directors and for the transaction of any other proper business shall be held at 10:00 a.m. on the last Monday of April of each year, or on such other date and at such other time as may be fixed by the Board. If the annual meeting for the election of directors shall not be held on the day designated, the Board shall cause the meeting to be held as soon thereafter as convenient.</w:t>
      </w:r>
    </w:p>
    <w:p>
      <w:pPr>
        <w:spacing w:after="0" w:line="201" w:lineRule="exact"/>
        <w:rPr>
          <w:sz w:val="20"/>
          <w:szCs w:val="20"/>
          <w:color w:val="auto"/>
        </w:rPr>
      </w:pPr>
    </w:p>
    <w:p>
      <w:pPr>
        <w:jc w:val="both"/>
        <w:ind w:firstLine="324"/>
        <w:spacing w:after="0" w:line="247" w:lineRule="auto"/>
        <w:rPr>
          <w:sz w:val="20"/>
          <w:szCs w:val="20"/>
          <w:color w:val="auto"/>
        </w:rPr>
      </w:pPr>
      <w:r>
        <w:rPr>
          <w:rFonts w:ascii="Arial" w:cs="Arial" w:eastAsia="Arial" w:hAnsi="Arial"/>
          <w:sz w:val="21"/>
          <w:szCs w:val="21"/>
          <w:color w:val="auto"/>
        </w:rPr>
        <w:t xml:space="preserve">SECTION 3. </w:t>
      </w:r>
      <w:r>
        <w:rPr>
          <w:rFonts w:ascii="Arial" w:cs="Arial" w:eastAsia="Arial" w:hAnsi="Arial"/>
          <w:sz w:val="21"/>
          <w:szCs w:val="21"/>
          <w:b w:val="1"/>
          <w:bCs w:val="1"/>
          <w:i w:val="1"/>
          <w:iCs w:val="1"/>
          <w:color w:val="auto"/>
        </w:rPr>
        <w:t>Special Meetings</w:t>
      </w:r>
      <w:r>
        <w:rPr>
          <w:rFonts w:ascii="Arial" w:cs="Arial" w:eastAsia="Arial" w:hAnsi="Arial"/>
          <w:sz w:val="21"/>
          <w:szCs w:val="21"/>
          <w:color w:val="auto"/>
        </w:rPr>
        <w:t>. Special meetings of stockholders, unless otherwise provided by law, may be called at any time by the Board pursuant to a resolution adopted by a majority of the then authorized number of directors (as determined in accordance with Section 2 of Article III of these By-laws), or by the Chief Executive Officer or shall be called by the Secretary upon the written request (a “Special Meeting Request”) of holders Owning (as defined below in this Section 3) not less than 15% of the outstanding shares of the Corporation’s Common Stock as of the date of such request (also referred to as the Requisite Percent as defined in Article EIGHTH of the Corporation’s Certificate of Incorporation, as amended) filed with the Secretary of the Corporation in accordance with the requirements of this Section 3.</w:t>
      </w:r>
    </w:p>
    <w:p>
      <w:pPr>
        <w:spacing w:after="0" w:line="205" w:lineRule="exact"/>
        <w:rPr>
          <w:sz w:val="20"/>
          <w:szCs w:val="20"/>
          <w:color w:val="auto"/>
        </w:rPr>
      </w:pPr>
    </w:p>
    <w:p>
      <w:pPr>
        <w:jc w:val="both"/>
        <w:ind w:right="20" w:firstLine="440"/>
        <w:spacing w:after="0"/>
        <w:rPr>
          <w:sz w:val="20"/>
          <w:szCs w:val="20"/>
          <w:color w:val="auto"/>
        </w:rPr>
      </w:pPr>
      <w:r>
        <w:rPr>
          <w:rFonts w:ascii="Arial" w:cs="Arial" w:eastAsia="Arial" w:hAnsi="Arial"/>
          <w:sz w:val="22"/>
          <w:szCs w:val="22"/>
          <w:color w:val="auto"/>
        </w:rPr>
        <w:t>As used in this Section 3 of Article II and Section 4 of Article III of these By-laws, the terms “Owns,” “Owned,” and “Owning” and other variations of the word “Own” shall mean only those outstanding shares of Common Stock of the Corporation as to which a stockholder possesses both;</w:t>
      </w:r>
    </w:p>
    <w:p>
      <w:pPr>
        <w:spacing w:after="0" w:line="213" w:lineRule="exact"/>
        <w:rPr>
          <w:sz w:val="20"/>
          <w:szCs w:val="20"/>
          <w:color w:val="auto"/>
        </w:rPr>
      </w:pPr>
    </w:p>
    <w:p>
      <w:pPr>
        <w:ind w:left="880"/>
        <w:spacing w:after="0"/>
        <w:rPr>
          <w:sz w:val="20"/>
          <w:szCs w:val="20"/>
          <w:color w:val="auto"/>
        </w:rPr>
      </w:pPr>
      <w:r>
        <w:rPr>
          <w:rFonts w:ascii="Arial" w:cs="Arial" w:eastAsia="Arial" w:hAnsi="Arial"/>
          <w:sz w:val="22"/>
          <w:szCs w:val="22"/>
          <w:color w:val="auto"/>
        </w:rPr>
        <w:t>(i) the full voting and investment rights pertaining to the shares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161925</wp:posOffset>
            </wp:positionV>
            <wp:extent cx="7246620" cy="342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396" w:right="239" w:bottom="1440" w:gutter="0" w:footer="0" w:header="0"/>
        </w:sectPr>
      </w:pPr>
    </w:p>
    <w:bookmarkStart w:id="53" w:name="page54"/>
    <w:bookmarkEnd w:id="53"/>
    <w:p>
      <w:pPr>
        <w:ind w:left="880"/>
        <w:spacing w:after="0"/>
        <w:rPr>
          <w:sz w:val="20"/>
          <w:szCs w:val="20"/>
          <w:color w:val="auto"/>
        </w:rPr>
      </w:pPr>
      <w:r>
        <w:rPr>
          <w:rFonts w:ascii="Arial" w:cs="Arial" w:eastAsia="Arial" w:hAnsi="Arial"/>
          <w:sz w:val="22"/>
          <w:szCs w:val="22"/>
          <w:color w:val="auto"/>
        </w:rPr>
        <w:t>(ii) the full economic interest in (including the opportunity for profit and risk of loss on) such shares;</w:t>
      </w:r>
    </w:p>
    <w:p>
      <w:pPr>
        <w:spacing w:after="0" w:line="233" w:lineRule="exact"/>
        <w:rPr>
          <w:sz w:val="20"/>
          <w:szCs w:val="20"/>
          <w:color w:val="auto"/>
        </w:rPr>
      </w:pPr>
    </w:p>
    <w:p>
      <w:pPr>
        <w:ind w:left="880"/>
        <w:spacing w:after="0"/>
        <w:rPr>
          <w:sz w:val="20"/>
          <w:szCs w:val="20"/>
          <w:color w:val="auto"/>
        </w:rPr>
      </w:pPr>
      <w:r>
        <w:rPr>
          <w:rFonts w:ascii="Arial" w:cs="Arial" w:eastAsia="Arial" w:hAnsi="Arial"/>
          <w:sz w:val="21"/>
          <w:szCs w:val="21"/>
          <w:i w:val="1"/>
          <w:iCs w:val="1"/>
          <w:color w:val="auto"/>
        </w:rPr>
        <w:t xml:space="preserve">provided </w:t>
      </w:r>
      <w:r>
        <w:rPr>
          <w:rFonts w:ascii="Arial" w:cs="Arial" w:eastAsia="Arial" w:hAnsi="Arial"/>
          <w:sz w:val="21"/>
          <w:szCs w:val="21"/>
          <w:color w:val="auto"/>
        </w:rPr>
        <w:t>that the number of shares calculated in accordance with clauses (i) and (ii) shall not include any shares:</w:t>
      </w:r>
    </w:p>
    <w:p>
      <w:pPr>
        <w:spacing w:after="0" w:line="245" w:lineRule="exact"/>
        <w:rPr>
          <w:sz w:val="20"/>
          <w:szCs w:val="20"/>
          <w:color w:val="auto"/>
        </w:rPr>
      </w:pPr>
    </w:p>
    <w:p>
      <w:pPr>
        <w:ind w:left="1440" w:hanging="379"/>
        <w:spacing w:after="0" w:line="251" w:lineRule="auto"/>
        <w:tabs>
          <w:tab w:leader="none" w:pos="1420" w:val="left"/>
        </w:tabs>
        <w:numPr>
          <w:ilvl w:val="0"/>
          <w:numId w:val="16"/>
        </w:numPr>
        <w:rPr>
          <w:rFonts w:ascii="Arial" w:cs="Arial" w:eastAsia="Arial" w:hAnsi="Arial"/>
          <w:sz w:val="22"/>
          <w:szCs w:val="22"/>
          <w:color w:val="auto"/>
        </w:rPr>
      </w:pPr>
      <w:r>
        <w:rPr>
          <w:rFonts w:ascii="Arial" w:cs="Arial" w:eastAsia="Arial" w:hAnsi="Arial"/>
          <w:sz w:val="22"/>
          <w:szCs w:val="22"/>
          <w:color w:val="auto"/>
        </w:rPr>
        <w:t>sold by such stockholder or any control person in any transaction that has not been settled or closed, including any short sale,</w:t>
      </w:r>
    </w:p>
    <w:p>
      <w:pPr>
        <w:spacing w:after="0" w:line="200" w:lineRule="exact"/>
        <w:rPr>
          <w:rFonts w:ascii="Arial" w:cs="Arial" w:eastAsia="Arial" w:hAnsi="Arial"/>
          <w:sz w:val="22"/>
          <w:szCs w:val="22"/>
          <w:color w:val="auto"/>
        </w:rPr>
      </w:pPr>
    </w:p>
    <w:p>
      <w:pPr>
        <w:ind w:left="1440" w:hanging="379"/>
        <w:spacing w:after="0" w:line="251" w:lineRule="auto"/>
        <w:tabs>
          <w:tab w:leader="none" w:pos="1429" w:val="left"/>
        </w:tabs>
        <w:numPr>
          <w:ilvl w:val="0"/>
          <w:numId w:val="16"/>
        </w:numPr>
        <w:rPr>
          <w:rFonts w:ascii="Arial" w:cs="Arial" w:eastAsia="Arial" w:hAnsi="Arial"/>
          <w:sz w:val="22"/>
          <w:szCs w:val="22"/>
          <w:color w:val="auto"/>
        </w:rPr>
      </w:pPr>
      <w:r>
        <w:rPr>
          <w:rFonts w:ascii="Arial" w:cs="Arial" w:eastAsia="Arial" w:hAnsi="Arial"/>
          <w:sz w:val="22"/>
          <w:szCs w:val="22"/>
          <w:color w:val="auto"/>
        </w:rPr>
        <w:t>borrowed by such stockholder or any control person for any purposes or purchased by such stockholder or any control person pursuant to an agreement to resell, or</w:t>
      </w:r>
    </w:p>
    <w:p>
      <w:pPr>
        <w:spacing w:after="0" w:line="200" w:lineRule="exact"/>
        <w:rPr>
          <w:rFonts w:ascii="Arial" w:cs="Arial" w:eastAsia="Arial" w:hAnsi="Arial"/>
          <w:sz w:val="22"/>
          <w:szCs w:val="22"/>
          <w:color w:val="auto"/>
        </w:rPr>
      </w:pPr>
    </w:p>
    <w:p>
      <w:pPr>
        <w:jc w:val="both"/>
        <w:ind w:left="1440" w:hanging="379"/>
        <w:spacing w:after="0" w:line="236" w:lineRule="auto"/>
        <w:tabs>
          <w:tab w:leader="none" w:pos="1441" w:val="left"/>
        </w:tabs>
        <w:numPr>
          <w:ilvl w:val="0"/>
          <w:numId w:val="16"/>
        </w:numPr>
        <w:rPr>
          <w:rFonts w:ascii="Arial" w:cs="Arial" w:eastAsia="Arial" w:hAnsi="Arial"/>
          <w:sz w:val="22"/>
          <w:szCs w:val="22"/>
          <w:color w:val="auto"/>
        </w:rPr>
      </w:pPr>
      <w:r>
        <w:rPr>
          <w:rFonts w:ascii="Arial" w:cs="Arial" w:eastAsia="Arial" w:hAnsi="Arial"/>
          <w:sz w:val="22"/>
          <w:szCs w:val="22"/>
          <w:color w:val="auto"/>
        </w:rPr>
        <w:t>subject to any option, warrant, forward contract, swap, contract of sale, other derivative or similar agreement entered into by such stockholder or any of its control persons, whether any such instrument or agreement is to be settled with shares or with cash based on the notional amount or value of outstanding shares of the Corporation, in any such case which instrument or agreement has, or is intended to have, or if exercised would have, the purpose or effect of:</w:t>
      </w:r>
    </w:p>
    <w:p>
      <w:pPr>
        <w:spacing w:after="0" w:line="214" w:lineRule="exact"/>
        <w:rPr>
          <w:rFonts w:ascii="Arial" w:cs="Arial" w:eastAsia="Arial" w:hAnsi="Arial"/>
          <w:sz w:val="22"/>
          <w:szCs w:val="22"/>
          <w:color w:val="auto"/>
        </w:rPr>
      </w:pPr>
    </w:p>
    <w:p>
      <w:pPr>
        <w:ind w:left="1700" w:right="20" w:hanging="314"/>
        <w:spacing w:after="0" w:line="251" w:lineRule="auto"/>
        <w:tabs>
          <w:tab w:leader="none" w:pos="1711" w:val="left"/>
        </w:tabs>
        <w:numPr>
          <w:ilvl w:val="1"/>
          <w:numId w:val="16"/>
        </w:numPr>
        <w:rPr>
          <w:rFonts w:ascii="Arial" w:cs="Arial" w:eastAsia="Arial" w:hAnsi="Arial"/>
          <w:sz w:val="22"/>
          <w:szCs w:val="22"/>
          <w:color w:val="auto"/>
        </w:rPr>
      </w:pPr>
      <w:r>
        <w:rPr>
          <w:rFonts w:ascii="Arial" w:cs="Arial" w:eastAsia="Arial" w:hAnsi="Arial"/>
          <w:sz w:val="22"/>
          <w:szCs w:val="22"/>
          <w:color w:val="auto"/>
        </w:rPr>
        <w:t>reducing in any manner, to any extent or at any time in the future, such stockholder’s or any of its control persons’ full right to vote or direct the voting of any such shares, and/or</w:t>
      </w:r>
    </w:p>
    <w:p>
      <w:pPr>
        <w:spacing w:after="0" w:line="200" w:lineRule="exact"/>
        <w:rPr>
          <w:rFonts w:ascii="Arial" w:cs="Arial" w:eastAsia="Arial" w:hAnsi="Arial"/>
          <w:sz w:val="22"/>
          <w:szCs w:val="22"/>
          <w:color w:val="auto"/>
        </w:rPr>
      </w:pPr>
    </w:p>
    <w:p>
      <w:pPr>
        <w:ind w:left="1700" w:hanging="314"/>
        <w:spacing w:after="0" w:line="251" w:lineRule="auto"/>
        <w:tabs>
          <w:tab w:leader="none" w:pos="1692" w:val="left"/>
        </w:tabs>
        <w:numPr>
          <w:ilvl w:val="1"/>
          <w:numId w:val="16"/>
        </w:numPr>
        <w:rPr>
          <w:rFonts w:ascii="Arial" w:cs="Arial" w:eastAsia="Arial" w:hAnsi="Arial"/>
          <w:sz w:val="22"/>
          <w:szCs w:val="22"/>
          <w:color w:val="auto"/>
        </w:rPr>
      </w:pPr>
      <w:r>
        <w:rPr>
          <w:rFonts w:ascii="Arial" w:cs="Arial" w:eastAsia="Arial" w:hAnsi="Arial"/>
          <w:sz w:val="22"/>
          <w:szCs w:val="22"/>
          <w:color w:val="auto"/>
        </w:rPr>
        <w:t>hedging, offsetting, or altering to any degree gain or loss arising from the full economic interest in such shares by such stockholder or control person.</w:t>
      </w:r>
    </w:p>
    <w:p>
      <w:pPr>
        <w:spacing w:after="0" w:line="200"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rPr>
        <w:t>A stockholder “Owns” shares held in the name of a nominee or other intermediary so long as the stockholder retains the right to instruct how the shares are voted with respect to the election of directors and possesses the full economic interest in the shares. A stockholder’s Ownership of shares shall be deemed to continue during any period in which the stockholder has delegated any voting power by means of a proxy, power of attorney, or other instrument or arrangement that is revocable at any time by the stockholder. A stockholder’s Ownership of shares shall be deemed to continue during any period in which the stockholder has loaned such shares provided that the stockholder has the power to recall such loaned shares on five business days’ notice and has recalled such loaned shares as of the applicable request or notice, as the case may be, and through the date of the special meeting or the annual meeting, as the case may be. Whether outstanding shares of the Corporation are “Owned” for these purposes shall be determined by the Board.</w:t>
      </w:r>
    </w:p>
    <w:p>
      <w:pPr>
        <w:spacing w:after="0" w:line="212" w:lineRule="exact"/>
        <w:rPr>
          <w:sz w:val="20"/>
          <w:szCs w:val="20"/>
          <w:color w:val="auto"/>
        </w:rPr>
      </w:pPr>
    </w:p>
    <w:p>
      <w:pPr>
        <w:jc w:val="both"/>
        <w:ind w:firstLine="405"/>
        <w:spacing w:after="0" w:line="247" w:lineRule="auto"/>
        <w:rPr>
          <w:sz w:val="20"/>
          <w:szCs w:val="20"/>
          <w:color w:val="auto"/>
        </w:rPr>
      </w:pPr>
      <w:r>
        <w:rPr>
          <w:rFonts w:ascii="Arial" w:cs="Arial" w:eastAsia="Arial" w:hAnsi="Arial"/>
          <w:sz w:val="21"/>
          <w:szCs w:val="21"/>
          <w:color w:val="auto"/>
        </w:rPr>
        <w:t>A Special Meeting Request must specify the matter or matters to be acted upon at such meeting, each of which must be a proper subject for stockholder action under applicable law. The requesting stockholders must also provide a brief description of the business desired to be brought before the meeting (including the complete text of any resolution and any amendment to any Corporation document intended to be presented at the meeting), the reasons for conducting such business at a special meeting of stockholders, any other information which may be required pursuant to these By-laws or which may be required to be disclosed under the Delaware General Corporation Law or included in a proxy statement filed pursuant to the rules of the Securities and Exchange Commission, and, as to the stockholders requesting the meeting</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2" w:right="239" w:bottom="1440" w:gutter="0" w:footer="0" w:header="0"/>
        </w:sectPr>
      </w:pPr>
    </w:p>
    <w:bookmarkStart w:id="54" w:name="page55"/>
    <w:bookmarkEnd w:id="54"/>
    <w:p>
      <w:pPr>
        <w:jc w:val="both"/>
        <w:spacing w:after="0" w:line="270" w:lineRule="auto"/>
        <w:rPr>
          <w:sz w:val="20"/>
          <w:szCs w:val="20"/>
          <w:color w:val="auto"/>
        </w:rPr>
      </w:pPr>
      <w:r>
        <w:rPr>
          <w:rFonts w:ascii="Arial" w:cs="Arial" w:eastAsia="Arial" w:hAnsi="Arial"/>
          <w:sz w:val="19"/>
          <w:szCs w:val="19"/>
          <w:color w:val="auto"/>
        </w:rPr>
        <w:t>and the beneficial owners on whose behalf the meeting is being requested, (i) their name and address, as they appear on the Corporation’s books, (ii) the class and number of shares of the Corporation which are owned beneficially or of record as of the date of such Special Meeting Request, together with documentary evidence of such ownership, (iii) any material interest in the business to be brought before the meeting, (iv) a description of all agreements or other arrangements or understandings between each such stockholder, any nominee (if such business is the election of one or more nominees of such stockholders) and/or beneficial owner or any of their respective affiliates or associates, and any other person or persons (including the names of such person(s)) in connection with such business, including any swap or other derivative or short positions, profits interests, options, hedging transactions or borrowed or loaned shares, the effect of any of which is to mitigate loss to or manage risk of stock price changes (increases or decreases) for, or to increase or decrease the voting power of, such stockholder, nominee or beneficial owner or any of their respective affiliates or associates with respect to the shares of the Corporation, (v) an undertaking by the stockholder to notify the Corporation in writing of any change in the information called for by clauses (ii), (iii) and (iv) as of the record date for such special meeting, by notice received by the Secretary at the principal executive offices of the Corporation not later than the 10th day following such record date, and thereafter by notice so given and received within two business days of any change in such information and, in any event, as of the close of business on the day preceding the meeting date, and (vi) an acknowledgement that any reduction in Ownership below the Requisite Percent (i.e., 15% of the outstanding shares of the Corporation’s Common Stock as of the date of the Special Meeting Request) following the delivery of the Special Meeting Request to the Secretary shall constitute a revocation of such Special Meeting Request.</w:t>
      </w:r>
    </w:p>
    <w:p>
      <w:pPr>
        <w:spacing w:after="0" w:line="200" w:lineRule="exact"/>
        <w:rPr>
          <w:sz w:val="20"/>
          <w:szCs w:val="20"/>
          <w:color w:val="auto"/>
        </w:rPr>
      </w:pPr>
    </w:p>
    <w:p>
      <w:pPr>
        <w:spacing w:after="0" w:line="243"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9"/>
          <w:szCs w:val="19"/>
          <w:color w:val="auto"/>
        </w:rPr>
        <w:t>Upon the written request of any stockholders who have called a special meeting, it shall be the duty of the Secretary of the Corporation to fix the date of the meeting which shall be held at such date and time as the Secretary may fix, not less than 10 nor more than 60 days after the receipt of the request (provided that such request complies with all applicable provisions of these By-laws), and to give due notice thereof in accordance with the applicable provisions of these By-laws. Notwithstanding the foregoing, a special meeting requested by stockholders shall not be held if (i) the Special Meeting Request relates to an item of business that is not a proper subject for stockholder action under applicable law, (ii) the Special Meeting Request is delivered during the period commencing 90 days prior to the first anniversary of the date of the notice of annual meeting for the immediately preceding annual meeting and ending on the earlier of (x) the date of the next annual meeting and (y) 30 calendar days after the first anniversary of the date of the immediately preceding annual meeting, (iii) an identical or substantially similar item (as determined in good faith by the Board, a “Similar Item”), other than the election of directors, was presented at a meeting of the stockholders held not more than 12 months before the Special Meeting Request is delivered, (iv) a Similar Item was presented at a meeting of the stockholders held not more than 90 days before the Special Meeting Request is delivered (and, for purposes of this clause (iv), the election of directors shall be deemed a “Similar Item” with respect to all items of business involving the election or removal of directors) or</w:t>
      </w:r>
    </w:p>
    <w:p>
      <w:pPr>
        <w:spacing w:after="0" w:line="7" w:lineRule="exact"/>
        <w:rPr>
          <w:sz w:val="20"/>
          <w:szCs w:val="20"/>
          <w:color w:val="auto"/>
        </w:rPr>
      </w:pPr>
    </w:p>
    <w:p>
      <w:pPr>
        <w:jc w:val="both"/>
        <w:ind w:firstLine="8"/>
        <w:spacing w:after="0" w:line="249" w:lineRule="auto"/>
        <w:tabs>
          <w:tab w:leader="none" w:pos="308" w:val="left"/>
        </w:tabs>
        <w:numPr>
          <w:ilvl w:val="0"/>
          <w:numId w:val="17"/>
        </w:numPr>
        <w:rPr>
          <w:rFonts w:ascii="Arial" w:cs="Arial" w:eastAsia="Arial" w:hAnsi="Arial"/>
          <w:sz w:val="21"/>
          <w:szCs w:val="21"/>
          <w:color w:val="auto"/>
        </w:rPr>
      </w:pPr>
      <w:r>
        <w:rPr>
          <w:rFonts w:ascii="Arial" w:cs="Arial" w:eastAsia="Arial" w:hAnsi="Arial"/>
          <w:sz w:val="21"/>
          <w:szCs w:val="21"/>
          <w:color w:val="auto"/>
        </w:rPr>
        <w:t>a Similar Item is included in the Corporation’s notice as an item of business to be brought before a stockholder meeting that has been called by the time the Special Meeting Request is delivered but not yet held. Only matters as are stated in the notice of a special meeting of stockholders shall be brought before and acted upon thereat; provided that nothing</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2" w:right="239" w:bottom="1440" w:gutter="0" w:footer="0" w:header="0"/>
        </w:sectPr>
      </w:pPr>
    </w:p>
    <w:bookmarkStart w:id="55" w:name="page56"/>
    <w:bookmarkEnd w:id="55"/>
    <w:p>
      <w:pPr>
        <w:spacing w:after="0"/>
        <w:rPr>
          <w:sz w:val="20"/>
          <w:szCs w:val="20"/>
          <w:color w:val="auto"/>
        </w:rPr>
      </w:pPr>
      <w:r>
        <w:rPr>
          <w:rFonts w:ascii="Arial" w:cs="Arial" w:eastAsia="Arial" w:hAnsi="Arial"/>
          <w:sz w:val="19"/>
          <w:szCs w:val="19"/>
          <w:color w:val="auto"/>
        </w:rPr>
        <w:t>herein shall prohibit the Board from submitting matters to the stockholders at any special meeting called by the stockholders.</w:t>
      </w:r>
    </w:p>
    <w:p>
      <w:pPr>
        <w:spacing w:after="0" w:line="268" w:lineRule="exact"/>
        <w:rPr>
          <w:sz w:val="20"/>
          <w:szCs w:val="20"/>
          <w:color w:val="auto"/>
        </w:rPr>
      </w:pPr>
    </w:p>
    <w:p>
      <w:pPr>
        <w:jc w:val="both"/>
        <w:ind w:firstLine="324"/>
        <w:spacing w:after="0" w:line="246" w:lineRule="auto"/>
        <w:rPr>
          <w:sz w:val="20"/>
          <w:szCs w:val="20"/>
          <w:color w:val="auto"/>
        </w:rPr>
      </w:pPr>
      <w:r>
        <w:rPr>
          <w:rFonts w:ascii="Arial" w:cs="Arial" w:eastAsia="Arial" w:hAnsi="Arial"/>
          <w:sz w:val="21"/>
          <w:szCs w:val="21"/>
          <w:color w:val="auto"/>
        </w:rPr>
        <w:t xml:space="preserve">SECTION 4. </w:t>
      </w:r>
      <w:r>
        <w:rPr>
          <w:rFonts w:ascii="Arial" w:cs="Arial" w:eastAsia="Arial" w:hAnsi="Arial"/>
          <w:sz w:val="21"/>
          <w:szCs w:val="21"/>
          <w:b w:val="1"/>
          <w:bCs w:val="1"/>
          <w:i w:val="1"/>
          <w:iCs w:val="1"/>
          <w:color w:val="auto"/>
        </w:rPr>
        <w:t>Notice of Meetings</w:t>
      </w:r>
      <w:r>
        <w:rPr>
          <w:rFonts w:ascii="Arial" w:cs="Arial" w:eastAsia="Arial" w:hAnsi="Arial"/>
          <w:sz w:val="21"/>
          <w:szCs w:val="21"/>
          <w:color w:val="auto"/>
        </w:rPr>
        <w:t>. Notice of each meeting of stockholders, annual or special, shall be in writing, shall state the place, date and hour of the meeting, and, in the case of a special meeting, the purpose or purposes for which the meeting is called. Unless otherwise provided by law, the written notice of any meeting shall be given not less than 10 nor more than 60 days before the date of the meeting to each stockholder entitled to vote at the meeting. If mailed, notice is given when deposited in the United States mail, postage prepaid, directed to the stockholder at his address as it appears on the records of the Corporation. Unless (i) the adjournment is for more than 30 days, or (ii) the Board shall fix a new record date for any adjourned meeting after the adjournment, notice of an adjourned meeting need not be given if the time and place to which the meeting shall be adjourned were announced at the meeting at which the adjournment was taken.</w:t>
      </w:r>
    </w:p>
    <w:p>
      <w:pPr>
        <w:spacing w:after="0" w:line="208" w:lineRule="exact"/>
        <w:rPr>
          <w:sz w:val="20"/>
          <w:szCs w:val="20"/>
          <w:color w:val="auto"/>
        </w:rPr>
      </w:pPr>
    </w:p>
    <w:p>
      <w:pPr>
        <w:jc w:val="both"/>
        <w:ind w:firstLine="324"/>
        <w:spacing w:after="0" w:line="236" w:lineRule="auto"/>
        <w:rPr>
          <w:sz w:val="20"/>
          <w:szCs w:val="20"/>
          <w:color w:val="auto"/>
        </w:rPr>
      </w:pPr>
      <w:r>
        <w:rPr>
          <w:rFonts w:ascii="Arial" w:cs="Arial" w:eastAsia="Arial" w:hAnsi="Arial"/>
          <w:sz w:val="22"/>
          <w:szCs w:val="22"/>
          <w:color w:val="auto"/>
        </w:rPr>
        <w:t xml:space="preserve">SECTION 5. </w:t>
      </w:r>
      <w:r>
        <w:rPr>
          <w:rFonts w:ascii="Arial" w:cs="Arial" w:eastAsia="Arial" w:hAnsi="Arial"/>
          <w:sz w:val="22"/>
          <w:szCs w:val="22"/>
          <w:b w:val="1"/>
          <w:bCs w:val="1"/>
          <w:i w:val="1"/>
          <w:iCs w:val="1"/>
          <w:color w:val="auto"/>
        </w:rPr>
        <w:t>Quorum</w:t>
      </w:r>
      <w:r>
        <w:rPr>
          <w:rFonts w:ascii="Arial" w:cs="Arial" w:eastAsia="Arial" w:hAnsi="Arial"/>
          <w:sz w:val="22"/>
          <w:szCs w:val="22"/>
          <w:color w:val="auto"/>
        </w:rPr>
        <w:t>. At each meeting of stockholders of the Corporation, the holders of a majority of the shares of capital stock of the Corporation entitled to vote at the meeting, present in person or represented by proxy, shall constitute a quorum for the transaction of business, except as otherwise provided by law. In the absence of a quorum, the chairman of the meeting or a majority in interest of those present in person or represented by proxy and entitled to vote at the meeting may adjourn the meeting from time to time until a quorum shall be present.</w:t>
      </w:r>
    </w:p>
    <w:p>
      <w:pPr>
        <w:spacing w:after="0" w:line="215" w:lineRule="exact"/>
        <w:rPr>
          <w:sz w:val="20"/>
          <w:szCs w:val="20"/>
          <w:color w:val="auto"/>
        </w:rPr>
      </w:pPr>
    </w:p>
    <w:p>
      <w:pPr>
        <w:jc w:val="both"/>
        <w:ind w:right="20" w:firstLine="324"/>
        <w:spacing w:after="0" w:line="251" w:lineRule="auto"/>
        <w:rPr>
          <w:sz w:val="20"/>
          <w:szCs w:val="20"/>
          <w:color w:val="auto"/>
        </w:rPr>
      </w:pPr>
      <w:r>
        <w:rPr>
          <w:rFonts w:ascii="Arial" w:cs="Arial" w:eastAsia="Arial" w:hAnsi="Arial"/>
          <w:sz w:val="22"/>
          <w:szCs w:val="22"/>
          <w:color w:val="auto"/>
        </w:rPr>
        <w:t xml:space="preserve">SECTION 6. </w:t>
      </w:r>
      <w:r>
        <w:rPr>
          <w:rFonts w:ascii="Arial" w:cs="Arial" w:eastAsia="Arial" w:hAnsi="Arial"/>
          <w:sz w:val="22"/>
          <w:szCs w:val="22"/>
          <w:b w:val="1"/>
          <w:bCs w:val="1"/>
          <w:i w:val="1"/>
          <w:iCs w:val="1"/>
          <w:color w:val="auto"/>
        </w:rPr>
        <w:t>Order of Business</w:t>
      </w:r>
      <w:r>
        <w:rPr>
          <w:rFonts w:ascii="Arial" w:cs="Arial" w:eastAsia="Arial" w:hAnsi="Arial"/>
          <w:sz w:val="22"/>
          <w:szCs w:val="22"/>
          <w:color w:val="auto"/>
        </w:rPr>
        <w:t>. The order of business at all meetings of stockholders shall be as determined by the chairman of the meeting.</w:t>
      </w:r>
    </w:p>
    <w:p>
      <w:pPr>
        <w:spacing w:after="0" w:line="20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9"/>
          <w:szCs w:val="19"/>
          <w:color w:val="auto"/>
        </w:rPr>
        <w:t xml:space="preserve">SECTION 7. </w:t>
      </w:r>
      <w:r>
        <w:rPr>
          <w:rFonts w:ascii="Arial" w:cs="Arial" w:eastAsia="Arial" w:hAnsi="Arial"/>
          <w:sz w:val="19"/>
          <w:szCs w:val="19"/>
          <w:b w:val="1"/>
          <w:bCs w:val="1"/>
          <w:i w:val="1"/>
          <w:iCs w:val="1"/>
          <w:color w:val="auto"/>
        </w:rPr>
        <w:t>Voting</w:t>
      </w:r>
      <w:r>
        <w:rPr>
          <w:rFonts w:ascii="Arial" w:cs="Arial" w:eastAsia="Arial" w:hAnsi="Arial"/>
          <w:sz w:val="19"/>
          <w:szCs w:val="19"/>
          <w:color w:val="auto"/>
        </w:rPr>
        <w:t>. Except as otherwise provided in the Certificate of Incorporation, at each meeting of stockholders, every stockholder of the Corporation shall be entitled to one vote for every share of capital stock standing in his name on the stock record of the Corporation (i) at the time fixed pursuant to Section 6 of Article VII of these By-laws as the record date for the determination of stockholders entitled to vote at such meeting, or (ii) if no such record date shall have been fixed, then at the close of business on the day next preceding the day on which notice thereof shall be given. At each meeting of stockholders, except as otherwise provided by law or in the Certificate of Incorporation or these By-laws, in all matters the affirmative vote of the majority of shares present in person or represented by proxy and entitled to vote on the subject matter shall be the act of the stockholders.</w:t>
      </w:r>
    </w:p>
    <w:p>
      <w:pPr>
        <w:spacing w:after="0" w:line="180"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9"/>
          <w:szCs w:val="19"/>
          <w:color w:val="auto"/>
        </w:rPr>
        <w:t xml:space="preserve">SECTION 8. </w:t>
      </w:r>
      <w:r>
        <w:rPr>
          <w:rFonts w:ascii="Arial" w:cs="Arial" w:eastAsia="Arial" w:hAnsi="Arial"/>
          <w:sz w:val="19"/>
          <w:szCs w:val="19"/>
          <w:b w:val="1"/>
          <w:bCs w:val="1"/>
          <w:i w:val="1"/>
          <w:iCs w:val="1"/>
          <w:color w:val="auto"/>
        </w:rPr>
        <w:t>Inspectors</w:t>
      </w:r>
      <w:r>
        <w:rPr>
          <w:rFonts w:ascii="Arial" w:cs="Arial" w:eastAsia="Arial" w:hAnsi="Arial"/>
          <w:sz w:val="19"/>
          <w:szCs w:val="19"/>
          <w:color w:val="auto"/>
        </w:rPr>
        <w:t>. In advance of any meeting of stockholders, the Board shall appoint one or more inspectors to act at the meeting and make a written report thereof and may designate one or more alternate inspectors to replace any inspector who fails to act. If no inspector or alternate is able to act at a meeting, the chairman of the meeting shall appoint one or more inspectors to act at the meeting. Each inspector shall take and sign such oath and perform such duties as shall be required by law and may perform such other duties not inconsistent therewith as may be requested by the Corporation.</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2" w:right="239" w:bottom="1440" w:gutter="0" w:footer="0" w:header="0"/>
        </w:sectPr>
      </w:pPr>
    </w:p>
    <w:bookmarkStart w:id="56" w:name="page57"/>
    <w:bookmarkEnd w:id="56"/>
    <w:p>
      <w:pPr>
        <w:ind w:left="5120"/>
        <w:spacing w:after="0"/>
        <w:rPr>
          <w:sz w:val="20"/>
          <w:szCs w:val="20"/>
          <w:color w:val="auto"/>
        </w:rPr>
      </w:pPr>
      <w:r>
        <w:rPr>
          <w:rFonts w:ascii="Arial" w:cs="Arial" w:eastAsia="Arial" w:hAnsi="Arial"/>
          <w:sz w:val="22"/>
          <w:szCs w:val="22"/>
          <w:color w:val="auto"/>
        </w:rPr>
        <w:t>ARTICLE III</w:t>
      </w:r>
    </w:p>
    <w:p>
      <w:pPr>
        <w:spacing w:after="0" w:line="8" w:lineRule="exact"/>
        <w:rPr>
          <w:sz w:val="20"/>
          <w:szCs w:val="20"/>
          <w:color w:val="auto"/>
        </w:rPr>
      </w:pPr>
    </w:p>
    <w:p>
      <w:pPr>
        <w:ind w:left="5120"/>
        <w:spacing w:after="0"/>
        <w:rPr>
          <w:sz w:val="20"/>
          <w:szCs w:val="20"/>
          <w:color w:val="auto"/>
        </w:rPr>
      </w:pPr>
      <w:r>
        <w:rPr>
          <w:rFonts w:ascii="Arial" w:cs="Arial" w:eastAsia="Arial" w:hAnsi="Arial"/>
          <w:sz w:val="22"/>
          <w:szCs w:val="22"/>
          <w:color w:val="auto"/>
        </w:rPr>
        <w:t>DIRECTORS</w:t>
      </w:r>
    </w:p>
    <w:p>
      <w:pPr>
        <w:spacing w:after="0" w:line="215" w:lineRule="exact"/>
        <w:rPr>
          <w:sz w:val="20"/>
          <w:szCs w:val="20"/>
          <w:color w:val="auto"/>
        </w:rPr>
      </w:pPr>
    </w:p>
    <w:p>
      <w:pPr>
        <w:jc w:val="both"/>
        <w:ind w:firstLine="324"/>
        <w:spacing w:after="0"/>
        <w:rPr>
          <w:sz w:val="20"/>
          <w:szCs w:val="20"/>
          <w:color w:val="auto"/>
        </w:rPr>
      </w:pPr>
      <w:r>
        <w:rPr>
          <w:rFonts w:ascii="Arial" w:cs="Arial" w:eastAsia="Arial" w:hAnsi="Arial"/>
          <w:sz w:val="22"/>
          <w:szCs w:val="22"/>
          <w:color w:val="auto"/>
        </w:rPr>
        <w:t xml:space="preserve">SECTION 1. </w:t>
      </w:r>
      <w:r>
        <w:rPr>
          <w:rFonts w:ascii="Arial" w:cs="Arial" w:eastAsia="Arial" w:hAnsi="Arial"/>
          <w:sz w:val="22"/>
          <w:szCs w:val="22"/>
          <w:b w:val="1"/>
          <w:bCs w:val="1"/>
          <w:i w:val="1"/>
          <w:iCs w:val="1"/>
          <w:color w:val="auto"/>
        </w:rPr>
        <w:t>Powers</w:t>
      </w:r>
      <w:r>
        <w:rPr>
          <w:rFonts w:ascii="Arial" w:cs="Arial" w:eastAsia="Arial" w:hAnsi="Arial"/>
          <w:sz w:val="22"/>
          <w:szCs w:val="22"/>
          <w:color w:val="auto"/>
        </w:rPr>
        <w:t>. The business and affairs of the Corporation shall be managed by or under the direction of the Board. The Board may exercise all such authority and powers of the Corporation and do all such lawful acts and things as are not by law or otherwise directed or required to be exercised or done by the stockholders.</w:t>
      </w:r>
    </w:p>
    <w:p>
      <w:pPr>
        <w:spacing w:after="0" w:line="213" w:lineRule="exact"/>
        <w:rPr>
          <w:sz w:val="20"/>
          <w:szCs w:val="20"/>
          <w:color w:val="auto"/>
        </w:rPr>
      </w:pPr>
    </w:p>
    <w:p>
      <w:pPr>
        <w:ind w:left="340"/>
        <w:spacing w:after="0"/>
        <w:rPr>
          <w:sz w:val="20"/>
          <w:szCs w:val="20"/>
          <w:color w:val="auto"/>
        </w:rPr>
      </w:pPr>
      <w:r>
        <w:rPr>
          <w:rFonts w:ascii="Arial" w:cs="Arial" w:eastAsia="Arial" w:hAnsi="Arial"/>
          <w:sz w:val="22"/>
          <w:szCs w:val="22"/>
          <w:color w:val="auto"/>
        </w:rPr>
        <w:t xml:space="preserve">SECTION 2. </w:t>
      </w:r>
      <w:r>
        <w:rPr>
          <w:rFonts w:ascii="Arial" w:cs="Arial" w:eastAsia="Arial" w:hAnsi="Arial"/>
          <w:sz w:val="22"/>
          <w:szCs w:val="22"/>
          <w:b w:val="1"/>
          <w:bCs w:val="1"/>
          <w:i w:val="1"/>
          <w:iCs w:val="1"/>
          <w:color w:val="auto"/>
        </w:rPr>
        <w:t>Number, Election and Terms</w:t>
      </w:r>
      <w:r>
        <w:rPr>
          <w:rFonts w:ascii="Arial" w:cs="Arial" w:eastAsia="Arial" w:hAnsi="Arial"/>
          <w:sz w:val="22"/>
          <w:szCs w:val="22"/>
          <w:color w:val="auto"/>
        </w:rPr>
        <w:t>.</w:t>
      </w:r>
    </w:p>
    <w:p>
      <w:pPr>
        <w:spacing w:after="0" w:line="233" w:lineRule="exact"/>
        <w:rPr>
          <w:sz w:val="20"/>
          <w:szCs w:val="20"/>
          <w:color w:val="auto"/>
        </w:rPr>
      </w:pPr>
    </w:p>
    <w:p>
      <w:pPr>
        <w:jc w:val="both"/>
        <w:ind w:firstLine="656"/>
        <w:spacing w:after="0" w:line="272" w:lineRule="auto"/>
        <w:tabs>
          <w:tab w:leader="none" w:pos="1360" w:val="left"/>
        </w:tabs>
        <w:numPr>
          <w:ilvl w:val="0"/>
          <w:numId w:val="18"/>
        </w:numPr>
        <w:rPr>
          <w:rFonts w:ascii="Arial" w:cs="Arial" w:eastAsia="Arial" w:hAnsi="Arial"/>
          <w:sz w:val="19"/>
          <w:szCs w:val="19"/>
          <w:color w:val="auto"/>
        </w:rPr>
      </w:pPr>
      <w:r>
        <w:rPr>
          <w:rFonts w:ascii="Arial" w:cs="Arial" w:eastAsia="Arial" w:hAnsi="Arial"/>
          <w:sz w:val="19"/>
          <w:szCs w:val="19"/>
          <w:color w:val="auto"/>
        </w:rPr>
        <w:t>Authorized Number; Filling of Vacancies. The authorized number of directors may be determined from time to time by vote of a majority of the then authorized number of directors or by the affirmative vote of the holders of a majority of the voting power of the then outstanding shares of capital stock of the Corporation entitled to vote generally in the election of directors, voting together as a single class; provided, however, that such number shall automatically be increased by two in the event of default in the payment of dividends on the Preferred Stock under the circumstances described in the Certificate of Incorporation. The directors, other than those who may be elected by the holders of the Preferred Stock of the Corporation pursuant to the Certificate of Incorporation, shall hold office until the next annual meeting of stockholders and until their successors have been elected and qualified. Except as otherwise provided in the Certificate of Incorporation, newly created directorships resulting from any increase in the number of directors and any vacancies on the Board resulting from death, resignation, disqualification, removal or other cause shall be filled by the affirmative vote of a majority of the remaining directors then in office, even if less than a quorum of the Board, or by a sole remaining director. Any director elected in accordance with the preceding sentence shall hold office until the annual meeting of stockholders and until such director’s successor shall have been elected and qualified. No decrease in the number of directors constituting the Board shall shorten the term of any incumbent director.</w:t>
      </w:r>
    </w:p>
    <w:p>
      <w:pPr>
        <w:spacing w:after="0" w:line="184" w:lineRule="exact"/>
        <w:rPr>
          <w:rFonts w:ascii="Arial" w:cs="Arial" w:eastAsia="Arial" w:hAnsi="Arial"/>
          <w:sz w:val="19"/>
          <w:szCs w:val="19"/>
          <w:color w:val="auto"/>
        </w:rPr>
      </w:pPr>
    </w:p>
    <w:p>
      <w:pPr>
        <w:ind w:left="1380" w:hanging="724"/>
        <w:spacing w:after="0"/>
        <w:tabs>
          <w:tab w:leader="none" w:pos="1380" w:val="left"/>
        </w:tabs>
        <w:numPr>
          <w:ilvl w:val="0"/>
          <w:numId w:val="18"/>
        </w:numPr>
        <w:rPr>
          <w:rFonts w:ascii="Arial" w:cs="Arial" w:eastAsia="Arial" w:hAnsi="Arial"/>
          <w:sz w:val="22"/>
          <w:szCs w:val="22"/>
          <w:color w:val="auto"/>
        </w:rPr>
      </w:pPr>
      <w:r>
        <w:rPr>
          <w:rFonts w:ascii="Arial" w:cs="Arial" w:eastAsia="Arial" w:hAnsi="Arial"/>
          <w:sz w:val="22"/>
          <w:szCs w:val="22"/>
          <w:color w:val="auto"/>
        </w:rPr>
        <w:t>Majority Voting.</w:t>
      </w:r>
    </w:p>
    <w:p>
      <w:pPr>
        <w:spacing w:after="0" w:line="233" w:lineRule="exact"/>
        <w:rPr>
          <w:rFonts w:ascii="Arial" w:cs="Arial" w:eastAsia="Arial" w:hAnsi="Arial"/>
          <w:sz w:val="22"/>
          <w:szCs w:val="22"/>
          <w:color w:val="auto"/>
        </w:rPr>
      </w:pPr>
    </w:p>
    <w:p>
      <w:pPr>
        <w:jc w:val="both"/>
        <w:ind w:left="660" w:firstLine="645"/>
        <w:spacing w:after="0" w:line="297" w:lineRule="auto"/>
        <w:tabs>
          <w:tab w:leader="none" w:pos="1592" w:val="left"/>
        </w:tabs>
        <w:numPr>
          <w:ilvl w:val="1"/>
          <w:numId w:val="18"/>
        </w:numPr>
        <w:rPr>
          <w:rFonts w:ascii="Arial" w:cs="Arial" w:eastAsia="Arial" w:hAnsi="Arial"/>
          <w:sz w:val="19"/>
          <w:szCs w:val="19"/>
          <w:color w:val="auto"/>
        </w:rPr>
      </w:pPr>
      <w:r>
        <w:rPr>
          <w:rFonts w:ascii="Arial" w:cs="Arial" w:eastAsia="Arial" w:hAnsi="Arial"/>
          <w:sz w:val="19"/>
          <w:szCs w:val="19"/>
          <w:color w:val="auto"/>
        </w:rPr>
        <w:t>Except as provided in paragraph (c) of this by-law, a nominee for director will be elected to the Board if the number of votes cast “for” that nominee’s election exceed the number of votes cast “against” that nominee’s election (excluding abstentions) at any meeting for the election of directors at which a quorum is present (a “Majority Vote”).</w:t>
      </w:r>
    </w:p>
    <w:p>
      <w:pPr>
        <w:spacing w:after="0" w:line="161" w:lineRule="exact"/>
        <w:rPr>
          <w:rFonts w:ascii="Arial" w:cs="Arial" w:eastAsia="Arial" w:hAnsi="Arial"/>
          <w:sz w:val="19"/>
          <w:szCs w:val="19"/>
          <w:color w:val="auto"/>
        </w:rPr>
      </w:pPr>
    </w:p>
    <w:p>
      <w:pPr>
        <w:jc w:val="both"/>
        <w:ind w:left="660" w:firstLine="645"/>
        <w:spacing w:after="0" w:line="279" w:lineRule="auto"/>
        <w:tabs>
          <w:tab w:leader="none" w:pos="1638" w:val="left"/>
        </w:tabs>
        <w:numPr>
          <w:ilvl w:val="1"/>
          <w:numId w:val="18"/>
        </w:numPr>
        <w:rPr>
          <w:rFonts w:ascii="Arial" w:cs="Arial" w:eastAsia="Arial" w:hAnsi="Arial"/>
          <w:sz w:val="19"/>
          <w:szCs w:val="19"/>
          <w:color w:val="auto"/>
        </w:rPr>
      </w:pPr>
      <w:r>
        <w:rPr>
          <w:rFonts w:ascii="Arial" w:cs="Arial" w:eastAsia="Arial" w:hAnsi="Arial"/>
          <w:sz w:val="19"/>
          <w:szCs w:val="19"/>
          <w:color w:val="auto"/>
        </w:rPr>
        <w:t>Any nominee who does not receive a Majority Vote is expected to promptly tender his or her resignation to the Chairman of the Board following certification of the stockholder vote. The Corporate Governance and Responsibility Committee will promptly consider the resignation submitted by each nominee failing to receive a Majority Vote and recommend to the Board whether to accept the tendered resignation or reject it. The Board will consider the Corporate Governance and Responsibility Committee’s recommendation and decide whether to accept or reject any tendered resignations no later than at its first regularly scheduled meeting following certification of the stockholder vote.</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2" w:right="239" w:bottom="1440" w:gutter="0" w:footer="0" w:header="0"/>
        </w:sectPr>
      </w:pPr>
    </w:p>
    <w:bookmarkStart w:id="57" w:name="page58"/>
    <w:bookmarkEnd w:id="57"/>
    <w:p>
      <w:pPr>
        <w:jc w:val="both"/>
        <w:ind w:left="660" w:firstLine="648"/>
        <w:spacing w:after="0" w:line="297" w:lineRule="auto"/>
        <w:rPr>
          <w:sz w:val="20"/>
          <w:szCs w:val="20"/>
          <w:color w:val="auto"/>
        </w:rPr>
      </w:pPr>
      <w:r>
        <w:rPr>
          <w:rFonts w:ascii="Arial" w:cs="Arial" w:eastAsia="Arial" w:hAnsi="Arial"/>
          <w:sz w:val="19"/>
          <w:szCs w:val="19"/>
          <w:color w:val="auto"/>
        </w:rPr>
        <w:t>Following the Board’s decision on the Corporate Governance and Responsibility Committee’s recommendation, the Company will promptly publicly disclose the Board’s decision and process (including, if applicable, the reasons for rejecting the tendered resignation) in a periodic or current report filed with the Securities and Exchange Commission.</w:t>
      </w:r>
    </w:p>
    <w:p>
      <w:pPr>
        <w:spacing w:after="0" w:line="161" w:lineRule="exact"/>
        <w:rPr>
          <w:sz w:val="20"/>
          <w:szCs w:val="20"/>
          <w:color w:val="auto"/>
        </w:rPr>
      </w:pPr>
    </w:p>
    <w:p>
      <w:pPr>
        <w:jc w:val="both"/>
        <w:ind w:left="660" w:firstLine="648"/>
        <w:spacing w:after="0"/>
        <w:rPr>
          <w:sz w:val="20"/>
          <w:szCs w:val="20"/>
          <w:color w:val="auto"/>
        </w:rPr>
      </w:pPr>
      <w:r>
        <w:rPr>
          <w:rFonts w:ascii="Arial" w:cs="Arial" w:eastAsia="Arial" w:hAnsi="Arial"/>
          <w:sz w:val="22"/>
          <w:szCs w:val="22"/>
          <w:color w:val="auto"/>
        </w:rPr>
        <w:t>To the extent that one or more directors’ resignations are accepted by the Board, the Corporate Governance and Responsibility Committee will recommend to the Board whether to fill such vacancy or vacancies or to reduce the size of the Board.</w:t>
      </w:r>
    </w:p>
    <w:p>
      <w:pPr>
        <w:spacing w:after="0" w:line="213" w:lineRule="exact"/>
        <w:rPr>
          <w:sz w:val="20"/>
          <w:szCs w:val="20"/>
          <w:color w:val="auto"/>
        </w:rPr>
      </w:pPr>
    </w:p>
    <w:p>
      <w:pPr>
        <w:jc w:val="both"/>
        <w:ind w:left="660" w:firstLine="648"/>
        <w:spacing w:after="0" w:line="234" w:lineRule="auto"/>
        <w:rPr>
          <w:sz w:val="20"/>
          <w:szCs w:val="20"/>
          <w:color w:val="auto"/>
        </w:rPr>
      </w:pPr>
      <w:r>
        <w:rPr>
          <w:rFonts w:ascii="Arial" w:cs="Arial" w:eastAsia="Arial" w:hAnsi="Arial"/>
          <w:sz w:val="22"/>
          <w:szCs w:val="22"/>
          <w:color w:val="auto"/>
        </w:rPr>
        <w:t>Any director who tenders his or her resignation pursuant to this provision will not participate in the Corporate Governance and Responsibility Committee recommendation or Board consideration regarding whether or not to accept the tendered resignation. If a majority of the members of the Corporate Governance and Responsibility Committee failed to receive a Majority Vote at the same election, then the independent directors who were elected will appoint a Board committee amongst themselves solely for the purpose of considering the tendered resignations and will recommend to the Board whether to accept or reject them. This Board committee may, but need not, consist of all of the independent directors who were elected.</w:t>
      </w:r>
    </w:p>
    <w:p>
      <w:pPr>
        <w:spacing w:after="0" w:line="218" w:lineRule="exact"/>
        <w:rPr>
          <w:sz w:val="20"/>
          <w:szCs w:val="20"/>
          <w:color w:val="auto"/>
        </w:rPr>
      </w:pPr>
    </w:p>
    <w:p>
      <w:pPr>
        <w:jc w:val="both"/>
        <w:ind w:firstLine="656"/>
        <w:spacing w:after="0" w:line="277" w:lineRule="auto"/>
        <w:tabs>
          <w:tab w:leader="none" w:pos="1421" w:val="left"/>
        </w:tabs>
        <w:numPr>
          <w:ilvl w:val="0"/>
          <w:numId w:val="19"/>
        </w:numPr>
        <w:rPr>
          <w:rFonts w:ascii="Arial" w:cs="Arial" w:eastAsia="Arial" w:hAnsi="Arial"/>
          <w:sz w:val="19"/>
          <w:szCs w:val="19"/>
          <w:color w:val="auto"/>
        </w:rPr>
      </w:pPr>
      <w:r>
        <w:rPr>
          <w:rFonts w:ascii="Arial" w:cs="Arial" w:eastAsia="Arial" w:hAnsi="Arial"/>
          <w:sz w:val="19"/>
          <w:szCs w:val="19"/>
          <w:color w:val="auto"/>
        </w:rPr>
        <w:t xml:space="preserve">Contested Elections. If the number of nominees for director, whether nominated by the Board and/or stockholders, exceeds the number of directors to be elected, directors shall be elected by a plurality of the votes cast in person or by proxy at any meeting of stockholders for the election of directors at which a quorum is present; </w:t>
      </w:r>
      <w:r>
        <w:rPr>
          <w:rFonts w:ascii="Arial" w:cs="Arial" w:eastAsia="Arial" w:hAnsi="Arial"/>
          <w:sz w:val="19"/>
          <w:szCs w:val="19"/>
          <w:u w:val="single" w:color="auto"/>
          <w:color w:val="auto"/>
        </w:rPr>
        <w:t>provided</w:t>
      </w:r>
      <w:r>
        <w:rPr>
          <w:rFonts w:ascii="Arial" w:cs="Arial" w:eastAsia="Arial" w:hAnsi="Arial"/>
          <w:sz w:val="19"/>
          <w:szCs w:val="19"/>
          <w:color w:val="auto"/>
        </w:rPr>
        <w:t>, that, nominations by stockholders (i) have been made in compliance with Sections 3 and/or 4, as applicable, of this Article and (ii) have not been withdrawn (such that the number of nominees no longer exceeds the number of directors to be elected) on or prior to the day immediately preceding the date the Corporation first mails its notice of meeting for such meeting to the stockholders. If directors are to be elected by a plurality of the votes cast, stockholders shall not be permitted to vote “against” any nominee.</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22"/>
          <w:szCs w:val="22"/>
          <w:color w:val="auto"/>
        </w:rPr>
        <w:t xml:space="preserve">SECTION 3. </w:t>
      </w:r>
      <w:r>
        <w:rPr>
          <w:rFonts w:ascii="Arial" w:cs="Arial" w:eastAsia="Arial" w:hAnsi="Arial"/>
          <w:sz w:val="22"/>
          <w:szCs w:val="22"/>
          <w:b w:val="1"/>
          <w:bCs w:val="1"/>
          <w:i w:val="1"/>
          <w:iCs w:val="1"/>
          <w:color w:val="auto"/>
        </w:rPr>
        <w:t>Advance Notice of Stockholder Business and Nominations</w:t>
      </w:r>
      <w:r>
        <w:rPr>
          <w:rFonts w:ascii="Arial" w:cs="Arial" w:eastAsia="Arial" w:hAnsi="Arial"/>
          <w:sz w:val="22"/>
          <w:szCs w:val="22"/>
          <w:color w:val="auto"/>
        </w:rPr>
        <w:t>.</w:t>
      </w:r>
    </w:p>
    <w:p>
      <w:pPr>
        <w:spacing w:after="0" w:line="233" w:lineRule="exact"/>
        <w:rPr>
          <w:sz w:val="20"/>
          <w:szCs w:val="20"/>
          <w:color w:val="auto"/>
        </w:rPr>
      </w:pPr>
    </w:p>
    <w:p>
      <w:pPr>
        <w:ind w:left="1360" w:hanging="704"/>
        <w:spacing w:after="0"/>
        <w:tabs>
          <w:tab w:leader="none" w:pos="1360" w:val="left"/>
        </w:tabs>
        <w:numPr>
          <w:ilvl w:val="0"/>
          <w:numId w:val="20"/>
        </w:numPr>
        <w:rPr>
          <w:rFonts w:ascii="Arial" w:cs="Arial" w:eastAsia="Arial" w:hAnsi="Arial"/>
          <w:sz w:val="22"/>
          <w:szCs w:val="22"/>
          <w:color w:val="auto"/>
        </w:rPr>
      </w:pPr>
      <w:r>
        <w:rPr>
          <w:rFonts w:ascii="Arial" w:cs="Arial" w:eastAsia="Arial" w:hAnsi="Arial"/>
          <w:sz w:val="22"/>
          <w:szCs w:val="22"/>
          <w:color w:val="auto"/>
        </w:rPr>
        <w:t>Annual Meeting of Stockholders.</w:t>
      </w:r>
    </w:p>
    <w:p>
      <w:pPr>
        <w:spacing w:after="0" w:line="233" w:lineRule="exact"/>
        <w:rPr>
          <w:rFonts w:ascii="Arial" w:cs="Arial" w:eastAsia="Arial" w:hAnsi="Arial"/>
          <w:sz w:val="22"/>
          <w:szCs w:val="22"/>
          <w:color w:val="auto"/>
        </w:rPr>
      </w:pPr>
    </w:p>
    <w:p>
      <w:pPr>
        <w:ind w:left="660" w:firstLine="645"/>
        <w:spacing w:after="0" w:line="274" w:lineRule="auto"/>
        <w:tabs>
          <w:tab w:leader="none" w:pos="2312" w:val="left"/>
        </w:tabs>
        <w:numPr>
          <w:ilvl w:val="1"/>
          <w:numId w:val="20"/>
        </w:numPr>
        <w:rPr>
          <w:rFonts w:ascii="Arial" w:cs="Arial" w:eastAsia="Arial" w:hAnsi="Arial"/>
          <w:sz w:val="21"/>
          <w:szCs w:val="21"/>
          <w:color w:val="auto"/>
        </w:rPr>
      </w:pPr>
      <w:r>
        <w:rPr>
          <w:rFonts w:ascii="Arial" w:cs="Arial" w:eastAsia="Arial" w:hAnsi="Arial"/>
          <w:sz w:val="21"/>
          <w:szCs w:val="21"/>
          <w:color w:val="auto"/>
        </w:rPr>
        <w:t>Nominations of persons for election to the Board of Directors of the Corporation and the proposal of business to be considered by the stockholders may be made at an annual meeting of stockholders as follows:</w:t>
      </w:r>
    </w:p>
    <w:p>
      <w:pPr>
        <w:spacing w:after="0" w:line="177" w:lineRule="exact"/>
        <w:rPr>
          <w:rFonts w:ascii="Arial" w:cs="Arial" w:eastAsia="Arial" w:hAnsi="Arial"/>
          <w:sz w:val="21"/>
          <w:szCs w:val="21"/>
          <w:color w:val="auto"/>
        </w:rPr>
      </w:pPr>
    </w:p>
    <w:p>
      <w:pPr>
        <w:ind w:left="2660" w:hanging="707"/>
        <w:spacing w:after="0"/>
        <w:tabs>
          <w:tab w:leader="none" w:pos="2660" w:val="left"/>
        </w:tabs>
        <w:numPr>
          <w:ilvl w:val="2"/>
          <w:numId w:val="20"/>
        </w:numPr>
        <w:rPr>
          <w:rFonts w:ascii="Arial" w:cs="Arial" w:eastAsia="Arial" w:hAnsi="Arial"/>
          <w:sz w:val="22"/>
          <w:szCs w:val="22"/>
          <w:color w:val="auto"/>
        </w:rPr>
      </w:pPr>
      <w:r>
        <w:rPr>
          <w:rFonts w:ascii="Arial" w:cs="Arial" w:eastAsia="Arial" w:hAnsi="Arial"/>
          <w:sz w:val="22"/>
          <w:szCs w:val="22"/>
          <w:color w:val="auto"/>
        </w:rPr>
        <w:t>pursuant to the Corporation’s notice of meeting;</w:t>
      </w:r>
    </w:p>
    <w:p>
      <w:pPr>
        <w:spacing w:after="0" w:line="8" w:lineRule="exact"/>
        <w:rPr>
          <w:rFonts w:ascii="Arial" w:cs="Arial" w:eastAsia="Arial" w:hAnsi="Arial"/>
          <w:sz w:val="22"/>
          <w:szCs w:val="22"/>
          <w:color w:val="auto"/>
        </w:rPr>
      </w:pPr>
    </w:p>
    <w:p>
      <w:pPr>
        <w:ind w:left="2680" w:hanging="727"/>
        <w:spacing w:after="0" w:line="230" w:lineRule="auto"/>
        <w:tabs>
          <w:tab w:leader="none" w:pos="2680" w:val="left"/>
        </w:tabs>
        <w:numPr>
          <w:ilvl w:val="2"/>
          <w:numId w:val="20"/>
        </w:numPr>
        <w:rPr>
          <w:rFonts w:ascii="Arial" w:cs="Arial" w:eastAsia="Arial" w:hAnsi="Arial"/>
          <w:sz w:val="22"/>
          <w:szCs w:val="22"/>
          <w:color w:val="auto"/>
        </w:rPr>
      </w:pPr>
      <w:r>
        <w:rPr>
          <w:rFonts w:ascii="Arial" w:cs="Arial" w:eastAsia="Arial" w:hAnsi="Arial"/>
          <w:sz w:val="22"/>
          <w:szCs w:val="22"/>
          <w:color w:val="auto"/>
        </w:rPr>
        <w:t>by or at the direction of the Board of Directors; or</w:t>
      </w:r>
    </w:p>
    <w:p>
      <w:pPr>
        <w:jc w:val="both"/>
        <w:ind w:left="1300" w:firstLine="653"/>
        <w:spacing w:after="0" w:line="234" w:lineRule="auto"/>
        <w:tabs>
          <w:tab w:leader="none" w:pos="2731" w:val="left"/>
        </w:tabs>
        <w:numPr>
          <w:ilvl w:val="2"/>
          <w:numId w:val="20"/>
        </w:numPr>
        <w:rPr>
          <w:rFonts w:ascii="Arial" w:cs="Arial" w:eastAsia="Arial" w:hAnsi="Arial"/>
          <w:sz w:val="22"/>
          <w:szCs w:val="22"/>
          <w:color w:val="auto"/>
        </w:rPr>
      </w:pPr>
      <w:r>
        <w:rPr>
          <w:rFonts w:ascii="Arial" w:cs="Arial" w:eastAsia="Arial" w:hAnsi="Arial"/>
          <w:sz w:val="22"/>
          <w:szCs w:val="22"/>
          <w:color w:val="auto"/>
        </w:rPr>
        <w:t>by any stockholder of the Corporation who was a stockholder of record at the time of giving notice provided for in this by-law, who is entitled to vote at the meeting and who complied with the notice procedures set forth in this by-law.</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2" w:right="239" w:bottom="1440" w:gutter="0" w:footer="0" w:header="0"/>
        </w:sectPr>
      </w:pPr>
    </w:p>
    <w:bookmarkStart w:id="58" w:name="page59"/>
    <w:bookmarkEnd w:id="58"/>
    <w:p>
      <w:pPr>
        <w:jc w:val="both"/>
        <w:ind w:left="-540" w:firstLine="645"/>
        <w:spacing w:after="0" w:line="272" w:lineRule="auto"/>
        <w:tabs>
          <w:tab w:leader="none" w:pos="1172" w:val="left"/>
        </w:tabs>
        <w:numPr>
          <w:ilvl w:val="0"/>
          <w:numId w:val="21"/>
        </w:numPr>
        <w:rPr>
          <w:rFonts w:ascii="Arial" w:cs="Arial" w:eastAsia="Arial" w:hAnsi="Arial"/>
          <w:sz w:val="19"/>
          <w:szCs w:val="19"/>
          <w:color w:val="auto"/>
        </w:rPr>
      </w:pPr>
      <w:r>
        <w:rPr>
          <w:rFonts w:ascii="Arial" w:cs="Arial" w:eastAsia="Arial" w:hAnsi="Arial"/>
          <w:sz w:val="19"/>
          <w:szCs w:val="19"/>
          <w:color w:val="auto"/>
        </w:rPr>
        <w:t>For nominations or other business to be properly brought before an annual meeting by a stockholder pursuant to clause c) of paragraph (a)(i) of this by-law (whether or not such nominations or other business are proposed pursuant to Regulation 14A under the Securities and Exchange Act of 1934, as amended (the “Exchange Act”), the stockholder must have given timely notice thereof in writing to the Secretary of the Corporation, and such other business must be a proper matter for stockholder action. To be timely, a stockholder’s notice shall be delivered to the Secretary at the principal executive offices of the Corporation not later than the close of business on the 90th day nor earlier than the close of business on the 120th day prior to the first anniversary of the preceding year’s annual meeting; provided, however, that in the event that the date of the annual meeting is more than 30 days before or more than 60 days after such anniversary date, notice by the stockholder to be timely must be so delivered not earlier than the close of business on the 120th day prior to such annual meeting and not later than the close of business on the later of the 90th day prior to such annual meeting or the 10th day following the day on which public announcement of the date of such meeting is first made. In no event shall the public announcement of an adjournment of an annual meeting commence a new time period for the giving of a stockholder’s notice as described above. Such stockholder’s notice shall set forth:</w:t>
      </w:r>
    </w:p>
    <w:p>
      <w:pPr>
        <w:spacing w:after="0" w:line="184" w:lineRule="exact"/>
        <w:rPr>
          <w:rFonts w:ascii="Arial" w:cs="Arial" w:eastAsia="Arial" w:hAnsi="Arial"/>
          <w:sz w:val="19"/>
          <w:szCs w:val="19"/>
          <w:color w:val="auto"/>
        </w:rPr>
      </w:pPr>
    </w:p>
    <w:p>
      <w:pPr>
        <w:jc w:val="both"/>
        <w:ind w:left="100" w:firstLine="653"/>
        <w:spacing w:after="0" w:line="279" w:lineRule="auto"/>
        <w:tabs>
          <w:tab w:leader="none" w:pos="1493" w:val="left"/>
        </w:tabs>
        <w:numPr>
          <w:ilvl w:val="1"/>
          <w:numId w:val="21"/>
        </w:numPr>
        <w:rPr>
          <w:rFonts w:ascii="Arial" w:cs="Arial" w:eastAsia="Arial" w:hAnsi="Arial"/>
          <w:sz w:val="19"/>
          <w:szCs w:val="19"/>
          <w:color w:val="auto"/>
        </w:rPr>
      </w:pPr>
      <w:r>
        <w:rPr>
          <w:rFonts w:ascii="Arial" w:cs="Arial" w:eastAsia="Arial" w:hAnsi="Arial"/>
          <w:sz w:val="19"/>
          <w:szCs w:val="19"/>
          <w:color w:val="auto"/>
        </w:rPr>
        <w:t>as to each person whom the stockholder proposes to nominate for election or reelection as a director (whether or not such nominations are proposed pursuant to Regulation 14A under the Exchange Act), all information relating to such person that is required to be disclosed in solicitations of proxies for election of directors in an election contest, or is otherwise required, in each case pursuant to Regulation 14A under the Exchange Act, as amended (the “Exchange Act”) and Rule 14a-11 thereunder (including such person’s written consent to be named in the proxy statement as a nominee and to serve as a director if elected);</w:t>
      </w:r>
    </w:p>
    <w:p>
      <w:pPr>
        <w:spacing w:after="0" w:line="177" w:lineRule="exact"/>
        <w:rPr>
          <w:rFonts w:ascii="Arial" w:cs="Arial" w:eastAsia="Arial" w:hAnsi="Arial"/>
          <w:sz w:val="19"/>
          <w:szCs w:val="19"/>
          <w:color w:val="auto"/>
        </w:rPr>
      </w:pPr>
    </w:p>
    <w:p>
      <w:pPr>
        <w:jc w:val="both"/>
        <w:ind w:left="100" w:firstLine="653"/>
        <w:spacing w:after="0" w:line="287" w:lineRule="auto"/>
        <w:tabs>
          <w:tab w:leader="none" w:pos="1479" w:val="left"/>
        </w:tabs>
        <w:numPr>
          <w:ilvl w:val="1"/>
          <w:numId w:val="21"/>
        </w:numPr>
        <w:rPr>
          <w:rFonts w:ascii="Arial" w:cs="Arial" w:eastAsia="Arial" w:hAnsi="Arial"/>
          <w:sz w:val="19"/>
          <w:szCs w:val="19"/>
          <w:color w:val="auto"/>
        </w:rPr>
      </w:pPr>
      <w:r>
        <w:rPr>
          <w:rFonts w:ascii="Arial" w:cs="Arial" w:eastAsia="Arial" w:hAnsi="Arial"/>
          <w:sz w:val="19"/>
          <w:szCs w:val="19"/>
          <w:color w:val="auto"/>
        </w:rPr>
        <w:t>as to any other business that the stockholder proposes to bring before the meeting, a brief description of the business desired to be brought before the meeting, (i) the reasons for conducting such business at the meeting and (ii) including the text of any proposal or resolutions to be proposed for consideration by stockholders and, if such business includes a proposal to amend these by-laws, the text of the proposed amendment; and</w:t>
      </w:r>
    </w:p>
    <w:p>
      <w:pPr>
        <w:spacing w:after="0" w:line="170" w:lineRule="exact"/>
        <w:rPr>
          <w:rFonts w:ascii="Arial" w:cs="Arial" w:eastAsia="Arial" w:hAnsi="Arial"/>
          <w:sz w:val="19"/>
          <w:szCs w:val="19"/>
          <w:color w:val="auto"/>
        </w:rPr>
      </w:pPr>
    </w:p>
    <w:p>
      <w:pPr>
        <w:jc w:val="both"/>
        <w:ind w:left="100" w:firstLine="653"/>
        <w:spacing w:after="0" w:line="277" w:lineRule="auto"/>
        <w:tabs>
          <w:tab w:leader="none" w:pos="1508" w:val="left"/>
        </w:tabs>
        <w:numPr>
          <w:ilvl w:val="1"/>
          <w:numId w:val="21"/>
        </w:numPr>
        <w:rPr>
          <w:rFonts w:ascii="Arial" w:cs="Arial" w:eastAsia="Arial" w:hAnsi="Arial"/>
          <w:sz w:val="19"/>
          <w:szCs w:val="19"/>
          <w:color w:val="auto"/>
        </w:rPr>
      </w:pPr>
      <w:r>
        <w:rPr>
          <w:rFonts w:ascii="Arial" w:cs="Arial" w:eastAsia="Arial" w:hAnsi="Arial"/>
          <w:sz w:val="19"/>
          <w:szCs w:val="19"/>
          <w:color w:val="auto"/>
        </w:rPr>
        <w:t>as to the stockholder giving notice and the beneficial owner, if any, on whose behalf the nomination or proposal is made (i) the name and address of such stockholder, as they appear on the Corporation’s books, and of such beneficial owner, (ii) the class and number of shares of the Corporation which are owned beneficially and of record by such stockholder and such beneficial owner, (iii) any material interest of such stockholder or beneficial owner in such nomination or proposal, (iv) a description of all agreements or other arrangements or understandings between such stockholder, the nominee and/or beneficial owner or any of their respective affiliates or associates, and any other person or persons (including the names of such person(s)) in</w:t>
      </w:r>
    </w:p>
    <w:p>
      <w:pPr>
        <w:spacing w:after="0" w:line="133"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152400</wp:posOffset>
            </wp:positionV>
            <wp:extent cx="7246620" cy="342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0220"/>
          </w:cols>
          <w:pgMar w:left="1440" w:top="402" w:right="239" w:bottom="1440" w:gutter="0" w:footer="0" w:header="0"/>
        </w:sectPr>
      </w:pPr>
    </w:p>
    <w:bookmarkStart w:id="59" w:name="page60"/>
    <w:bookmarkEnd w:id="59"/>
    <w:p>
      <w:pPr>
        <w:jc w:val="both"/>
        <w:ind w:left="1300"/>
        <w:spacing w:after="0" w:line="274" w:lineRule="auto"/>
        <w:rPr>
          <w:sz w:val="20"/>
          <w:szCs w:val="20"/>
          <w:color w:val="auto"/>
        </w:rPr>
      </w:pPr>
      <w:r>
        <w:rPr>
          <w:rFonts w:ascii="Arial" w:cs="Arial" w:eastAsia="Arial" w:hAnsi="Arial"/>
          <w:sz w:val="19"/>
          <w:szCs w:val="19"/>
          <w:color w:val="auto"/>
        </w:rPr>
        <w:t>connection with such nomination or proposal, including any swap or other derivative or short positions, profits interests, options, hedging transactions or borrowed or loaned shares, the effect of any of which is to mitigate loss to or manage risk of stock price changes (increases or decreases) for, or to increase or decrease the voting power of, such stockholder, nominee or beneficial owner or any of their respective affiliates or associates with respect to the shares of the Corporation and (v) an undertaking by the stockholder to notify the Corporation in writing of any change in the information called for by clauses (ii), (iii) and (iv) as of the record date for such annual meeting, by notice received by the Secretary at the principal executive offices of the Corporation not later than the 10th day following such record date, and thereafter by notice so given and received within two business days of any change in such information and, in any event, as of the close of business on the day preceding the meeting date.</w:t>
      </w:r>
    </w:p>
    <w:p>
      <w:pPr>
        <w:spacing w:after="0" w:line="186" w:lineRule="exact"/>
        <w:rPr>
          <w:sz w:val="20"/>
          <w:szCs w:val="20"/>
          <w:color w:val="auto"/>
        </w:rPr>
      </w:pPr>
    </w:p>
    <w:p>
      <w:pPr>
        <w:jc w:val="both"/>
        <w:ind w:left="660" w:firstLine="645"/>
        <w:spacing w:after="0" w:line="246" w:lineRule="auto"/>
        <w:tabs>
          <w:tab w:leader="none" w:pos="2191" w:val="left"/>
        </w:tabs>
        <w:numPr>
          <w:ilvl w:val="1"/>
          <w:numId w:val="22"/>
        </w:numPr>
        <w:rPr>
          <w:rFonts w:ascii="Arial" w:cs="Arial" w:eastAsia="Arial" w:hAnsi="Arial"/>
          <w:sz w:val="21"/>
          <w:szCs w:val="21"/>
          <w:color w:val="auto"/>
        </w:rPr>
      </w:pPr>
      <w:r>
        <w:rPr>
          <w:rFonts w:ascii="Arial" w:cs="Arial" w:eastAsia="Arial" w:hAnsi="Arial"/>
          <w:sz w:val="21"/>
          <w:szCs w:val="21"/>
          <w:color w:val="auto"/>
        </w:rPr>
        <w:t>Notwithstanding anything in the second sentence of paragraph (a)(ii) of this by-law to the contrary, in the event that the number of directors to be elected to the Board of Directors of the Corporation is increased and there is no public announcement naming all of the nominees for director or specifying the size of the increased Board of Directors made by the Corporation at least 100 days prior to the first anniversary of the preceding year’s annual meeting, a stockholder’s notice required by this by-law shall also be considered timely, but only with respect to nominees for any new positions created by such increase, if it shall be delivered to the Secretary at the principal executive offices of the Corporation not later than the close of business on the 10th day following the day on which such public announcement is first made by the Corporation.</w:t>
      </w:r>
    </w:p>
    <w:p>
      <w:pPr>
        <w:spacing w:after="0" w:line="207" w:lineRule="exact"/>
        <w:rPr>
          <w:rFonts w:ascii="Arial" w:cs="Arial" w:eastAsia="Arial" w:hAnsi="Arial"/>
          <w:sz w:val="21"/>
          <w:szCs w:val="21"/>
          <w:color w:val="auto"/>
        </w:rPr>
      </w:pPr>
    </w:p>
    <w:p>
      <w:pPr>
        <w:jc w:val="both"/>
        <w:ind w:firstLine="656"/>
        <w:spacing w:after="0" w:line="271" w:lineRule="auto"/>
        <w:tabs>
          <w:tab w:leader="none" w:pos="1488" w:val="left"/>
        </w:tabs>
        <w:numPr>
          <w:ilvl w:val="0"/>
          <w:numId w:val="23"/>
        </w:numPr>
        <w:rPr>
          <w:rFonts w:ascii="Arial" w:cs="Arial" w:eastAsia="Arial" w:hAnsi="Arial"/>
          <w:sz w:val="19"/>
          <w:szCs w:val="19"/>
          <w:color w:val="auto"/>
        </w:rPr>
      </w:pPr>
      <w:r>
        <w:rPr>
          <w:rFonts w:ascii="Arial" w:cs="Arial" w:eastAsia="Arial" w:hAnsi="Arial"/>
          <w:sz w:val="19"/>
          <w:szCs w:val="19"/>
          <w:color w:val="auto"/>
        </w:rPr>
        <w:t>Special Meetings of Stockholders. Only such business shall be conducted at a special meeting of stockholders as shall have been brought before the meeting pursuant to the Corporation’s notice of meeting. Nominations of persons for election to the Board of Directors may be made at a special meeting of stockholders at which directors are to be elected pursuant to the Corporation’s notice of meeting (i) by or at the direction of the Board of Directors or (ii) by any stockholder of the Corporation who is a stockholder of record at the time of giving of notice provided for in this by-law, who shall be entitled to vote at the meeting and who complies with the notice procedures set forth in this by-law. In the event the Corporation calls a special meeting of stockholders for the purpose of electing one or more directors to the Board of Directors, any such stockholder may nominate a person or persons (as the case may be), for election to such position(s) as specified in the Corporation’s notice of meeting, if the stockholder’s notice required by paragraph (a)(iii) of this by-law shall be delivered to the Secretary at the principal executive offices of the Corporation not earlier than the close of business on the 120th day prior to such special meeting and not later than the close of business on the later of the 90th day prior to such special meeting or the 10th day following the day on which public announcement is first made of the date of the special meeting and of the nominees proposed by the Board of Directors to be elected at such meeting. In no event shall the public announcement of an adjournment of a special meeting commence a new time period for the giving of a stockholder’s notice as described above.</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2" w:right="239" w:bottom="1440" w:gutter="0" w:footer="0" w:header="0"/>
        </w:sectPr>
      </w:pPr>
    </w:p>
    <w:bookmarkStart w:id="60" w:name="page61"/>
    <w:bookmarkEnd w:id="60"/>
    <w:p>
      <w:pPr>
        <w:ind w:left="1360" w:hanging="704"/>
        <w:spacing w:after="0"/>
        <w:tabs>
          <w:tab w:leader="none" w:pos="1360" w:val="left"/>
        </w:tabs>
        <w:numPr>
          <w:ilvl w:val="0"/>
          <w:numId w:val="24"/>
        </w:numPr>
        <w:rPr>
          <w:rFonts w:ascii="Arial" w:cs="Arial" w:eastAsia="Arial" w:hAnsi="Arial"/>
          <w:sz w:val="22"/>
          <w:szCs w:val="22"/>
          <w:color w:val="auto"/>
        </w:rPr>
      </w:pPr>
      <w:r>
        <w:rPr>
          <w:rFonts w:ascii="Arial" w:cs="Arial" w:eastAsia="Arial" w:hAnsi="Arial"/>
          <w:sz w:val="22"/>
          <w:szCs w:val="22"/>
          <w:color w:val="auto"/>
        </w:rPr>
        <w:t>General.</w:t>
      </w:r>
    </w:p>
    <w:p>
      <w:pPr>
        <w:spacing w:after="0" w:line="233" w:lineRule="exact"/>
        <w:rPr>
          <w:rFonts w:ascii="Arial" w:cs="Arial" w:eastAsia="Arial" w:hAnsi="Arial"/>
          <w:sz w:val="22"/>
          <w:szCs w:val="22"/>
          <w:color w:val="auto"/>
        </w:rPr>
      </w:pPr>
    </w:p>
    <w:p>
      <w:pPr>
        <w:jc w:val="both"/>
        <w:ind w:left="660" w:firstLine="645"/>
        <w:spacing w:after="0" w:line="274" w:lineRule="auto"/>
        <w:tabs>
          <w:tab w:leader="none" w:pos="2128" w:val="left"/>
        </w:tabs>
        <w:numPr>
          <w:ilvl w:val="1"/>
          <w:numId w:val="24"/>
        </w:numPr>
        <w:rPr>
          <w:rFonts w:ascii="Arial" w:cs="Arial" w:eastAsia="Arial" w:hAnsi="Arial"/>
          <w:sz w:val="19"/>
          <w:szCs w:val="19"/>
          <w:color w:val="auto"/>
        </w:rPr>
      </w:pPr>
      <w:r>
        <w:rPr>
          <w:rFonts w:ascii="Arial" w:cs="Arial" w:eastAsia="Arial" w:hAnsi="Arial"/>
          <w:sz w:val="19"/>
          <w:szCs w:val="19"/>
          <w:color w:val="auto"/>
        </w:rPr>
        <w:t>Only such persons who are nominated in accordance with the procedures set forth in this by-law or Section 4 shall be eligible to serve as directors and only such other business (this by-law being the exclusive means for a stockholder to nominate any person for election to the Board at a meeting of stockholders), as shall have been brought before the meeting in accordance with the procedures set forth in this by-law or that are otherwise properly brought under Rule 14a-8 under the Exchange Act shall be conducted at a meeting of stockholders. Except as otherwise provided by law or the by-laws of the Corporation, the Chairman of the meeting shall have the power and duty to determine whether a nomination or any business proposed to be brought before the meeting was made, or proposed, as the case may be, in accordance with the procedures set forth in this by-law or Section 4 and, if any proposed nomination or business is not in compliance with this by-law or Section 4, to declare that such defective proposal or nomination shall be disregarded.</w:t>
      </w:r>
    </w:p>
    <w:p>
      <w:pPr>
        <w:spacing w:after="0" w:line="185" w:lineRule="exact"/>
        <w:rPr>
          <w:rFonts w:ascii="Arial" w:cs="Arial" w:eastAsia="Arial" w:hAnsi="Arial"/>
          <w:sz w:val="19"/>
          <w:szCs w:val="19"/>
          <w:color w:val="auto"/>
        </w:rPr>
      </w:pPr>
    </w:p>
    <w:p>
      <w:pPr>
        <w:jc w:val="both"/>
        <w:ind w:left="660" w:firstLine="645"/>
        <w:spacing w:after="0" w:line="238" w:lineRule="auto"/>
        <w:tabs>
          <w:tab w:leader="none" w:pos="2154" w:val="left"/>
        </w:tabs>
        <w:numPr>
          <w:ilvl w:val="1"/>
          <w:numId w:val="24"/>
        </w:numPr>
        <w:rPr>
          <w:rFonts w:ascii="Arial" w:cs="Arial" w:eastAsia="Arial" w:hAnsi="Arial"/>
          <w:sz w:val="22"/>
          <w:szCs w:val="22"/>
          <w:color w:val="auto"/>
        </w:rPr>
      </w:pPr>
      <w:r>
        <w:rPr>
          <w:rFonts w:ascii="Arial" w:cs="Arial" w:eastAsia="Arial" w:hAnsi="Arial"/>
          <w:sz w:val="22"/>
          <w:szCs w:val="22"/>
          <w:color w:val="auto"/>
        </w:rPr>
        <w:t>For purposes of this by-law and Section 4, “public announcement” shall mean disclosure in a press release reported by the Dow Jones News Service, Associated Press or comparable national news service or in a document publicly filed by the corporation with the Securities and Exchange Commission pursuant to Section 13, 14 or 15(d) of the Exchange Act.</w:t>
      </w:r>
    </w:p>
    <w:p>
      <w:pPr>
        <w:spacing w:after="0" w:line="212" w:lineRule="exact"/>
        <w:rPr>
          <w:rFonts w:ascii="Arial" w:cs="Arial" w:eastAsia="Arial" w:hAnsi="Arial"/>
          <w:sz w:val="22"/>
          <w:szCs w:val="22"/>
          <w:color w:val="auto"/>
        </w:rPr>
      </w:pPr>
    </w:p>
    <w:p>
      <w:pPr>
        <w:jc w:val="both"/>
        <w:ind w:left="660" w:firstLine="645"/>
        <w:spacing w:after="0" w:line="234" w:lineRule="auto"/>
        <w:tabs>
          <w:tab w:leader="none" w:pos="2489" w:val="left"/>
        </w:tabs>
        <w:numPr>
          <w:ilvl w:val="1"/>
          <w:numId w:val="24"/>
        </w:numPr>
        <w:rPr>
          <w:rFonts w:ascii="Arial" w:cs="Arial" w:eastAsia="Arial" w:hAnsi="Arial"/>
          <w:sz w:val="22"/>
          <w:szCs w:val="22"/>
          <w:color w:val="auto"/>
        </w:rPr>
      </w:pPr>
      <w:r>
        <w:rPr>
          <w:rFonts w:ascii="Arial" w:cs="Arial" w:eastAsia="Arial" w:hAnsi="Arial"/>
          <w:sz w:val="22"/>
          <w:szCs w:val="22"/>
          <w:color w:val="auto"/>
        </w:rPr>
        <w:t>Notwithstanding the foregoing provisions of this by-law, a stockholder shall also comply with all applicable requirements of the Exchange Act and the rules and regulations thereunder with respect to the matters set forth in this by-law and Section 4; provided, however, that any references in these By-laws to the Exchange Act or the rules thereunder are not intended to and shall not limit the requirements applicable to nominations of persons for election to the Board made or intended to be made in accordance with clause c) of paragraph (a)(i) of this by-law or Section 4(f). Nothing in this by-law or Section 4 shall be deemed to affect any rights of the holders of any series of Preferred Stock to elect directors under specified circumstances.</w:t>
      </w:r>
    </w:p>
    <w:p>
      <w:pPr>
        <w:spacing w:after="0" w:line="218" w:lineRule="exact"/>
        <w:rPr>
          <w:sz w:val="20"/>
          <w:szCs w:val="20"/>
          <w:color w:val="auto"/>
        </w:rPr>
      </w:pPr>
    </w:p>
    <w:p>
      <w:pPr>
        <w:ind w:left="340"/>
        <w:spacing w:after="0"/>
        <w:rPr>
          <w:sz w:val="20"/>
          <w:szCs w:val="20"/>
          <w:color w:val="auto"/>
        </w:rPr>
      </w:pPr>
      <w:r>
        <w:rPr>
          <w:rFonts w:ascii="Arial" w:cs="Arial" w:eastAsia="Arial" w:hAnsi="Arial"/>
          <w:sz w:val="22"/>
          <w:szCs w:val="22"/>
          <w:color w:val="auto"/>
        </w:rPr>
        <w:t xml:space="preserve">SECTION 4. </w:t>
      </w:r>
      <w:r>
        <w:rPr>
          <w:rFonts w:ascii="Arial" w:cs="Arial" w:eastAsia="Arial" w:hAnsi="Arial"/>
          <w:sz w:val="22"/>
          <w:szCs w:val="22"/>
          <w:b w:val="1"/>
          <w:bCs w:val="1"/>
          <w:i w:val="1"/>
          <w:iCs w:val="1"/>
          <w:color w:val="auto"/>
        </w:rPr>
        <w:t>Proxy Access for Director Nominations.</w:t>
      </w:r>
    </w:p>
    <w:p>
      <w:pPr>
        <w:spacing w:after="0" w:line="233"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(a) The Corporation shall include in its proxy statement and on its form of proxy for an annual meeting of stockholders the name of, and the Required Information (as defined below) relating to, any nominee for election or reelection to the Board who satisfies the eligibility requirements in this Section 4 (a) (a “Stockholder Nominee”) and who is identified in a notice that complies with Section 4(f) and that is timely delivered pursuant to Section 4(g) (the “Stockholder Notice”) by one or more stockholders acting on behalf of up to twenty stockholders who:</w:t>
      </w:r>
    </w:p>
    <w:p>
      <w:pPr>
        <w:spacing w:after="0" w:line="215" w:lineRule="exact"/>
        <w:rPr>
          <w:sz w:val="20"/>
          <w:szCs w:val="20"/>
          <w:color w:val="auto"/>
        </w:rPr>
      </w:pPr>
    </w:p>
    <w:p>
      <w:pPr>
        <w:ind w:left="880" w:firstLine="9"/>
        <w:spacing w:after="0" w:line="251" w:lineRule="auto"/>
        <w:tabs>
          <w:tab w:leader="none" w:pos="1140" w:val="left"/>
        </w:tabs>
        <w:numPr>
          <w:ilvl w:val="0"/>
          <w:numId w:val="25"/>
        </w:numPr>
        <w:rPr>
          <w:rFonts w:ascii="Arial" w:cs="Arial" w:eastAsia="Arial" w:hAnsi="Arial"/>
          <w:sz w:val="22"/>
          <w:szCs w:val="22"/>
          <w:color w:val="auto"/>
        </w:rPr>
      </w:pPr>
      <w:r>
        <w:rPr>
          <w:rFonts w:ascii="Arial" w:cs="Arial" w:eastAsia="Arial" w:hAnsi="Arial"/>
          <w:sz w:val="22"/>
          <w:szCs w:val="22"/>
          <w:color w:val="auto"/>
        </w:rPr>
        <w:t>elect at the time of delivering the Stockholder Notice to have such Stockholder Nominee included in the Corporation’s proxy materials,</w:t>
      </w:r>
    </w:p>
    <w:p>
      <w:pPr>
        <w:spacing w:after="0" w:line="200" w:lineRule="exact"/>
        <w:rPr>
          <w:rFonts w:ascii="Arial" w:cs="Arial" w:eastAsia="Arial" w:hAnsi="Arial"/>
          <w:sz w:val="22"/>
          <w:szCs w:val="22"/>
          <w:color w:val="auto"/>
        </w:rPr>
      </w:pPr>
    </w:p>
    <w:p>
      <w:pPr>
        <w:ind w:left="880" w:right="20" w:firstLine="9"/>
        <w:spacing w:after="0" w:line="251" w:lineRule="auto"/>
        <w:tabs>
          <w:tab w:leader="none" w:pos="1200" w:val="left"/>
        </w:tabs>
        <w:numPr>
          <w:ilvl w:val="0"/>
          <w:numId w:val="25"/>
        </w:numPr>
        <w:rPr>
          <w:rFonts w:ascii="Arial" w:cs="Arial" w:eastAsia="Arial" w:hAnsi="Arial"/>
          <w:sz w:val="22"/>
          <w:szCs w:val="22"/>
          <w:color w:val="auto"/>
        </w:rPr>
      </w:pPr>
      <w:r>
        <w:rPr>
          <w:rFonts w:ascii="Arial" w:cs="Arial" w:eastAsia="Arial" w:hAnsi="Arial"/>
          <w:sz w:val="22"/>
          <w:szCs w:val="22"/>
          <w:color w:val="auto"/>
        </w:rPr>
        <w:t>as of the date of the Stockholder Notice, Own and have Owned (as defined above in Section 3 of Article II) a number of shares that represents at least 3% of the</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2" w:right="239" w:bottom="1440" w:gutter="0" w:footer="0" w:header="0"/>
        </w:sectPr>
      </w:pPr>
    </w:p>
    <w:bookmarkStart w:id="61" w:name="page62"/>
    <w:bookmarkEnd w:id="61"/>
    <w:p>
      <w:pPr>
        <w:jc w:val="both"/>
        <w:ind w:left="880"/>
        <w:spacing w:after="0"/>
        <w:rPr>
          <w:sz w:val="20"/>
          <w:szCs w:val="20"/>
          <w:color w:val="auto"/>
        </w:rPr>
      </w:pPr>
      <w:r>
        <w:rPr>
          <w:rFonts w:ascii="Arial" w:cs="Arial" w:eastAsia="Arial" w:hAnsi="Arial"/>
          <w:sz w:val="22"/>
          <w:szCs w:val="22"/>
          <w:color w:val="auto"/>
        </w:rPr>
        <w:t>outstanding shares of the Corporation entitled to vote in the election of directors (the “Required Shares”) and have Owned (as defined above in Section 3 of Article II) continuously the Required Shares (as adjusted for any stock splits, stock dividends, or similar events) for at least three years, and</w:t>
      </w:r>
    </w:p>
    <w:p>
      <w:pPr>
        <w:spacing w:after="0" w:line="213" w:lineRule="exact"/>
        <w:rPr>
          <w:sz w:val="20"/>
          <w:szCs w:val="20"/>
          <w:color w:val="auto"/>
        </w:rPr>
      </w:pPr>
    </w:p>
    <w:p>
      <w:pPr>
        <w:ind w:left="880" w:firstLine="9"/>
        <w:spacing w:after="0" w:line="251" w:lineRule="auto"/>
        <w:tabs>
          <w:tab w:leader="none" w:pos="1295" w:val="left"/>
        </w:tabs>
        <w:numPr>
          <w:ilvl w:val="1"/>
          <w:numId w:val="26"/>
        </w:numPr>
        <w:rPr>
          <w:rFonts w:ascii="Arial" w:cs="Arial" w:eastAsia="Arial" w:hAnsi="Arial"/>
          <w:sz w:val="22"/>
          <w:szCs w:val="22"/>
          <w:color w:val="auto"/>
        </w:rPr>
      </w:pPr>
      <w:r>
        <w:rPr>
          <w:rFonts w:ascii="Arial" w:cs="Arial" w:eastAsia="Arial" w:hAnsi="Arial"/>
          <w:sz w:val="22"/>
          <w:szCs w:val="22"/>
          <w:color w:val="auto"/>
        </w:rPr>
        <w:t>satisfy the additional requirements in these By-laws (such stockholder or stockholders collectively, an “Eligible Stockholder”).</w:t>
      </w:r>
    </w:p>
    <w:p>
      <w:pPr>
        <w:spacing w:after="0" w:line="200" w:lineRule="exact"/>
        <w:rPr>
          <w:rFonts w:ascii="Arial" w:cs="Arial" w:eastAsia="Arial" w:hAnsi="Arial"/>
          <w:sz w:val="22"/>
          <w:szCs w:val="22"/>
          <w:color w:val="auto"/>
        </w:rPr>
      </w:pPr>
    </w:p>
    <w:p>
      <w:pPr>
        <w:ind w:left="760" w:hanging="312"/>
        <w:spacing w:after="0"/>
        <w:tabs>
          <w:tab w:leader="none" w:pos="760" w:val="left"/>
        </w:tabs>
        <w:numPr>
          <w:ilvl w:val="0"/>
          <w:numId w:val="27"/>
        </w:numPr>
        <w:rPr>
          <w:rFonts w:ascii="Arial" w:cs="Arial" w:eastAsia="Arial" w:hAnsi="Arial"/>
          <w:sz w:val="22"/>
          <w:szCs w:val="22"/>
          <w:color w:val="auto"/>
        </w:rPr>
      </w:pPr>
      <w:r>
        <w:rPr>
          <w:rFonts w:ascii="Arial" w:cs="Arial" w:eastAsia="Arial" w:hAnsi="Arial"/>
          <w:sz w:val="22"/>
          <w:szCs w:val="22"/>
          <w:color w:val="auto"/>
        </w:rPr>
        <w:t>For purposes of satisfying the Ownership requirement under Section 4(a):</w:t>
      </w:r>
    </w:p>
    <w:p>
      <w:pPr>
        <w:spacing w:after="0" w:line="233" w:lineRule="exact"/>
        <w:rPr>
          <w:rFonts w:ascii="Arial" w:cs="Arial" w:eastAsia="Arial" w:hAnsi="Arial"/>
          <w:sz w:val="22"/>
          <w:szCs w:val="22"/>
          <w:color w:val="auto"/>
        </w:rPr>
      </w:pPr>
    </w:p>
    <w:p>
      <w:pPr>
        <w:jc w:val="both"/>
        <w:ind w:left="880" w:firstLine="9"/>
        <w:spacing w:after="0"/>
        <w:tabs>
          <w:tab w:leader="none" w:pos="1152" w:val="left"/>
        </w:tabs>
        <w:numPr>
          <w:ilvl w:val="1"/>
          <w:numId w:val="27"/>
        </w:numPr>
        <w:rPr>
          <w:rFonts w:ascii="Arial" w:cs="Arial" w:eastAsia="Arial" w:hAnsi="Arial"/>
          <w:sz w:val="22"/>
          <w:szCs w:val="22"/>
          <w:color w:val="auto"/>
        </w:rPr>
      </w:pPr>
      <w:r>
        <w:rPr>
          <w:rFonts w:ascii="Arial" w:cs="Arial" w:eastAsia="Arial" w:hAnsi="Arial"/>
          <w:sz w:val="22"/>
          <w:szCs w:val="22"/>
          <w:color w:val="auto"/>
        </w:rPr>
        <w:t>the outstanding shares of the Corporation Owned by one or more stockholders may be aggregated, provided that the number of stockholders and other beneficial owners whose ownership of shares is aggregated for such purpose shall not exceed twenty, and</w:t>
      </w:r>
    </w:p>
    <w:p>
      <w:pPr>
        <w:spacing w:after="0" w:line="213" w:lineRule="exact"/>
        <w:rPr>
          <w:sz w:val="20"/>
          <w:szCs w:val="20"/>
          <w:color w:val="auto"/>
        </w:rPr>
      </w:pPr>
    </w:p>
    <w:p>
      <w:pPr>
        <w:jc w:val="both"/>
        <w:ind w:left="880" w:firstLine="9"/>
        <w:spacing w:after="0" w:line="297" w:lineRule="auto"/>
        <w:tabs>
          <w:tab w:leader="none" w:pos="1204" w:val="left"/>
        </w:tabs>
        <w:numPr>
          <w:ilvl w:val="1"/>
          <w:numId w:val="28"/>
        </w:numPr>
        <w:rPr>
          <w:rFonts w:ascii="Arial" w:cs="Arial" w:eastAsia="Arial" w:hAnsi="Arial"/>
          <w:sz w:val="19"/>
          <w:szCs w:val="19"/>
          <w:color w:val="auto"/>
        </w:rPr>
      </w:pPr>
      <w:r>
        <w:rPr>
          <w:rFonts w:ascii="Arial" w:cs="Arial" w:eastAsia="Arial" w:hAnsi="Arial"/>
          <w:sz w:val="19"/>
          <w:szCs w:val="19"/>
          <w:color w:val="auto"/>
        </w:rPr>
        <w:t>two or more funds that are (A) under common management and investment control, (B) under common management and funded primarily by the same employer, or (C) a “group of investment companies,” as such term is defined in Section 12(d)(1)(G)(ii) of the Investment Company Act of 1940, as amended, shall, in each case, be treated as one stockholder.</w:t>
      </w:r>
    </w:p>
    <w:p>
      <w:pPr>
        <w:spacing w:after="0" w:line="161" w:lineRule="exact"/>
        <w:rPr>
          <w:rFonts w:ascii="Arial" w:cs="Arial" w:eastAsia="Arial" w:hAnsi="Arial"/>
          <w:sz w:val="19"/>
          <w:szCs w:val="19"/>
          <w:color w:val="auto"/>
        </w:rPr>
      </w:pPr>
    </w:p>
    <w:p>
      <w:pPr>
        <w:ind w:firstLine="448"/>
        <w:spacing w:after="0" w:line="251" w:lineRule="auto"/>
        <w:tabs>
          <w:tab w:leader="none" w:pos="745" w:val="left"/>
        </w:tabs>
        <w:numPr>
          <w:ilvl w:val="0"/>
          <w:numId w:val="29"/>
        </w:numPr>
        <w:rPr>
          <w:rFonts w:ascii="Arial" w:cs="Arial" w:eastAsia="Arial" w:hAnsi="Arial"/>
          <w:sz w:val="22"/>
          <w:szCs w:val="22"/>
          <w:color w:val="auto"/>
        </w:rPr>
      </w:pPr>
      <w:r>
        <w:rPr>
          <w:rFonts w:ascii="Arial" w:cs="Arial" w:eastAsia="Arial" w:hAnsi="Arial"/>
          <w:sz w:val="22"/>
          <w:szCs w:val="22"/>
          <w:color w:val="auto"/>
        </w:rPr>
        <w:t>No stockholder may be a member of more than one group of stockholders constituting an Eligible Stockholder under this Section 4.</w:t>
      </w:r>
    </w:p>
    <w:p>
      <w:pPr>
        <w:spacing w:after="0" w:line="200" w:lineRule="exact"/>
        <w:rPr>
          <w:rFonts w:ascii="Arial" w:cs="Arial" w:eastAsia="Arial" w:hAnsi="Arial"/>
          <w:sz w:val="22"/>
          <w:szCs w:val="22"/>
          <w:color w:val="auto"/>
        </w:rPr>
      </w:pPr>
    </w:p>
    <w:p>
      <w:pPr>
        <w:ind w:left="760" w:hanging="312"/>
        <w:spacing w:after="0"/>
        <w:tabs>
          <w:tab w:leader="none" w:pos="760" w:val="left"/>
        </w:tabs>
        <w:numPr>
          <w:ilvl w:val="0"/>
          <w:numId w:val="29"/>
        </w:numPr>
        <w:rPr>
          <w:rFonts w:ascii="Arial" w:cs="Arial" w:eastAsia="Arial" w:hAnsi="Arial"/>
          <w:sz w:val="21"/>
          <w:szCs w:val="21"/>
          <w:color w:val="auto"/>
        </w:rPr>
      </w:pPr>
      <w:r>
        <w:rPr>
          <w:rFonts w:ascii="Arial" w:cs="Arial" w:eastAsia="Arial" w:hAnsi="Arial"/>
          <w:sz w:val="21"/>
          <w:szCs w:val="21"/>
          <w:color w:val="auto"/>
        </w:rPr>
        <w:t>For purposes of this Section 4, the “Required Information” that the Corporation will include in its proxy statement is:</w:t>
      </w:r>
    </w:p>
    <w:p>
      <w:pPr>
        <w:spacing w:after="0" w:line="244" w:lineRule="exact"/>
        <w:rPr>
          <w:rFonts w:ascii="Arial" w:cs="Arial" w:eastAsia="Arial" w:hAnsi="Arial"/>
          <w:sz w:val="21"/>
          <w:szCs w:val="21"/>
          <w:color w:val="auto"/>
        </w:rPr>
      </w:pPr>
    </w:p>
    <w:p>
      <w:pPr>
        <w:jc w:val="both"/>
        <w:ind w:left="880" w:firstLine="9"/>
        <w:spacing w:after="0"/>
        <w:tabs>
          <w:tab w:leader="none" w:pos="1151" w:val="left"/>
        </w:tabs>
        <w:numPr>
          <w:ilvl w:val="1"/>
          <w:numId w:val="29"/>
        </w:numPr>
        <w:rPr>
          <w:rFonts w:ascii="Arial" w:cs="Arial" w:eastAsia="Arial" w:hAnsi="Arial"/>
          <w:sz w:val="22"/>
          <w:szCs w:val="22"/>
          <w:color w:val="auto"/>
        </w:rPr>
      </w:pPr>
      <w:r>
        <w:rPr>
          <w:rFonts w:ascii="Arial" w:cs="Arial" w:eastAsia="Arial" w:hAnsi="Arial"/>
          <w:sz w:val="22"/>
          <w:szCs w:val="22"/>
          <w:color w:val="auto"/>
        </w:rPr>
        <w:t>the information concerning the Stockholder Nominee and the Eligible Stockholder that is required to be disclosed in the Corporation’s proxy statement by the applicable requirements of the Exchange Act and the rules and regulations thereunder; and</w:t>
      </w:r>
    </w:p>
    <w:p>
      <w:pPr>
        <w:spacing w:after="0" w:line="213" w:lineRule="exact"/>
        <w:rPr>
          <w:sz w:val="20"/>
          <w:szCs w:val="20"/>
          <w:color w:val="auto"/>
        </w:rPr>
      </w:pPr>
    </w:p>
    <w:p>
      <w:pPr>
        <w:jc w:val="both"/>
        <w:ind w:left="880" w:firstLine="9"/>
        <w:spacing w:after="0"/>
        <w:tabs>
          <w:tab w:leader="none" w:pos="1224" w:val="left"/>
        </w:tabs>
        <w:numPr>
          <w:ilvl w:val="0"/>
          <w:numId w:val="30"/>
        </w:numPr>
        <w:rPr>
          <w:rFonts w:ascii="Arial" w:cs="Arial" w:eastAsia="Arial" w:hAnsi="Arial"/>
          <w:sz w:val="22"/>
          <w:szCs w:val="22"/>
          <w:color w:val="auto"/>
        </w:rPr>
      </w:pPr>
      <w:r>
        <w:rPr>
          <w:rFonts w:ascii="Arial" w:cs="Arial" w:eastAsia="Arial" w:hAnsi="Arial"/>
          <w:sz w:val="22"/>
          <w:szCs w:val="22"/>
          <w:color w:val="auto"/>
        </w:rPr>
        <w:t>if the Eligible Stockholder so elects, a written statement of the Eligible Stockholder, not to exceed 500 words, in support of its Stockholder Nominee, which must be provided at the same time as the Stockholder Notice for inclusion in the Corporation’s proxy statement for the annual meeting (the “Statement”).</w:t>
      </w:r>
    </w:p>
    <w:p>
      <w:pPr>
        <w:spacing w:after="0" w:line="213" w:lineRule="exact"/>
        <w:rPr>
          <w:sz w:val="20"/>
          <w:szCs w:val="20"/>
          <w:color w:val="auto"/>
        </w:rPr>
      </w:pPr>
    </w:p>
    <w:p>
      <w:pPr>
        <w:jc w:val="both"/>
        <w:ind w:left="440"/>
        <w:spacing w:after="0" w:line="238" w:lineRule="auto"/>
        <w:rPr>
          <w:sz w:val="20"/>
          <w:szCs w:val="20"/>
          <w:color w:val="auto"/>
        </w:rPr>
      </w:pPr>
      <w:r>
        <w:rPr>
          <w:rFonts w:ascii="Arial" w:cs="Arial" w:eastAsia="Arial" w:hAnsi="Arial"/>
          <w:sz w:val="22"/>
          <w:szCs w:val="22"/>
          <w:color w:val="auto"/>
        </w:rPr>
        <w:t>Notwithstanding anything to the contrary contained in this Section 4, the Corporation may omit from its proxy materials any information or Statement that it, in good faith, believes would violate any applicable law, rule, regulation or listing standard. Nothing in this Section 4 shall limit the Corporation’s ability to solicit against and include in its proxy materials its own statements relating to any Eligible Stockholder or Stockholder Nominee.</w:t>
      </w:r>
    </w:p>
    <w:p>
      <w:pPr>
        <w:spacing w:after="0" w:line="212" w:lineRule="exact"/>
        <w:rPr>
          <w:sz w:val="20"/>
          <w:szCs w:val="20"/>
          <w:color w:val="auto"/>
        </w:rPr>
      </w:pPr>
    </w:p>
    <w:p>
      <w:pPr>
        <w:ind w:right="20" w:firstLine="448"/>
        <w:spacing w:after="0" w:line="251" w:lineRule="auto"/>
        <w:tabs>
          <w:tab w:leader="none" w:pos="750" w:val="left"/>
        </w:tabs>
        <w:numPr>
          <w:ilvl w:val="0"/>
          <w:numId w:val="31"/>
        </w:numPr>
        <w:rPr>
          <w:rFonts w:ascii="Arial" w:cs="Arial" w:eastAsia="Arial" w:hAnsi="Arial"/>
          <w:sz w:val="22"/>
          <w:szCs w:val="22"/>
          <w:color w:val="auto"/>
        </w:rPr>
      </w:pPr>
      <w:r>
        <w:rPr>
          <w:rFonts w:ascii="Arial" w:cs="Arial" w:eastAsia="Arial" w:hAnsi="Arial"/>
          <w:sz w:val="22"/>
          <w:szCs w:val="22"/>
          <w:color w:val="auto"/>
        </w:rPr>
        <w:t>The Stockholder Notice shall set forth the information required under Section 3(a)(ii)(a) and (c) of these By-laws and in addition shall set forth:</w:t>
      </w:r>
    </w:p>
    <w:p>
      <w:pPr>
        <w:spacing w:after="0" w:line="200" w:lineRule="exact"/>
        <w:rPr>
          <w:rFonts w:ascii="Arial" w:cs="Arial" w:eastAsia="Arial" w:hAnsi="Arial"/>
          <w:sz w:val="22"/>
          <w:szCs w:val="22"/>
          <w:color w:val="auto"/>
        </w:rPr>
      </w:pPr>
    </w:p>
    <w:p>
      <w:pPr>
        <w:ind w:left="880" w:firstLine="9"/>
        <w:spacing w:after="0" w:line="251" w:lineRule="auto"/>
        <w:tabs>
          <w:tab w:leader="none" w:pos="1149" w:val="left"/>
        </w:tabs>
        <w:numPr>
          <w:ilvl w:val="1"/>
          <w:numId w:val="31"/>
        </w:numPr>
        <w:rPr>
          <w:rFonts w:ascii="Arial" w:cs="Arial" w:eastAsia="Arial" w:hAnsi="Arial"/>
          <w:sz w:val="22"/>
          <w:szCs w:val="22"/>
          <w:color w:val="auto"/>
        </w:rPr>
      </w:pPr>
      <w:r>
        <w:rPr>
          <w:rFonts w:ascii="Arial" w:cs="Arial" w:eastAsia="Arial" w:hAnsi="Arial"/>
          <w:sz w:val="22"/>
          <w:szCs w:val="22"/>
          <w:color w:val="auto"/>
        </w:rPr>
        <w:t>the written consent of each Stockholder Nominee to being named in the Corporation’s proxy statement as a nominee and to serving as a director if elected;</w:t>
      </w:r>
    </w:p>
    <w:p>
      <w:pPr>
        <w:spacing w:after="0" w:line="200" w:lineRule="exact"/>
        <w:rPr>
          <w:rFonts w:ascii="Arial" w:cs="Arial" w:eastAsia="Arial" w:hAnsi="Arial"/>
          <w:sz w:val="22"/>
          <w:szCs w:val="22"/>
          <w:color w:val="auto"/>
        </w:rPr>
      </w:pPr>
    </w:p>
    <w:p>
      <w:pPr>
        <w:ind w:left="880" w:firstLine="9"/>
        <w:spacing w:after="0" w:line="251" w:lineRule="auto"/>
        <w:tabs>
          <w:tab w:leader="none" w:pos="1226" w:val="left"/>
        </w:tabs>
        <w:numPr>
          <w:ilvl w:val="1"/>
          <w:numId w:val="31"/>
        </w:numPr>
        <w:rPr>
          <w:rFonts w:ascii="Arial" w:cs="Arial" w:eastAsia="Arial" w:hAnsi="Arial"/>
          <w:sz w:val="22"/>
          <w:szCs w:val="22"/>
          <w:color w:val="auto"/>
        </w:rPr>
      </w:pPr>
      <w:r>
        <w:rPr>
          <w:rFonts w:ascii="Arial" w:cs="Arial" w:eastAsia="Arial" w:hAnsi="Arial"/>
          <w:sz w:val="22"/>
          <w:szCs w:val="22"/>
          <w:color w:val="auto"/>
        </w:rPr>
        <w:t>a copy of the Schedule 14N that has been or concurrently is filed with the Securities and Exchange Commission under Exchange Act Rule 14a-18; and</w:t>
      </w:r>
    </w:p>
    <w:p>
      <w:pPr>
        <w:spacing w:after="0" w:line="200" w:lineRule="exact"/>
        <w:rPr>
          <w:rFonts w:ascii="Arial" w:cs="Arial" w:eastAsia="Arial" w:hAnsi="Arial"/>
          <w:sz w:val="22"/>
          <w:szCs w:val="22"/>
          <w:color w:val="auto"/>
        </w:rPr>
      </w:pPr>
    </w:p>
    <w:p>
      <w:pPr>
        <w:ind w:left="880" w:firstLine="9"/>
        <w:spacing w:after="0" w:line="251" w:lineRule="auto"/>
        <w:tabs>
          <w:tab w:leader="none" w:pos="1289" w:val="left"/>
        </w:tabs>
        <w:numPr>
          <w:ilvl w:val="1"/>
          <w:numId w:val="31"/>
        </w:numPr>
        <w:rPr>
          <w:rFonts w:ascii="Arial" w:cs="Arial" w:eastAsia="Arial" w:hAnsi="Arial"/>
          <w:sz w:val="22"/>
          <w:szCs w:val="22"/>
          <w:color w:val="auto"/>
        </w:rPr>
      </w:pPr>
      <w:r>
        <w:rPr>
          <w:rFonts w:ascii="Arial" w:cs="Arial" w:eastAsia="Arial" w:hAnsi="Arial"/>
          <w:sz w:val="22"/>
          <w:szCs w:val="22"/>
          <w:color w:val="auto"/>
        </w:rPr>
        <w:t>the written agreement of the Eligible Stockholder (or in the case of a group, each stockholder whose shares are aggregated for purposes of constituting an Eligible</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2" w:right="239" w:bottom="1440" w:gutter="0" w:footer="0" w:header="0"/>
        </w:sectPr>
      </w:pPr>
    </w:p>
    <w:bookmarkStart w:id="62" w:name="page63"/>
    <w:bookmarkEnd w:id="62"/>
    <w:p>
      <w:pPr>
        <w:spacing w:after="0" w:line="251" w:lineRule="auto"/>
        <w:rPr>
          <w:sz w:val="20"/>
          <w:szCs w:val="20"/>
          <w:color w:val="auto"/>
        </w:rPr>
      </w:pPr>
      <w:r>
        <w:rPr>
          <w:rFonts w:ascii="Arial" w:cs="Arial" w:eastAsia="Arial" w:hAnsi="Arial"/>
          <w:sz w:val="22"/>
          <w:szCs w:val="22"/>
          <w:color w:val="auto"/>
        </w:rPr>
        <w:t>Stockholder) addressed to the Corporation, setting forth the following additional agreements, representations, and warranties:</w:t>
      </w:r>
    </w:p>
    <w:p>
      <w:pPr>
        <w:spacing w:after="0" w:line="200" w:lineRule="exact"/>
        <w:rPr>
          <w:sz w:val="20"/>
          <w:szCs w:val="20"/>
          <w:color w:val="auto"/>
        </w:rPr>
      </w:pPr>
    </w:p>
    <w:p>
      <w:pPr>
        <w:jc w:val="both"/>
        <w:ind w:left="560"/>
        <w:spacing w:after="0" w:line="236" w:lineRule="auto"/>
        <w:tabs>
          <w:tab w:leader="none" w:pos="942" w:val="left"/>
        </w:tabs>
        <w:numPr>
          <w:ilvl w:val="0"/>
          <w:numId w:val="32"/>
        </w:numPr>
        <w:rPr>
          <w:rFonts w:ascii="Arial" w:cs="Arial" w:eastAsia="Arial" w:hAnsi="Arial"/>
          <w:sz w:val="22"/>
          <w:szCs w:val="22"/>
          <w:color w:val="auto"/>
        </w:rPr>
      </w:pPr>
      <w:r>
        <w:rPr>
          <w:rFonts w:ascii="Arial" w:cs="Arial" w:eastAsia="Arial" w:hAnsi="Arial"/>
          <w:sz w:val="22"/>
          <w:szCs w:val="22"/>
          <w:color w:val="auto"/>
        </w:rPr>
        <w:t>setting forth and certifying to the number of shares of the Corporation it Owns and has Owned as defined above in Section 3 of Article II) continuously for at least three years as of the date of the Stockholder Notice and agreeing to continue to Own such shares through the date of the annual meeting, which statement shall also be included in the written statements set forth in Item 4 of the Schedule 14N filed by the Eligible Stockholder with the Securities and Exchange Commission;</w:t>
      </w:r>
    </w:p>
    <w:p>
      <w:pPr>
        <w:spacing w:after="0" w:line="214" w:lineRule="exact"/>
        <w:rPr>
          <w:rFonts w:ascii="Arial" w:cs="Arial" w:eastAsia="Arial" w:hAnsi="Arial"/>
          <w:sz w:val="22"/>
          <w:szCs w:val="22"/>
          <w:color w:val="auto"/>
        </w:rPr>
      </w:pPr>
    </w:p>
    <w:p>
      <w:pPr>
        <w:jc w:val="both"/>
        <w:ind w:left="560"/>
        <w:spacing w:after="0" w:line="238" w:lineRule="auto"/>
        <w:tabs>
          <w:tab w:leader="none" w:pos="915" w:val="left"/>
        </w:tabs>
        <w:numPr>
          <w:ilvl w:val="0"/>
          <w:numId w:val="32"/>
        </w:numPr>
        <w:rPr>
          <w:rFonts w:ascii="Arial" w:cs="Arial" w:eastAsia="Arial" w:hAnsi="Arial"/>
          <w:sz w:val="22"/>
          <w:szCs w:val="22"/>
          <w:color w:val="auto"/>
        </w:rPr>
      </w:pPr>
      <w:r>
        <w:rPr>
          <w:rFonts w:ascii="Arial" w:cs="Arial" w:eastAsia="Arial" w:hAnsi="Arial"/>
          <w:sz w:val="22"/>
          <w:szCs w:val="22"/>
          <w:color w:val="auto"/>
        </w:rPr>
        <w:t>the Eligible Stockholder’s agreement to provide (1) the information required under Section 3(a)(ii)(c) and (2) written statements from the record holder and intermediaries as required under Section 4(g) verifying the Eligible Stockholder’s continuous Ownership of the Required Shares through and as of the business day immediately preceding the date of the annual meeting;</w:t>
      </w:r>
    </w:p>
    <w:p>
      <w:pPr>
        <w:spacing w:after="0" w:line="212" w:lineRule="exact"/>
        <w:rPr>
          <w:rFonts w:ascii="Arial" w:cs="Arial" w:eastAsia="Arial" w:hAnsi="Arial"/>
          <w:sz w:val="22"/>
          <w:szCs w:val="22"/>
          <w:color w:val="auto"/>
        </w:rPr>
      </w:pPr>
    </w:p>
    <w:p>
      <w:pPr>
        <w:ind w:left="560"/>
        <w:spacing w:after="0" w:line="274" w:lineRule="auto"/>
        <w:tabs>
          <w:tab w:leader="none" w:pos="909" w:val="left"/>
        </w:tabs>
        <w:numPr>
          <w:ilvl w:val="0"/>
          <w:numId w:val="32"/>
        </w:numPr>
        <w:rPr>
          <w:rFonts w:ascii="Arial" w:cs="Arial" w:eastAsia="Arial" w:hAnsi="Arial"/>
          <w:sz w:val="21"/>
          <w:szCs w:val="21"/>
          <w:color w:val="auto"/>
        </w:rPr>
      </w:pPr>
      <w:r>
        <w:rPr>
          <w:rFonts w:ascii="Arial" w:cs="Arial" w:eastAsia="Arial" w:hAnsi="Arial"/>
          <w:sz w:val="21"/>
          <w:szCs w:val="21"/>
          <w:color w:val="auto"/>
        </w:rPr>
        <w:t>the Eligible Stockholder’s representation and agreement that the Eligible Stockholder (including each member of any group of stockholders that together is an Eligible Stockholder under this Section 4);</w:t>
      </w:r>
    </w:p>
    <w:p>
      <w:pPr>
        <w:spacing w:after="0" w:line="177" w:lineRule="exact"/>
        <w:rPr>
          <w:rFonts w:ascii="Arial" w:cs="Arial" w:eastAsia="Arial" w:hAnsi="Arial"/>
          <w:sz w:val="21"/>
          <w:szCs w:val="21"/>
          <w:color w:val="auto"/>
        </w:rPr>
      </w:pPr>
    </w:p>
    <w:p>
      <w:pPr>
        <w:ind w:left="1000" w:firstLine="1"/>
        <w:spacing w:after="0" w:line="251" w:lineRule="auto"/>
        <w:tabs>
          <w:tab w:leader="none" w:pos="1340" w:val="left"/>
        </w:tabs>
        <w:numPr>
          <w:ilvl w:val="1"/>
          <w:numId w:val="32"/>
        </w:numPr>
        <w:rPr>
          <w:rFonts w:ascii="Arial" w:cs="Arial" w:eastAsia="Arial" w:hAnsi="Arial"/>
          <w:sz w:val="22"/>
          <w:szCs w:val="22"/>
          <w:color w:val="auto"/>
        </w:rPr>
      </w:pPr>
      <w:r>
        <w:rPr>
          <w:rFonts w:ascii="Arial" w:cs="Arial" w:eastAsia="Arial" w:hAnsi="Arial"/>
          <w:sz w:val="22"/>
          <w:szCs w:val="22"/>
          <w:color w:val="auto"/>
        </w:rPr>
        <w:t>acquired the Required Shares in the ordinary course of business and not with the intent to change or influence control at the Corporation, and does not presently have such intent,</w:t>
      </w:r>
    </w:p>
    <w:p>
      <w:pPr>
        <w:spacing w:after="0" w:line="200" w:lineRule="exact"/>
        <w:rPr>
          <w:rFonts w:ascii="Arial" w:cs="Arial" w:eastAsia="Arial" w:hAnsi="Arial"/>
          <w:sz w:val="22"/>
          <w:szCs w:val="22"/>
          <w:color w:val="auto"/>
        </w:rPr>
      </w:pPr>
    </w:p>
    <w:p>
      <w:pPr>
        <w:ind w:left="1000" w:firstLine="1"/>
        <w:spacing w:after="0" w:line="251" w:lineRule="auto"/>
        <w:tabs>
          <w:tab w:leader="none" w:pos="1313" w:val="left"/>
        </w:tabs>
        <w:numPr>
          <w:ilvl w:val="1"/>
          <w:numId w:val="32"/>
        </w:numPr>
        <w:rPr>
          <w:rFonts w:ascii="Arial" w:cs="Arial" w:eastAsia="Arial" w:hAnsi="Arial"/>
          <w:sz w:val="22"/>
          <w:szCs w:val="22"/>
          <w:color w:val="auto"/>
        </w:rPr>
      </w:pPr>
      <w:r>
        <w:rPr>
          <w:rFonts w:ascii="Arial" w:cs="Arial" w:eastAsia="Arial" w:hAnsi="Arial"/>
          <w:sz w:val="22"/>
          <w:szCs w:val="22"/>
          <w:color w:val="auto"/>
        </w:rPr>
        <w:t>has not nominated and will not nominate for election to the Board at the annual meeting any person other than the Stockholder Nominee(s) being nominated pursuant to this Section 4,</w:t>
      </w:r>
    </w:p>
    <w:p>
      <w:pPr>
        <w:spacing w:after="0" w:line="200" w:lineRule="exact"/>
        <w:rPr>
          <w:rFonts w:ascii="Arial" w:cs="Arial" w:eastAsia="Arial" w:hAnsi="Arial"/>
          <w:sz w:val="22"/>
          <w:szCs w:val="22"/>
          <w:color w:val="auto"/>
        </w:rPr>
      </w:pPr>
    </w:p>
    <w:p>
      <w:pPr>
        <w:jc w:val="both"/>
        <w:ind w:left="1000" w:firstLine="1"/>
        <w:spacing w:after="0" w:line="238" w:lineRule="auto"/>
        <w:tabs>
          <w:tab w:leader="none" w:pos="1318" w:val="left"/>
        </w:tabs>
        <w:numPr>
          <w:ilvl w:val="1"/>
          <w:numId w:val="32"/>
        </w:numPr>
        <w:rPr>
          <w:rFonts w:ascii="Arial" w:cs="Arial" w:eastAsia="Arial" w:hAnsi="Arial"/>
          <w:sz w:val="22"/>
          <w:szCs w:val="22"/>
          <w:color w:val="auto"/>
        </w:rPr>
      </w:pPr>
      <w:r>
        <w:rPr>
          <w:rFonts w:ascii="Arial" w:cs="Arial" w:eastAsia="Arial" w:hAnsi="Arial"/>
          <w:sz w:val="22"/>
          <w:szCs w:val="22"/>
          <w:color w:val="auto"/>
        </w:rPr>
        <w:t>has not engaged and will not engage in a, and has not been and will not be a “participant” (as defined in Item 4 of the Exchange Act Schedule 14A) in another person’s, “solicitation” within the meaning of Exchange Act Rule 14a-1(l), in support of the election of any individual as a director at the annual meeting other than its Stockholder Nominee or a nominee of the Board,</w:t>
      </w:r>
    </w:p>
    <w:p>
      <w:pPr>
        <w:spacing w:after="0" w:line="212" w:lineRule="exact"/>
        <w:rPr>
          <w:rFonts w:ascii="Arial" w:cs="Arial" w:eastAsia="Arial" w:hAnsi="Arial"/>
          <w:sz w:val="22"/>
          <w:szCs w:val="22"/>
          <w:color w:val="auto"/>
        </w:rPr>
      </w:pPr>
    </w:p>
    <w:p>
      <w:pPr>
        <w:ind w:left="1000" w:firstLine="1"/>
        <w:spacing w:after="0" w:line="251" w:lineRule="auto"/>
        <w:tabs>
          <w:tab w:leader="none" w:pos="1344" w:val="left"/>
        </w:tabs>
        <w:numPr>
          <w:ilvl w:val="1"/>
          <w:numId w:val="32"/>
        </w:numPr>
        <w:rPr>
          <w:rFonts w:ascii="Arial" w:cs="Arial" w:eastAsia="Arial" w:hAnsi="Arial"/>
          <w:sz w:val="22"/>
          <w:szCs w:val="22"/>
          <w:color w:val="auto"/>
        </w:rPr>
      </w:pPr>
      <w:r>
        <w:rPr>
          <w:rFonts w:ascii="Arial" w:cs="Arial" w:eastAsia="Arial" w:hAnsi="Arial"/>
          <w:sz w:val="22"/>
          <w:szCs w:val="22"/>
          <w:color w:val="auto"/>
        </w:rPr>
        <w:t>will not distribute to any stockholder any form of proxy for the annual meeting other than the form distributed by the Corporation; and</w:t>
      </w:r>
    </w:p>
    <w:p>
      <w:pPr>
        <w:spacing w:after="0" w:line="200" w:lineRule="exact"/>
        <w:rPr>
          <w:rFonts w:ascii="Arial" w:cs="Arial" w:eastAsia="Arial" w:hAnsi="Arial"/>
          <w:sz w:val="22"/>
          <w:szCs w:val="22"/>
          <w:color w:val="auto"/>
        </w:rPr>
      </w:pPr>
    </w:p>
    <w:p>
      <w:pPr>
        <w:ind w:left="920" w:hanging="360"/>
        <w:spacing w:after="0"/>
        <w:tabs>
          <w:tab w:leader="none" w:pos="920" w:val="left"/>
        </w:tabs>
        <w:numPr>
          <w:ilvl w:val="0"/>
          <w:numId w:val="32"/>
        </w:numPr>
        <w:rPr>
          <w:rFonts w:ascii="Arial" w:cs="Arial" w:eastAsia="Arial" w:hAnsi="Arial"/>
          <w:sz w:val="22"/>
          <w:szCs w:val="22"/>
          <w:color w:val="auto"/>
        </w:rPr>
      </w:pPr>
      <w:r>
        <w:rPr>
          <w:rFonts w:ascii="Arial" w:cs="Arial" w:eastAsia="Arial" w:hAnsi="Arial"/>
          <w:sz w:val="22"/>
          <w:szCs w:val="22"/>
          <w:color w:val="auto"/>
        </w:rPr>
        <w:t>the Eligible Stockholder’s agreement to:</w:t>
      </w:r>
    </w:p>
    <w:p>
      <w:pPr>
        <w:spacing w:after="0" w:line="233" w:lineRule="exact"/>
        <w:rPr>
          <w:rFonts w:ascii="Arial" w:cs="Arial" w:eastAsia="Arial" w:hAnsi="Arial"/>
          <w:sz w:val="22"/>
          <w:szCs w:val="22"/>
          <w:color w:val="auto"/>
        </w:rPr>
      </w:pPr>
    </w:p>
    <w:p>
      <w:pPr>
        <w:jc w:val="both"/>
        <w:ind w:left="1000" w:firstLine="1"/>
        <w:spacing w:after="0"/>
        <w:tabs>
          <w:tab w:leader="none" w:pos="1380" w:val="left"/>
        </w:tabs>
        <w:numPr>
          <w:ilvl w:val="1"/>
          <w:numId w:val="32"/>
        </w:numPr>
        <w:rPr>
          <w:rFonts w:ascii="Arial" w:cs="Arial" w:eastAsia="Arial" w:hAnsi="Arial"/>
          <w:sz w:val="22"/>
          <w:szCs w:val="22"/>
          <w:color w:val="auto"/>
        </w:rPr>
      </w:pPr>
      <w:r>
        <w:rPr>
          <w:rFonts w:ascii="Arial" w:cs="Arial" w:eastAsia="Arial" w:hAnsi="Arial"/>
          <w:sz w:val="22"/>
          <w:szCs w:val="22"/>
          <w:color w:val="auto"/>
        </w:rPr>
        <w:t>assume all liability stemming from any legal or regulatory violation arising out of the Eligible Stockholder’s communications with the stockholders of the Corporation or out of the information that the Eligible Stockholder provided to the Corporation,</w:t>
      </w:r>
    </w:p>
    <w:p>
      <w:pPr>
        <w:spacing w:after="0" w:line="213" w:lineRule="exact"/>
        <w:rPr>
          <w:rFonts w:ascii="Arial" w:cs="Arial" w:eastAsia="Arial" w:hAnsi="Arial"/>
          <w:sz w:val="22"/>
          <w:szCs w:val="22"/>
          <w:color w:val="auto"/>
        </w:rPr>
      </w:pPr>
    </w:p>
    <w:p>
      <w:pPr>
        <w:jc w:val="both"/>
        <w:ind w:left="1000" w:firstLine="1"/>
        <w:spacing w:after="0" w:line="236" w:lineRule="auto"/>
        <w:tabs>
          <w:tab w:leader="none" w:pos="1382" w:val="left"/>
        </w:tabs>
        <w:numPr>
          <w:ilvl w:val="1"/>
          <w:numId w:val="32"/>
        </w:numPr>
        <w:rPr>
          <w:rFonts w:ascii="Arial" w:cs="Arial" w:eastAsia="Arial" w:hAnsi="Arial"/>
          <w:sz w:val="22"/>
          <w:szCs w:val="22"/>
          <w:color w:val="auto"/>
        </w:rPr>
      </w:pPr>
      <w:r>
        <w:rPr>
          <w:rFonts w:ascii="Arial" w:cs="Arial" w:eastAsia="Arial" w:hAnsi="Arial"/>
          <w:sz w:val="22"/>
          <w:szCs w:val="22"/>
          <w:color w:val="auto"/>
        </w:rPr>
        <w:t>indemnify and hold harmless the Corporation and each of its directors, officers and employees individually against any liability, loss or damages in connection with any threatened or pending action, suit or proceeding, whether legal, administrative or investigative, against the Corporation or any of its directors, officers or employees arising out of any nomination submitted by the Eligible Stockholder pursuant to this Section 4,</w:t>
      </w:r>
    </w:p>
    <w:p>
      <w:pPr>
        <w:spacing w:after="0" w:line="168"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-553085</wp:posOffset>
            </wp:positionH>
            <wp:positionV relativeFrom="paragraph">
              <wp:posOffset>152400</wp:posOffset>
            </wp:positionV>
            <wp:extent cx="7246620" cy="342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0540"/>
          </w:cols>
          <w:pgMar w:left="1120" w:top="402" w:right="239" w:bottom="1440" w:gutter="0" w:footer="0" w:header="0"/>
        </w:sectPr>
      </w:pPr>
    </w:p>
    <w:bookmarkStart w:id="63" w:name="page64"/>
    <w:bookmarkEnd w:id="63"/>
    <w:p>
      <w:pPr>
        <w:ind w:left="1880"/>
        <w:spacing w:after="0" w:line="251" w:lineRule="auto"/>
        <w:rPr>
          <w:sz w:val="20"/>
          <w:szCs w:val="20"/>
          <w:color w:val="auto"/>
        </w:rPr>
      </w:pPr>
      <w:r>
        <w:rPr>
          <w:rFonts w:ascii="Arial" w:cs="Arial" w:eastAsia="Arial" w:hAnsi="Arial"/>
          <w:sz w:val="22"/>
          <w:szCs w:val="22"/>
          <w:color w:val="auto"/>
        </w:rPr>
        <w:t>provided, however that, upon the election to the Board of its Stockholder Nominee, the indemnification by the Eligible Stockholder under this Section 4(e)(iii)(D) shall no longer apply,</w:t>
      </w:r>
    </w:p>
    <w:p>
      <w:pPr>
        <w:spacing w:after="0" w:line="200" w:lineRule="exact"/>
        <w:rPr>
          <w:sz w:val="20"/>
          <w:szCs w:val="20"/>
          <w:color w:val="auto"/>
        </w:rPr>
      </w:pPr>
    </w:p>
    <w:p>
      <w:pPr>
        <w:ind w:left="1880" w:firstLine="1"/>
        <w:spacing w:after="0" w:line="251" w:lineRule="auto"/>
        <w:tabs>
          <w:tab w:leader="none" w:pos="2235" w:val="left"/>
        </w:tabs>
        <w:numPr>
          <w:ilvl w:val="2"/>
          <w:numId w:val="33"/>
        </w:numPr>
        <w:rPr>
          <w:rFonts w:ascii="Arial" w:cs="Arial" w:eastAsia="Arial" w:hAnsi="Arial"/>
          <w:sz w:val="22"/>
          <w:szCs w:val="22"/>
          <w:color w:val="auto"/>
        </w:rPr>
      </w:pPr>
      <w:r>
        <w:rPr>
          <w:rFonts w:ascii="Arial" w:cs="Arial" w:eastAsia="Arial" w:hAnsi="Arial"/>
          <w:sz w:val="22"/>
          <w:szCs w:val="22"/>
          <w:color w:val="auto"/>
        </w:rPr>
        <w:t>comply with all other laws, rules, regulations and listing standards applicable to any solicitation in connection with the annual meeting,</w:t>
      </w:r>
    </w:p>
    <w:p>
      <w:pPr>
        <w:spacing w:after="0" w:line="200" w:lineRule="exact"/>
        <w:rPr>
          <w:rFonts w:ascii="Arial" w:cs="Arial" w:eastAsia="Arial" w:hAnsi="Arial"/>
          <w:sz w:val="22"/>
          <w:szCs w:val="22"/>
          <w:color w:val="auto"/>
        </w:rPr>
      </w:pPr>
    </w:p>
    <w:p>
      <w:pPr>
        <w:jc w:val="both"/>
        <w:ind w:left="1880" w:firstLine="1"/>
        <w:spacing w:after="0" w:line="258" w:lineRule="auto"/>
        <w:tabs>
          <w:tab w:leader="none" w:pos="2227" w:val="left"/>
        </w:tabs>
        <w:numPr>
          <w:ilvl w:val="2"/>
          <w:numId w:val="33"/>
        </w:numPr>
        <w:rPr>
          <w:rFonts w:ascii="Arial" w:cs="Arial" w:eastAsia="Arial" w:hAnsi="Arial"/>
          <w:sz w:val="21"/>
          <w:szCs w:val="21"/>
          <w:color w:val="auto"/>
        </w:rPr>
      </w:pPr>
      <w:r>
        <w:rPr>
          <w:rFonts w:ascii="Arial" w:cs="Arial" w:eastAsia="Arial" w:hAnsi="Arial"/>
          <w:sz w:val="21"/>
          <w:szCs w:val="21"/>
          <w:color w:val="auto"/>
        </w:rPr>
        <w:t>file all materials described below in Section 4(g)(iii) with the Securities and Exchange Commission, regardless of whether any such filing is required under Exchange Act Regulation 14A, or whether any exemption from filing is available for such materials under Exchange Act Regulation 14A,</w:t>
      </w:r>
    </w:p>
    <w:p>
      <w:pPr>
        <w:spacing w:after="0" w:line="193" w:lineRule="exact"/>
        <w:rPr>
          <w:rFonts w:ascii="Arial" w:cs="Arial" w:eastAsia="Arial" w:hAnsi="Arial"/>
          <w:sz w:val="21"/>
          <w:szCs w:val="21"/>
          <w:color w:val="auto"/>
        </w:rPr>
      </w:pPr>
    </w:p>
    <w:p>
      <w:pPr>
        <w:ind w:left="1880" w:firstLine="1"/>
        <w:spacing w:after="0" w:line="251" w:lineRule="auto"/>
        <w:tabs>
          <w:tab w:leader="none" w:pos="2235" w:val="left"/>
        </w:tabs>
        <w:numPr>
          <w:ilvl w:val="2"/>
          <w:numId w:val="33"/>
        </w:numPr>
        <w:rPr>
          <w:rFonts w:ascii="Arial" w:cs="Arial" w:eastAsia="Arial" w:hAnsi="Arial"/>
          <w:sz w:val="22"/>
          <w:szCs w:val="22"/>
          <w:color w:val="auto"/>
        </w:rPr>
      </w:pPr>
      <w:r>
        <w:rPr>
          <w:rFonts w:ascii="Arial" w:cs="Arial" w:eastAsia="Arial" w:hAnsi="Arial"/>
          <w:sz w:val="22"/>
          <w:szCs w:val="22"/>
          <w:color w:val="auto"/>
        </w:rPr>
        <w:t>provide to the Corporation prior to the annual meeting such additional information as necessary or reasonably requested by the Corporation, and</w:t>
      </w:r>
    </w:p>
    <w:p>
      <w:pPr>
        <w:spacing w:after="0" w:line="200" w:lineRule="exact"/>
        <w:rPr>
          <w:rFonts w:ascii="Arial" w:cs="Arial" w:eastAsia="Arial" w:hAnsi="Arial"/>
          <w:sz w:val="22"/>
          <w:szCs w:val="22"/>
          <w:color w:val="auto"/>
        </w:rPr>
      </w:pPr>
    </w:p>
    <w:p>
      <w:pPr>
        <w:ind w:left="1880" w:firstLine="1"/>
        <w:spacing w:after="0" w:line="251" w:lineRule="auto"/>
        <w:tabs>
          <w:tab w:leader="none" w:pos="2203" w:val="left"/>
        </w:tabs>
        <w:numPr>
          <w:ilvl w:val="2"/>
          <w:numId w:val="33"/>
        </w:numPr>
        <w:rPr>
          <w:rFonts w:ascii="Arial" w:cs="Arial" w:eastAsia="Arial" w:hAnsi="Arial"/>
          <w:sz w:val="22"/>
          <w:szCs w:val="22"/>
          <w:color w:val="auto"/>
        </w:rPr>
      </w:pPr>
      <w:r>
        <w:rPr>
          <w:rFonts w:ascii="Arial" w:cs="Arial" w:eastAsia="Arial" w:hAnsi="Arial"/>
          <w:sz w:val="22"/>
          <w:szCs w:val="22"/>
          <w:color w:val="auto"/>
        </w:rPr>
        <w:t>promptly disclose to the Corporation if the Eligible Stockholder does not intend to continue to Own the Required Shares for at least one year following the annual meeting; and</w:t>
      </w:r>
    </w:p>
    <w:p>
      <w:pPr>
        <w:spacing w:after="0" w:line="200" w:lineRule="exact"/>
        <w:rPr>
          <w:rFonts w:ascii="Arial" w:cs="Arial" w:eastAsia="Arial" w:hAnsi="Arial"/>
          <w:sz w:val="22"/>
          <w:szCs w:val="22"/>
          <w:color w:val="auto"/>
        </w:rPr>
      </w:pPr>
    </w:p>
    <w:p>
      <w:pPr>
        <w:jc w:val="both"/>
        <w:ind w:left="880" w:firstLine="9"/>
        <w:spacing w:after="0" w:line="258" w:lineRule="auto"/>
        <w:tabs>
          <w:tab w:leader="none" w:pos="1250" w:val="left"/>
        </w:tabs>
        <w:numPr>
          <w:ilvl w:val="1"/>
          <w:numId w:val="34"/>
        </w:numPr>
        <w:rPr>
          <w:rFonts w:ascii="Arial" w:cs="Arial" w:eastAsia="Arial" w:hAnsi="Arial"/>
          <w:sz w:val="21"/>
          <w:szCs w:val="21"/>
          <w:color w:val="auto"/>
        </w:rPr>
      </w:pPr>
      <w:r>
        <w:rPr>
          <w:rFonts w:ascii="Arial" w:cs="Arial" w:eastAsia="Arial" w:hAnsi="Arial"/>
          <w:sz w:val="21"/>
          <w:szCs w:val="21"/>
          <w:color w:val="auto"/>
        </w:rPr>
        <w:t>in the case of a nomination by a group of stockholders that together is an Eligible Stockholder, the designation by all group members of one group member that is authorized to act on behalf of all such members with respect to the nomination and matters related thereto, including any withdrawal of the nomination.</w:t>
      </w:r>
    </w:p>
    <w:p>
      <w:pPr>
        <w:spacing w:after="0" w:line="193" w:lineRule="exact"/>
        <w:rPr>
          <w:rFonts w:ascii="Arial" w:cs="Arial" w:eastAsia="Arial" w:hAnsi="Arial"/>
          <w:sz w:val="21"/>
          <w:szCs w:val="21"/>
          <w:color w:val="auto"/>
        </w:rPr>
      </w:pPr>
    </w:p>
    <w:p>
      <w:pPr>
        <w:jc w:val="both"/>
        <w:ind w:firstLine="448"/>
        <w:spacing w:after="0" w:line="245" w:lineRule="auto"/>
        <w:tabs>
          <w:tab w:leader="none" w:pos="738" w:val="left"/>
        </w:tabs>
        <w:numPr>
          <w:ilvl w:val="0"/>
          <w:numId w:val="35"/>
        </w:numPr>
        <w:rPr>
          <w:rFonts w:ascii="Arial" w:cs="Arial" w:eastAsia="Arial" w:hAnsi="Arial"/>
          <w:sz w:val="21"/>
          <w:szCs w:val="21"/>
          <w:color w:val="auto"/>
        </w:rPr>
      </w:pPr>
      <w:r>
        <w:rPr>
          <w:rFonts w:ascii="Arial" w:cs="Arial" w:eastAsia="Arial" w:hAnsi="Arial"/>
          <w:sz w:val="21"/>
          <w:szCs w:val="21"/>
          <w:color w:val="auto"/>
        </w:rPr>
        <w:t>To be timely under this Section 4, the Stockholder Notice must be received by the Secretary of the Corporation at the principal executive offices of the Corporation not later than the close of business on the 120th day nor earlier than the close of business on the 150th day prior to the first anniversary of the date the definitive proxy statement was first released to stockholders in connection with the preceding year’s annual meeting of stockholders; provided, however that in the event the date of the current year meeting is more than 30 days before or more than 60 days after such anniversary date, notice by the stockholder to be timely must be so delivered not earlier than the close of business on the 120th day and not later than the close of business on the later of the 90th day prior to the current year meeting or the 10th day following the day on which public announcement of the date of the current year meeting is first made by the Corporation. In no event shall any adjournment or postponement of an annual meeting, or the announcement thereof, commence a new time period (or extend any time period) for the giving of the Stockholder Notice as described above.</w:t>
      </w:r>
    </w:p>
    <w:p>
      <w:pPr>
        <w:spacing w:after="0" w:line="208" w:lineRule="exact"/>
        <w:rPr>
          <w:rFonts w:ascii="Arial" w:cs="Arial" w:eastAsia="Arial" w:hAnsi="Arial"/>
          <w:sz w:val="21"/>
          <w:szCs w:val="21"/>
          <w:color w:val="auto"/>
        </w:rPr>
      </w:pPr>
    </w:p>
    <w:p>
      <w:pPr>
        <w:ind w:right="20" w:firstLine="448"/>
        <w:spacing w:after="0" w:line="251" w:lineRule="auto"/>
        <w:tabs>
          <w:tab w:leader="none" w:pos="793" w:val="left"/>
        </w:tabs>
        <w:numPr>
          <w:ilvl w:val="0"/>
          <w:numId w:val="35"/>
        </w:numPr>
        <w:rPr>
          <w:rFonts w:ascii="Arial" w:cs="Arial" w:eastAsia="Arial" w:hAnsi="Arial"/>
          <w:sz w:val="22"/>
          <w:szCs w:val="22"/>
          <w:color w:val="auto"/>
        </w:rPr>
      </w:pPr>
      <w:r>
        <w:rPr>
          <w:rFonts w:ascii="Arial" w:cs="Arial" w:eastAsia="Arial" w:hAnsi="Arial"/>
          <w:sz w:val="22"/>
          <w:szCs w:val="22"/>
          <w:color w:val="auto"/>
        </w:rPr>
        <w:t>An Eligible Stockholder (or in the case of a group, each stockholder whose shares are aggregated for purposes of constituting an Eligible Stockholder) must:</w:t>
      </w:r>
    </w:p>
    <w:p>
      <w:pPr>
        <w:spacing w:after="0" w:line="200" w:lineRule="exact"/>
        <w:rPr>
          <w:rFonts w:ascii="Arial" w:cs="Arial" w:eastAsia="Arial" w:hAnsi="Arial"/>
          <w:sz w:val="22"/>
          <w:szCs w:val="22"/>
          <w:color w:val="auto"/>
        </w:rPr>
      </w:pPr>
    </w:p>
    <w:p>
      <w:pPr>
        <w:jc w:val="both"/>
        <w:ind w:left="880" w:firstLine="9"/>
        <w:spacing w:after="0" w:line="252" w:lineRule="auto"/>
        <w:tabs>
          <w:tab w:leader="none" w:pos="1156" w:val="left"/>
        </w:tabs>
        <w:numPr>
          <w:ilvl w:val="1"/>
          <w:numId w:val="35"/>
        </w:numPr>
        <w:rPr>
          <w:rFonts w:ascii="Arial" w:cs="Arial" w:eastAsia="Arial" w:hAnsi="Arial"/>
          <w:sz w:val="21"/>
          <w:szCs w:val="21"/>
          <w:color w:val="auto"/>
        </w:rPr>
      </w:pPr>
      <w:r>
        <w:rPr>
          <w:rFonts w:ascii="Arial" w:cs="Arial" w:eastAsia="Arial" w:hAnsi="Arial"/>
          <w:sz w:val="21"/>
          <w:szCs w:val="21"/>
          <w:color w:val="auto"/>
        </w:rPr>
        <w:t>within five business days after the date of the Stockholder Notice, provide one or more written statements from the record holder(s) of the Required Shares and from each intermediary through which the Required Shares are or have been held, in each case during the requisite three-year holding period, verifying that the Eligible Stockholder Owns, and has Owned continuously for the preceding three years, the Required Shares,</w:t>
      </w:r>
    </w:p>
    <w:p>
      <w:pPr>
        <w:spacing w:after="0" w:line="201" w:lineRule="exact"/>
        <w:rPr>
          <w:rFonts w:ascii="Arial" w:cs="Arial" w:eastAsia="Arial" w:hAnsi="Arial"/>
          <w:sz w:val="21"/>
          <w:szCs w:val="21"/>
          <w:color w:val="auto"/>
        </w:rPr>
      </w:pPr>
    </w:p>
    <w:p>
      <w:pPr>
        <w:ind w:left="880" w:firstLine="9"/>
        <w:spacing w:after="0" w:line="251" w:lineRule="auto"/>
        <w:tabs>
          <w:tab w:leader="none" w:pos="1201" w:val="left"/>
        </w:tabs>
        <w:numPr>
          <w:ilvl w:val="1"/>
          <w:numId w:val="35"/>
        </w:numPr>
        <w:rPr>
          <w:rFonts w:ascii="Arial" w:cs="Arial" w:eastAsia="Arial" w:hAnsi="Arial"/>
          <w:sz w:val="22"/>
          <w:szCs w:val="22"/>
          <w:color w:val="auto"/>
        </w:rPr>
      </w:pPr>
      <w:r>
        <w:rPr>
          <w:rFonts w:ascii="Arial" w:cs="Arial" w:eastAsia="Arial" w:hAnsi="Arial"/>
          <w:sz w:val="22"/>
          <w:szCs w:val="22"/>
          <w:color w:val="auto"/>
        </w:rPr>
        <w:t>include in the written statements provided pursuant to Item 4 of Schedule 14N filed with the Securities and Exchange Commission a statement certifying that it</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2" w:right="239" w:bottom="1440" w:gutter="0" w:footer="0" w:header="0"/>
        </w:sectPr>
      </w:pPr>
    </w:p>
    <w:bookmarkStart w:id="64" w:name="page65"/>
    <w:bookmarkEnd w:id="64"/>
    <w:p>
      <w:pPr>
        <w:ind w:left="880"/>
        <w:spacing w:after="0"/>
        <w:rPr>
          <w:sz w:val="20"/>
          <w:szCs w:val="20"/>
          <w:color w:val="auto"/>
        </w:rPr>
      </w:pPr>
      <w:r>
        <w:rPr>
          <w:rFonts w:ascii="Arial" w:cs="Arial" w:eastAsia="Arial" w:hAnsi="Arial"/>
          <w:sz w:val="22"/>
          <w:szCs w:val="22"/>
          <w:color w:val="auto"/>
        </w:rPr>
        <w:t>Owns and continuously has Owned, as defined in Section 4(c), the Required Shares for at least three years,</w:t>
      </w:r>
    </w:p>
    <w:p>
      <w:pPr>
        <w:spacing w:after="0" w:line="233" w:lineRule="exact"/>
        <w:rPr>
          <w:sz w:val="20"/>
          <w:szCs w:val="20"/>
          <w:color w:val="auto"/>
        </w:rPr>
      </w:pPr>
    </w:p>
    <w:p>
      <w:pPr>
        <w:jc w:val="both"/>
        <w:ind w:left="880" w:firstLine="9"/>
        <w:spacing w:after="0" w:line="287" w:lineRule="auto"/>
        <w:tabs>
          <w:tab w:leader="none" w:pos="1280" w:val="left"/>
        </w:tabs>
        <w:numPr>
          <w:ilvl w:val="1"/>
          <w:numId w:val="36"/>
        </w:numPr>
        <w:rPr>
          <w:rFonts w:ascii="Arial" w:cs="Arial" w:eastAsia="Arial" w:hAnsi="Arial"/>
          <w:sz w:val="19"/>
          <w:szCs w:val="19"/>
          <w:color w:val="auto"/>
        </w:rPr>
      </w:pPr>
      <w:r>
        <w:rPr>
          <w:rFonts w:ascii="Arial" w:cs="Arial" w:eastAsia="Arial" w:hAnsi="Arial"/>
          <w:sz w:val="19"/>
          <w:szCs w:val="19"/>
          <w:color w:val="auto"/>
        </w:rPr>
        <w:t>file with the Securities and Exchange Commission any solicitation or other communication relating to the current year annual meeting of stockholders, one or more of the Corporation’s directors or director nominees or any Stockholder Nominee, regardless of whether any such filing is required under Exchange Act Regulation 14A or whether any exemption from filing is available for such solicitation or other communication under Exchange Act Regulation 14A, and</w:t>
      </w:r>
    </w:p>
    <w:p>
      <w:pPr>
        <w:spacing w:after="0" w:line="170" w:lineRule="exact"/>
        <w:rPr>
          <w:rFonts w:ascii="Arial" w:cs="Arial" w:eastAsia="Arial" w:hAnsi="Arial"/>
          <w:sz w:val="19"/>
          <w:szCs w:val="19"/>
          <w:color w:val="auto"/>
        </w:rPr>
      </w:pPr>
    </w:p>
    <w:p>
      <w:pPr>
        <w:jc w:val="both"/>
        <w:ind w:left="880" w:firstLine="9"/>
        <w:spacing w:after="0"/>
        <w:tabs>
          <w:tab w:leader="none" w:pos="1266" w:val="left"/>
        </w:tabs>
        <w:numPr>
          <w:ilvl w:val="1"/>
          <w:numId w:val="36"/>
        </w:numPr>
        <w:rPr>
          <w:rFonts w:ascii="Arial" w:cs="Arial" w:eastAsia="Arial" w:hAnsi="Arial"/>
          <w:sz w:val="22"/>
          <w:szCs w:val="22"/>
          <w:color w:val="auto"/>
        </w:rPr>
      </w:pPr>
      <w:r>
        <w:rPr>
          <w:rFonts w:ascii="Arial" w:cs="Arial" w:eastAsia="Arial" w:hAnsi="Arial"/>
          <w:sz w:val="22"/>
          <w:szCs w:val="22"/>
          <w:color w:val="auto"/>
        </w:rPr>
        <w:t>as to any group of funds whose shares are aggregated for purposes of constituting an Eligible Stockholder, within five business days after the date of the Stockholder Notice, provide documentation reasonably satisfactory to the Corporation that demonstrates that the funds satisfy Section 4(b)(ii).</w:t>
      </w:r>
    </w:p>
    <w:p>
      <w:pPr>
        <w:spacing w:after="0" w:line="213" w:lineRule="exact"/>
        <w:rPr>
          <w:rFonts w:ascii="Arial" w:cs="Arial" w:eastAsia="Arial" w:hAnsi="Arial"/>
          <w:sz w:val="22"/>
          <w:szCs w:val="22"/>
          <w:color w:val="auto"/>
        </w:rPr>
      </w:pPr>
    </w:p>
    <w:p>
      <w:pPr>
        <w:jc w:val="both"/>
        <w:ind w:firstLine="448"/>
        <w:spacing w:after="0" w:line="275" w:lineRule="auto"/>
        <w:tabs>
          <w:tab w:leader="none" w:pos="779" w:val="left"/>
        </w:tabs>
        <w:numPr>
          <w:ilvl w:val="0"/>
          <w:numId w:val="37"/>
        </w:numPr>
        <w:rPr>
          <w:rFonts w:ascii="Arial" w:cs="Arial" w:eastAsia="Arial" w:hAnsi="Arial"/>
          <w:sz w:val="19"/>
          <w:szCs w:val="19"/>
          <w:color w:val="auto"/>
        </w:rPr>
      </w:pPr>
      <w:r>
        <w:rPr>
          <w:rFonts w:ascii="Arial" w:cs="Arial" w:eastAsia="Arial" w:hAnsi="Arial"/>
          <w:sz w:val="19"/>
          <w:szCs w:val="19"/>
          <w:color w:val="auto"/>
        </w:rPr>
        <w:t>Within the time period specified in Section 4(f) for delivery of the Stockholder Notice, a Stockholder Nominee must deliver to the Secretary of the Corporation the questionnaire, representation and agreement set forth in Section 5 below. At the request of the Corporation, the Stockholder Nominee must promptly, but in any event within five business days of such request, submit any additional completed and signed questionnaires required of the Corporation’s directors and provide to the Corporation such other information as it may reasonably request. The Corporation may request such additional information as necessary to permit the Board to determine if each Stockholder Nominee is independent under the listing standards of the principal U.S. exchange upon which the shares of the Corporation are listed, any applicable rules of the Securities and Exchange Commission and any publicly disclosed standards used by the Board in determining and disclosing the independence of the Corporation’s directors.</w:t>
      </w:r>
    </w:p>
    <w:p>
      <w:pPr>
        <w:spacing w:after="0" w:line="185" w:lineRule="exact"/>
        <w:rPr>
          <w:rFonts w:ascii="Arial" w:cs="Arial" w:eastAsia="Arial" w:hAnsi="Arial"/>
          <w:sz w:val="19"/>
          <w:szCs w:val="19"/>
          <w:color w:val="auto"/>
        </w:rPr>
      </w:pPr>
    </w:p>
    <w:p>
      <w:pPr>
        <w:jc w:val="both"/>
        <w:ind w:firstLine="448"/>
        <w:spacing w:after="0" w:line="258" w:lineRule="auto"/>
        <w:tabs>
          <w:tab w:leader="none" w:pos="714" w:val="left"/>
        </w:tabs>
        <w:numPr>
          <w:ilvl w:val="0"/>
          <w:numId w:val="37"/>
        </w:numPr>
        <w:rPr>
          <w:rFonts w:ascii="Arial" w:cs="Arial" w:eastAsia="Arial" w:hAnsi="Arial"/>
          <w:sz w:val="21"/>
          <w:szCs w:val="21"/>
          <w:color w:val="auto"/>
        </w:rPr>
      </w:pPr>
      <w:r>
        <w:rPr>
          <w:rFonts w:ascii="Arial" w:cs="Arial" w:eastAsia="Arial" w:hAnsi="Arial"/>
          <w:sz w:val="21"/>
          <w:szCs w:val="21"/>
          <w:color w:val="auto"/>
        </w:rPr>
        <w:t>Notwithstanding anything to the contrary contained in this Section 4, the Corporation may omit from its proxy statement any Stockholder Nominee, and such nomination shall be disregarded and no vote on such Stockholder Nominee will occur, notwithstanding that proxies in respect of such vote may have been received by the Corporation, if:</w:t>
      </w:r>
    </w:p>
    <w:p>
      <w:pPr>
        <w:spacing w:after="0" w:line="193" w:lineRule="exact"/>
        <w:rPr>
          <w:rFonts w:ascii="Arial" w:cs="Arial" w:eastAsia="Arial" w:hAnsi="Arial"/>
          <w:sz w:val="21"/>
          <w:szCs w:val="21"/>
          <w:color w:val="auto"/>
        </w:rPr>
      </w:pPr>
    </w:p>
    <w:p>
      <w:pPr>
        <w:jc w:val="both"/>
        <w:ind w:left="880" w:firstLine="9"/>
        <w:spacing w:after="0"/>
        <w:tabs>
          <w:tab w:leader="none" w:pos="1161" w:val="left"/>
        </w:tabs>
        <w:numPr>
          <w:ilvl w:val="1"/>
          <w:numId w:val="37"/>
        </w:numPr>
        <w:rPr>
          <w:rFonts w:ascii="Arial" w:cs="Arial" w:eastAsia="Arial" w:hAnsi="Arial"/>
          <w:sz w:val="22"/>
          <w:szCs w:val="22"/>
          <w:color w:val="auto"/>
        </w:rPr>
      </w:pPr>
      <w:r>
        <w:rPr>
          <w:rFonts w:ascii="Arial" w:cs="Arial" w:eastAsia="Arial" w:hAnsi="Arial"/>
          <w:sz w:val="22"/>
          <w:szCs w:val="22"/>
          <w:color w:val="auto"/>
        </w:rPr>
        <w:t>the Secretary of the Corporation receives notice that a stockholder intends to nominate a person for election to the Board which stockholder does not elect to have its nominee(s) included in the Corporation’s proxy materials pursuant to this Section 4,</w:t>
      </w:r>
    </w:p>
    <w:p>
      <w:pPr>
        <w:spacing w:after="0" w:line="213" w:lineRule="exact"/>
        <w:rPr>
          <w:rFonts w:ascii="Arial" w:cs="Arial" w:eastAsia="Arial" w:hAnsi="Arial"/>
          <w:sz w:val="22"/>
          <w:szCs w:val="22"/>
          <w:color w:val="auto"/>
        </w:rPr>
      </w:pPr>
    </w:p>
    <w:p>
      <w:pPr>
        <w:jc w:val="both"/>
        <w:ind w:left="880" w:right="20" w:firstLine="9"/>
        <w:spacing w:after="0" w:line="238" w:lineRule="auto"/>
        <w:tabs>
          <w:tab w:leader="none" w:pos="1240" w:val="left"/>
        </w:tabs>
        <w:numPr>
          <w:ilvl w:val="1"/>
          <w:numId w:val="37"/>
        </w:numPr>
        <w:rPr>
          <w:rFonts w:ascii="Arial" w:cs="Arial" w:eastAsia="Arial" w:hAnsi="Arial"/>
          <w:sz w:val="22"/>
          <w:szCs w:val="22"/>
          <w:color w:val="auto"/>
        </w:rPr>
      </w:pPr>
      <w:r>
        <w:rPr>
          <w:rFonts w:ascii="Arial" w:cs="Arial" w:eastAsia="Arial" w:hAnsi="Arial"/>
          <w:sz w:val="22"/>
          <w:szCs w:val="22"/>
          <w:color w:val="auto"/>
        </w:rPr>
        <w:t>the Eligible Stockholder or Stockholder Nominee breaches any of its respective agreements, representations, or warranties set forth in the Stockholder Notice, or if any of the information in the Stockholder Notice (or otherwise submitted pursuant to this Section 4) was not, when provided, true, correct and complete or the requirements of this Section 4 have otherwise not been met,</w:t>
      </w:r>
    </w:p>
    <w:p>
      <w:pPr>
        <w:spacing w:after="0" w:line="212" w:lineRule="exact"/>
        <w:rPr>
          <w:rFonts w:ascii="Arial" w:cs="Arial" w:eastAsia="Arial" w:hAnsi="Arial"/>
          <w:sz w:val="22"/>
          <w:szCs w:val="22"/>
          <w:color w:val="auto"/>
        </w:rPr>
      </w:pPr>
    </w:p>
    <w:p>
      <w:pPr>
        <w:jc w:val="both"/>
        <w:ind w:left="880" w:firstLine="9"/>
        <w:spacing w:after="0" w:line="236" w:lineRule="auto"/>
        <w:tabs>
          <w:tab w:leader="none" w:pos="1284" w:val="left"/>
        </w:tabs>
        <w:numPr>
          <w:ilvl w:val="1"/>
          <w:numId w:val="37"/>
        </w:numPr>
        <w:rPr>
          <w:rFonts w:ascii="Arial" w:cs="Arial" w:eastAsia="Arial" w:hAnsi="Arial"/>
          <w:sz w:val="22"/>
          <w:szCs w:val="22"/>
          <w:color w:val="auto"/>
        </w:rPr>
      </w:pPr>
      <w:r>
        <w:rPr>
          <w:rFonts w:ascii="Arial" w:cs="Arial" w:eastAsia="Arial" w:hAnsi="Arial"/>
          <w:sz w:val="22"/>
          <w:szCs w:val="22"/>
          <w:color w:val="auto"/>
        </w:rPr>
        <w:t>the Stockholder Nominee (A) is not independent under the listing standards of the principal U.S. exchange upon which the shares of the Corporation are listed, any applicable rules of the Securities and Exchange Commission, and any publicly disclosed standards used by the Board in determining and disclosing the independence of the Corporation’s directors, (B) does not qualify as independent under the audit committee independence requirements set forth in the rules of the</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2" w:right="239" w:bottom="1440" w:gutter="0" w:footer="0" w:header="0"/>
        </w:sectPr>
      </w:pPr>
    </w:p>
    <w:bookmarkStart w:id="65" w:name="page66"/>
    <w:bookmarkEnd w:id="65"/>
    <w:p>
      <w:pPr>
        <w:jc w:val="both"/>
        <w:ind w:left="880"/>
        <w:spacing w:after="0" w:line="245" w:lineRule="auto"/>
        <w:rPr>
          <w:sz w:val="20"/>
          <w:szCs w:val="20"/>
          <w:color w:val="auto"/>
        </w:rPr>
      </w:pPr>
      <w:r>
        <w:rPr>
          <w:rFonts w:ascii="Arial" w:cs="Arial" w:eastAsia="Arial" w:hAnsi="Arial"/>
          <w:sz w:val="21"/>
          <w:szCs w:val="21"/>
          <w:color w:val="auto"/>
        </w:rPr>
        <w:t>principal U.S. exchange on which shares of the Corporation are listed, as a “non-employee director” under Exchange Act Rule 16b-3, or as an “outside director” for the purposes of Section 162(m) of the Internal Revenue Code (or any successor provision), (C) is or has been, within the past three years, an officer or director of a competitor, as defined in Section 8 of the Clayton Antitrust Act of 1914, as amended, (D) is an officer, director or general partner of any legal entity where a fellow officer, director or general partner of such legal entity is an officer or director of a competitor, as defined in Section 8 of the Clayton Antitrust Act of 1914, as amended, (E) is a named subject of a pending criminal proceeding (excluding traffic violations and other minor offenses) or has been convicted in a criminal proceeding within the past ten years, or (F) is subject to any order of the type specified in Rule 506(d) of Regulation D promulgated under the Securities Act of 1933, as amended, or</w:t>
      </w:r>
    </w:p>
    <w:p>
      <w:pPr>
        <w:spacing w:after="0" w:line="212" w:lineRule="exact"/>
        <w:rPr>
          <w:sz w:val="20"/>
          <w:szCs w:val="20"/>
          <w:color w:val="auto"/>
        </w:rPr>
      </w:pPr>
    </w:p>
    <w:p>
      <w:pPr>
        <w:ind w:left="900" w:hanging="1"/>
        <w:spacing w:after="0" w:line="328" w:lineRule="auto"/>
        <w:tabs>
          <w:tab w:leader="none" w:pos="1314" w:val="left"/>
        </w:tabs>
        <w:numPr>
          <w:ilvl w:val="1"/>
          <w:numId w:val="38"/>
        </w:numPr>
        <w:rPr>
          <w:rFonts w:ascii="Arial" w:cs="Arial" w:eastAsia="Arial" w:hAnsi="Arial"/>
          <w:sz w:val="19"/>
          <w:szCs w:val="19"/>
          <w:color w:val="auto"/>
        </w:rPr>
      </w:pPr>
      <w:r>
        <w:rPr>
          <w:rFonts w:ascii="Arial" w:cs="Arial" w:eastAsia="Arial" w:hAnsi="Arial"/>
          <w:sz w:val="19"/>
          <w:szCs w:val="19"/>
          <w:color w:val="auto"/>
        </w:rPr>
        <w:t>the election of the Stockholder Nominee to the Board would cause the Corporation to be in violation of the Certificate of Incorporation, these By-laws, or any applicable state or federal law, rule, regulation or listing standard.</w:t>
      </w:r>
    </w:p>
    <w:p>
      <w:pPr>
        <w:spacing w:after="0" w:line="132" w:lineRule="exact"/>
        <w:rPr>
          <w:rFonts w:ascii="Arial" w:cs="Arial" w:eastAsia="Arial" w:hAnsi="Arial"/>
          <w:sz w:val="19"/>
          <w:szCs w:val="19"/>
          <w:color w:val="auto"/>
        </w:rPr>
      </w:pPr>
    </w:p>
    <w:p>
      <w:pPr>
        <w:jc w:val="both"/>
        <w:ind w:firstLine="448"/>
        <w:spacing w:after="0" w:line="297" w:lineRule="auto"/>
        <w:tabs>
          <w:tab w:leader="none" w:pos="708" w:val="left"/>
        </w:tabs>
        <w:numPr>
          <w:ilvl w:val="0"/>
          <w:numId w:val="39"/>
        </w:numPr>
        <w:rPr>
          <w:rFonts w:ascii="Arial" w:cs="Arial" w:eastAsia="Arial" w:hAnsi="Arial"/>
          <w:sz w:val="19"/>
          <w:szCs w:val="19"/>
          <w:color w:val="auto"/>
        </w:rPr>
      </w:pPr>
      <w:r>
        <w:rPr>
          <w:rFonts w:ascii="Arial" w:cs="Arial" w:eastAsia="Arial" w:hAnsi="Arial"/>
          <w:sz w:val="19"/>
          <w:szCs w:val="19"/>
          <w:color w:val="auto"/>
        </w:rPr>
        <w:t>The maximum number of Stockholder Nominees appearing in the Corporation’s proxy materials with respect to an annual meeting of stockholders (including any Stockholder Nominee whose name was submitted for inclusion in the Corporation’s proxy materials for such annual meeting but who is nominated by the Board as a Board nominee for such annual meeting), together with</w:t>
      </w:r>
    </w:p>
    <w:p>
      <w:pPr>
        <w:spacing w:after="0" w:line="161" w:lineRule="exact"/>
        <w:rPr>
          <w:rFonts w:ascii="Arial" w:cs="Arial" w:eastAsia="Arial" w:hAnsi="Arial"/>
          <w:sz w:val="19"/>
          <w:szCs w:val="19"/>
          <w:color w:val="auto"/>
        </w:rPr>
      </w:pPr>
    </w:p>
    <w:p>
      <w:pPr>
        <w:jc w:val="both"/>
        <w:ind w:left="420" w:firstLine="479"/>
        <w:spacing w:after="0" w:line="236" w:lineRule="auto"/>
        <w:tabs>
          <w:tab w:leader="none" w:pos="1194" w:val="left"/>
        </w:tabs>
        <w:numPr>
          <w:ilvl w:val="1"/>
          <w:numId w:val="39"/>
        </w:numPr>
        <w:rPr>
          <w:rFonts w:ascii="Arial" w:cs="Arial" w:eastAsia="Arial" w:hAnsi="Arial"/>
          <w:sz w:val="22"/>
          <w:szCs w:val="22"/>
          <w:color w:val="auto"/>
        </w:rPr>
      </w:pPr>
      <w:r>
        <w:rPr>
          <w:rFonts w:ascii="Arial" w:cs="Arial" w:eastAsia="Arial" w:hAnsi="Arial"/>
          <w:sz w:val="22"/>
          <w:szCs w:val="22"/>
          <w:color w:val="auto"/>
        </w:rPr>
        <w:t>any nominees who were previously elected to the Board as (A) Stockholder Nominees pursuant to this Section 4 (including any Stockholder Nominee whose name was submitted for inclusion in the Corporation’s proxy materials for such prior annual meeting but who was nominated by the Board as a Board nominee for such prior annual meeting) or (B) otherwise as a nominee of any stockholder, in either case at any of the preceding two annual meetings and who are re-nominated for election at such annual meeting by the Board and</w:t>
      </w:r>
    </w:p>
    <w:p>
      <w:pPr>
        <w:spacing w:after="0" w:line="214" w:lineRule="exact"/>
        <w:rPr>
          <w:rFonts w:ascii="Arial" w:cs="Arial" w:eastAsia="Arial" w:hAnsi="Arial"/>
          <w:sz w:val="22"/>
          <w:szCs w:val="22"/>
          <w:color w:val="auto"/>
        </w:rPr>
      </w:pPr>
    </w:p>
    <w:p>
      <w:pPr>
        <w:ind w:left="420" w:firstLine="479"/>
        <w:spacing w:after="0" w:line="251" w:lineRule="auto"/>
        <w:tabs>
          <w:tab w:leader="none" w:pos="1260" w:val="left"/>
        </w:tabs>
        <w:numPr>
          <w:ilvl w:val="1"/>
          <w:numId w:val="39"/>
        </w:numPr>
        <w:rPr>
          <w:rFonts w:ascii="Arial" w:cs="Arial" w:eastAsia="Arial" w:hAnsi="Arial"/>
          <w:sz w:val="22"/>
          <w:szCs w:val="22"/>
          <w:color w:val="auto"/>
        </w:rPr>
      </w:pPr>
      <w:r>
        <w:rPr>
          <w:rFonts w:ascii="Arial" w:cs="Arial" w:eastAsia="Arial" w:hAnsi="Arial"/>
          <w:sz w:val="22"/>
          <w:szCs w:val="22"/>
          <w:color w:val="auto"/>
        </w:rPr>
        <w:t>any Stockholder Nominee who was qualified for inclusion in the Corporation’s proxy materials for such annual meeting but whose nomination is subsequently withdrawn,</w:t>
      </w:r>
    </w:p>
    <w:p>
      <w:pPr>
        <w:spacing w:after="0" w:line="200"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rPr>
        <w:t xml:space="preserve">shall not exceed the greater of (x) two or (y) 20% of the number of directors in office as of the last day on which a Stockholder Notice may be delivered pursuant to this Section 4 with respect to such annual meeting, or if such amount is not a whole number, the closest whole number below 20% ;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if there is a vacancy on the Board and the number of directors is decreased prior to such annual meeting, then the 20% of the number of directors shall be calculated based on the number of directors in office as of the date of such decrease in the number of directors. In the event that the number of Stockholder Nominees submitted by Eligible Stockholders pursuant to this Section 4 exceeds this maximum number, each Eligible Stockholder will select one Stockholder Nominee for inclusion in the Corporation’s proxy materials until the maximum number is reached, going in order of the number (largest to smallest) of shares of the Corporation each Eligible Stockholder disclosed as Owned in its respective Stockholder Notice submitted to the Corporation. If the maximum number is not reached after each Eligible Stockholder has selected one Stockholder Nominee, this selection</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2" w:right="239" w:bottom="1440" w:gutter="0" w:footer="0" w:header="0"/>
        </w:sectPr>
      </w:pPr>
    </w:p>
    <w:bookmarkStart w:id="66" w:name="page67"/>
    <w:bookmarkEnd w:id="66"/>
    <w:p>
      <w:pPr>
        <w:spacing w:after="0"/>
        <w:rPr>
          <w:sz w:val="20"/>
          <w:szCs w:val="20"/>
          <w:color w:val="auto"/>
        </w:rPr>
      </w:pPr>
      <w:r>
        <w:rPr>
          <w:rFonts w:ascii="Arial" w:cs="Arial" w:eastAsia="Arial" w:hAnsi="Arial"/>
          <w:sz w:val="19"/>
          <w:szCs w:val="19"/>
          <w:color w:val="auto"/>
        </w:rPr>
        <w:t>process will continue as many times as necessary, following the same order each time, until the maximum number is reached.</w:t>
      </w:r>
    </w:p>
    <w:p>
      <w:pPr>
        <w:spacing w:after="0" w:line="268" w:lineRule="exact"/>
        <w:rPr>
          <w:sz w:val="20"/>
          <w:szCs w:val="20"/>
          <w:color w:val="auto"/>
        </w:rPr>
      </w:pPr>
    </w:p>
    <w:p>
      <w:pPr>
        <w:jc w:val="both"/>
        <w:ind w:firstLine="448"/>
        <w:spacing w:after="0" w:line="238" w:lineRule="auto"/>
        <w:tabs>
          <w:tab w:leader="none" w:pos="792" w:val="left"/>
        </w:tabs>
        <w:numPr>
          <w:ilvl w:val="0"/>
          <w:numId w:val="40"/>
        </w:numPr>
        <w:rPr>
          <w:rFonts w:ascii="Arial" w:cs="Arial" w:eastAsia="Arial" w:hAnsi="Arial"/>
          <w:sz w:val="22"/>
          <w:szCs w:val="22"/>
          <w:color w:val="auto"/>
        </w:rPr>
      </w:pPr>
      <w:r>
        <w:rPr>
          <w:rFonts w:ascii="Arial" w:cs="Arial" w:eastAsia="Arial" w:hAnsi="Arial"/>
          <w:sz w:val="22"/>
          <w:szCs w:val="22"/>
          <w:color w:val="auto"/>
        </w:rPr>
        <w:t>Any Stockholder Nominee who is included in the Corporation’s proxy materials for a particular annual meeting of stockholders but either (i) withdraws from or becomes ineligible or unavailable for election at the annual meeting, or (ii) does not receive at least 25% of the votes cast in favor of the Stockholder Nominee’s election, will be ineligible to be a Stockholder Nominee pursuant to this Section 4 for the next two annual meetings.</w:t>
      </w:r>
    </w:p>
    <w:p>
      <w:pPr>
        <w:spacing w:after="0" w:line="212" w:lineRule="exact"/>
        <w:rPr>
          <w:sz w:val="20"/>
          <w:szCs w:val="20"/>
          <w:color w:val="auto"/>
        </w:rPr>
      </w:pPr>
    </w:p>
    <w:p>
      <w:pPr>
        <w:jc w:val="both"/>
        <w:ind w:firstLine="324"/>
        <w:spacing w:after="0" w:line="247" w:lineRule="auto"/>
        <w:rPr>
          <w:sz w:val="20"/>
          <w:szCs w:val="20"/>
          <w:color w:val="auto"/>
        </w:rPr>
      </w:pPr>
      <w:r>
        <w:rPr>
          <w:rFonts w:ascii="Arial" w:cs="Arial" w:eastAsia="Arial" w:hAnsi="Arial"/>
          <w:sz w:val="21"/>
          <w:szCs w:val="21"/>
          <w:color w:val="auto"/>
        </w:rPr>
        <w:t xml:space="preserve">SECTION 5. </w:t>
      </w:r>
      <w:r>
        <w:rPr>
          <w:rFonts w:ascii="Arial" w:cs="Arial" w:eastAsia="Arial" w:hAnsi="Arial"/>
          <w:sz w:val="21"/>
          <w:szCs w:val="21"/>
          <w:b w:val="1"/>
          <w:bCs w:val="1"/>
          <w:i w:val="1"/>
          <w:iCs w:val="1"/>
          <w:color w:val="auto"/>
        </w:rPr>
        <w:t>Submission of Questionnaire, Representation and Agreement.</w:t>
      </w:r>
      <w:r>
        <w:rPr>
          <w:rFonts w:ascii="Arial" w:cs="Arial" w:eastAsia="Arial" w:hAnsi="Arial"/>
          <w:sz w:val="21"/>
          <w:szCs w:val="21"/>
          <w:color w:val="auto"/>
        </w:rPr>
        <w:t xml:space="preserve"> To be eligible to be a nominee for election or reelection as a director of the Corporation by a stockholder or Eligible Stockholder, a person must complete and deliver (in accordance with the time periods prescribed for delivery of notice under Section 3 or 4, whichever is applicable) to the Secretary at the principal executive offices of the Corporation a written questionnaire providing the information requested about the background and qualifications of such person and the background of any other person or entity on whose behalf the nomination is being made and a written representation and agreement (the questionnaire, representation, and agreement to be in the form provided by the Secretary upon written request) that such person:</w:t>
      </w:r>
    </w:p>
    <w:p>
      <w:pPr>
        <w:spacing w:after="0" w:line="205" w:lineRule="exact"/>
        <w:rPr>
          <w:sz w:val="20"/>
          <w:szCs w:val="20"/>
          <w:color w:val="auto"/>
        </w:rPr>
      </w:pPr>
    </w:p>
    <w:p>
      <w:pPr>
        <w:ind w:left="740" w:hanging="292"/>
        <w:spacing w:after="0"/>
        <w:tabs>
          <w:tab w:leader="none" w:pos="740" w:val="left"/>
        </w:tabs>
        <w:numPr>
          <w:ilvl w:val="0"/>
          <w:numId w:val="41"/>
        </w:numPr>
        <w:rPr>
          <w:rFonts w:ascii="Arial" w:cs="Arial" w:eastAsia="Arial" w:hAnsi="Arial"/>
          <w:sz w:val="22"/>
          <w:szCs w:val="22"/>
          <w:color w:val="auto"/>
        </w:rPr>
      </w:pPr>
      <w:r>
        <w:rPr>
          <w:rFonts w:ascii="Arial" w:cs="Arial" w:eastAsia="Arial" w:hAnsi="Arial"/>
          <w:sz w:val="22"/>
          <w:szCs w:val="22"/>
          <w:color w:val="auto"/>
        </w:rPr>
        <w:t>is not and will not become a party to:</w:t>
      </w:r>
    </w:p>
    <w:p>
      <w:pPr>
        <w:spacing w:after="0" w:line="233" w:lineRule="exact"/>
        <w:rPr>
          <w:rFonts w:ascii="Arial" w:cs="Arial" w:eastAsia="Arial" w:hAnsi="Arial"/>
          <w:sz w:val="22"/>
          <w:szCs w:val="22"/>
          <w:color w:val="auto"/>
        </w:rPr>
      </w:pPr>
    </w:p>
    <w:p>
      <w:pPr>
        <w:jc w:val="both"/>
        <w:ind w:left="880" w:firstLine="9"/>
        <w:spacing w:after="0"/>
        <w:tabs>
          <w:tab w:leader="none" w:pos="1143" w:val="left"/>
        </w:tabs>
        <w:numPr>
          <w:ilvl w:val="1"/>
          <w:numId w:val="41"/>
        </w:numPr>
        <w:rPr>
          <w:rFonts w:ascii="Arial" w:cs="Arial" w:eastAsia="Arial" w:hAnsi="Arial"/>
          <w:sz w:val="22"/>
          <w:szCs w:val="22"/>
          <w:color w:val="auto"/>
        </w:rPr>
      </w:pPr>
      <w:r>
        <w:rPr>
          <w:rFonts w:ascii="Arial" w:cs="Arial" w:eastAsia="Arial" w:hAnsi="Arial"/>
          <w:sz w:val="22"/>
          <w:szCs w:val="22"/>
          <w:color w:val="auto"/>
        </w:rPr>
        <w:t>any agreement, arrangement or understanding with, and has not given any commitment or assurance to, any person or entity as to how the person, if elected as a director of the Corporation, will act or vote on any issue or question (a “</w:t>
      </w:r>
      <w:r>
        <w:rPr>
          <w:rFonts w:ascii="Arial" w:cs="Arial" w:eastAsia="Arial" w:hAnsi="Arial"/>
          <w:sz w:val="22"/>
          <w:szCs w:val="22"/>
          <w:b w:val="1"/>
          <w:bCs w:val="1"/>
          <w:color w:val="auto"/>
        </w:rPr>
        <w:t>Voting</w:t>
      </w:r>
      <w:r>
        <w:rPr>
          <w:rFonts w:ascii="Arial" w:cs="Arial" w:eastAsia="Arial" w:hAnsi="Arial"/>
          <w:sz w:val="22"/>
          <w:szCs w:val="22"/>
          <w:color w:val="auto"/>
        </w:rPr>
        <w:t xml:space="preserve"> </w:t>
      </w:r>
      <w:r>
        <w:rPr>
          <w:rFonts w:ascii="Arial" w:cs="Arial" w:eastAsia="Arial" w:hAnsi="Arial"/>
          <w:sz w:val="22"/>
          <w:szCs w:val="22"/>
          <w:b w:val="1"/>
          <w:bCs w:val="1"/>
          <w:color w:val="auto"/>
        </w:rPr>
        <w:t>Commitment</w:t>
      </w:r>
      <w:r>
        <w:rPr>
          <w:rFonts w:ascii="Arial" w:cs="Arial" w:eastAsia="Arial" w:hAnsi="Arial"/>
          <w:sz w:val="22"/>
          <w:szCs w:val="22"/>
          <w:color w:val="auto"/>
        </w:rPr>
        <w:t>”) that has not been disclosed to the Corporation, or</w:t>
      </w:r>
    </w:p>
    <w:p>
      <w:pPr>
        <w:spacing w:after="0" w:line="213" w:lineRule="exact"/>
        <w:rPr>
          <w:rFonts w:ascii="Arial" w:cs="Arial" w:eastAsia="Arial" w:hAnsi="Arial"/>
          <w:sz w:val="22"/>
          <w:szCs w:val="22"/>
          <w:color w:val="auto"/>
        </w:rPr>
      </w:pPr>
    </w:p>
    <w:p>
      <w:pPr>
        <w:ind w:left="880" w:firstLine="9"/>
        <w:spacing w:after="0" w:line="251" w:lineRule="auto"/>
        <w:tabs>
          <w:tab w:leader="none" w:pos="1201" w:val="left"/>
        </w:tabs>
        <w:numPr>
          <w:ilvl w:val="1"/>
          <w:numId w:val="41"/>
        </w:numPr>
        <w:rPr>
          <w:rFonts w:ascii="Arial" w:cs="Arial" w:eastAsia="Arial" w:hAnsi="Arial"/>
          <w:sz w:val="22"/>
          <w:szCs w:val="22"/>
          <w:color w:val="auto"/>
        </w:rPr>
      </w:pPr>
      <w:r>
        <w:rPr>
          <w:rFonts w:ascii="Arial" w:cs="Arial" w:eastAsia="Arial" w:hAnsi="Arial"/>
          <w:sz w:val="22"/>
          <w:szCs w:val="22"/>
          <w:color w:val="auto"/>
        </w:rPr>
        <w:t>any Voting Commitment that could limit or interfere with the person’s ability to comply, if elected as a director of the Corporation, with the person’s fiduciary duties under applicable law,</w:t>
      </w:r>
    </w:p>
    <w:p>
      <w:pPr>
        <w:spacing w:after="0" w:line="200" w:lineRule="exact"/>
        <w:rPr>
          <w:rFonts w:ascii="Arial" w:cs="Arial" w:eastAsia="Arial" w:hAnsi="Arial"/>
          <w:sz w:val="22"/>
          <w:szCs w:val="22"/>
          <w:color w:val="auto"/>
        </w:rPr>
      </w:pPr>
    </w:p>
    <w:p>
      <w:pPr>
        <w:jc w:val="both"/>
        <w:ind w:firstLine="448"/>
        <w:spacing w:after="0"/>
        <w:tabs>
          <w:tab w:leader="none" w:pos="747" w:val="left"/>
        </w:tabs>
        <w:numPr>
          <w:ilvl w:val="0"/>
          <w:numId w:val="41"/>
        </w:numPr>
        <w:rPr>
          <w:rFonts w:ascii="Arial" w:cs="Arial" w:eastAsia="Arial" w:hAnsi="Arial"/>
          <w:sz w:val="22"/>
          <w:szCs w:val="22"/>
          <w:color w:val="auto"/>
        </w:rPr>
      </w:pPr>
      <w:r>
        <w:rPr>
          <w:rFonts w:ascii="Arial" w:cs="Arial" w:eastAsia="Arial" w:hAnsi="Arial"/>
          <w:sz w:val="22"/>
          <w:szCs w:val="22"/>
          <w:color w:val="auto"/>
        </w:rPr>
        <w:t>is not and will not become a party to any agreement, arrangement or understanding with any person or entity other than the Corporation with respect to any direct or indirect compensation, reimbursement, or indemnification in connection with service or action as a director that has not been disclosed to the Corporation, and</w:t>
      </w:r>
    </w:p>
    <w:p>
      <w:pPr>
        <w:spacing w:after="0" w:line="213" w:lineRule="exact"/>
        <w:rPr>
          <w:rFonts w:ascii="Arial" w:cs="Arial" w:eastAsia="Arial" w:hAnsi="Arial"/>
          <w:sz w:val="22"/>
          <w:szCs w:val="22"/>
          <w:color w:val="auto"/>
        </w:rPr>
      </w:pPr>
    </w:p>
    <w:p>
      <w:pPr>
        <w:jc w:val="both"/>
        <w:ind w:firstLine="448"/>
        <w:spacing w:after="0" w:line="297" w:lineRule="auto"/>
        <w:tabs>
          <w:tab w:leader="none" w:pos="750" w:val="left"/>
        </w:tabs>
        <w:numPr>
          <w:ilvl w:val="0"/>
          <w:numId w:val="41"/>
        </w:numPr>
        <w:rPr>
          <w:rFonts w:ascii="Arial" w:cs="Arial" w:eastAsia="Arial" w:hAnsi="Arial"/>
          <w:sz w:val="19"/>
          <w:szCs w:val="19"/>
          <w:color w:val="auto"/>
        </w:rPr>
      </w:pPr>
      <w:r>
        <w:rPr>
          <w:rFonts w:ascii="Arial" w:cs="Arial" w:eastAsia="Arial" w:hAnsi="Arial"/>
          <w:sz w:val="19"/>
          <w:szCs w:val="19"/>
          <w:color w:val="auto"/>
        </w:rPr>
        <w:t>in the person’s individual capacity and on behalf of any person or entity on whose behalf the nomination is being made, would be in compliance, if elected as a director of the Corporation, and will comply with all applicable publicly disclosed corporate governance, conflict of interest, confidentiality, and stock ownership and trading policies and guidelines of the Corporation.</w:t>
      </w:r>
    </w:p>
    <w:p>
      <w:pPr>
        <w:spacing w:after="0" w:line="161" w:lineRule="exact"/>
        <w:rPr>
          <w:sz w:val="20"/>
          <w:szCs w:val="20"/>
          <w:color w:val="auto"/>
        </w:rPr>
      </w:pPr>
    </w:p>
    <w:p>
      <w:pPr>
        <w:jc w:val="both"/>
        <w:ind w:firstLine="324"/>
        <w:spacing w:after="0" w:line="328" w:lineRule="auto"/>
        <w:rPr>
          <w:sz w:val="20"/>
          <w:szCs w:val="20"/>
          <w:color w:val="auto"/>
        </w:rPr>
      </w:pPr>
      <w:r>
        <w:rPr>
          <w:rFonts w:ascii="Arial" w:cs="Arial" w:eastAsia="Arial" w:hAnsi="Arial"/>
          <w:sz w:val="19"/>
          <w:szCs w:val="19"/>
          <w:color w:val="auto"/>
        </w:rPr>
        <w:t xml:space="preserve">SECTION 6. </w:t>
      </w:r>
      <w:r>
        <w:rPr>
          <w:rFonts w:ascii="Arial" w:cs="Arial" w:eastAsia="Arial" w:hAnsi="Arial"/>
          <w:sz w:val="19"/>
          <w:szCs w:val="19"/>
          <w:b w:val="1"/>
          <w:bCs w:val="1"/>
          <w:i w:val="1"/>
          <w:iCs w:val="1"/>
          <w:color w:val="auto"/>
        </w:rPr>
        <w:t>Place of Meetings</w:t>
      </w:r>
      <w:r>
        <w:rPr>
          <w:rFonts w:ascii="Arial" w:cs="Arial" w:eastAsia="Arial" w:hAnsi="Arial"/>
          <w:sz w:val="19"/>
          <w:szCs w:val="19"/>
          <w:color w:val="auto"/>
        </w:rPr>
        <w:t>. Meetings of the Board shall be held at such place, within or without the State of Delaware, as the Board may from time to time determine or as shall be specified or fixed in the notice or waiver of notice of any such meeting.</w:t>
      </w:r>
    </w:p>
    <w:p>
      <w:pPr>
        <w:spacing w:after="0" w:line="132" w:lineRule="exact"/>
        <w:rPr>
          <w:sz w:val="20"/>
          <w:szCs w:val="20"/>
          <w:color w:val="auto"/>
        </w:rPr>
      </w:pPr>
    </w:p>
    <w:p>
      <w:pPr>
        <w:jc w:val="both"/>
        <w:ind w:firstLine="324"/>
        <w:spacing w:after="0"/>
        <w:rPr>
          <w:sz w:val="20"/>
          <w:szCs w:val="20"/>
          <w:color w:val="auto"/>
        </w:rPr>
      </w:pPr>
      <w:r>
        <w:rPr>
          <w:rFonts w:ascii="Arial" w:cs="Arial" w:eastAsia="Arial" w:hAnsi="Arial"/>
          <w:sz w:val="22"/>
          <w:szCs w:val="22"/>
          <w:color w:val="auto"/>
        </w:rPr>
        <w:t xml:space="preserve">SECTION 7. </w:t>
      </w:r>
      <w:r>
        <w:rPr>
          <w:rFonts w:ascii="Arial" w:cs="Arial" w:eastAsia="Arial" w:hAnsi="Arial"/>
          <w:sz w:val="22"/>
          <w:szCs w:val="22"/>
          <w:b w:val="1"/>
          <w:bCs w:val="1"/>
          <w:i w:val="1"/>
          <w:iCs w:val="1"/>
          <w:color w:val="auto"/>
        </w:rPr>
        <w:t>Regular Meetings</w:t>
      </w:r>
      <w:r>
        <w:rPr>
          <w:rFonts w:ascii="Arial" w:cs="Arial" w:eastAsia="Arial" w:hAnsi="Arial"/>
          <w:sz w:val="22"/>
          <w:szCs w:val="22"/>
          <w:color w:val="auto"/>
        </w:rPr>
        <w:t>. Regular meetings of the Board shall be held in accordance with a yearly meeting schedule as determined by the Board; or such meetings may be held on such other days and at such other times as the Board may from time to time determine. Notice</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2" w:right="239" w:bottom="1440" w:gutter="0" w:footer="0" w:header="0"/>
        </w:sectPr>
      </w:pPr>
    </w:p>
    <w:bookmarkStart w:id="67" w:name="page68"/>
    <w:bookmarkEnd w:id="67"/>
    <w:p>
      <w:pPr>
        <w:spacing w:after="0"/>
        <w:rPr>
          <w:sz w:val="20"/>
          <w:szCs w:val="20"/>
          <w:color w:val="auto"/>
        </w:rPr>
      </w:pPr>
      <w:r>
        <w:rPr>
          <w:rFonts w:ascii="Arial" w:cs="Arial" w:eastAsia="Arial" w:hAnsi="Arial"/>
          <w:sz w:val="22"/>
          <w:szCs w:val="22"/>
          <w:color w:val="auto"/>
        </w:rPr>
        <w:t>of regular meetings of the Board need not be given except as otherwise required by these By-laws.</w:t>
      </w:r>
    </w:p>
    <w:p>
      <w:pPr>
        <w:spacing w:after="0" w:line="233" w:lineRule="exact"/>
        <w:rPr>
          <w:sz w:val="20"/>
          <w:szCs w:val="20"/>
          <w:color w:val="auto"/>
        </w:rPr>
      </w:pPr>
    </w:p>
    <w:p>
      <w:pPr>
        <w:jc w:val="both"/>
        <w:ind w:firstLine="324"/>
        <w:spacing w:after="0"/>
        <w:rPr>
          <w:sz w:val="20"/>
          <w:szCs w:val="20"/>
          <w:color w:val="auto"/>
        </w:rPr>
      </w:pPr>
      <w:r>
        <w:rPr>
          <w:rFonts w:ascii="Arial" w:cs="Arial" w:eastAsia="Arial" w:hAnsi="Arial"/>
          <w:sz w:val="22"/>
          <w:szCs w:val="22"/>
          <w:color w:val="auto"/>
        </w:rPr>
        <w:t xml:space="preserve">SECTION 8. </w:t>
      </w:r>
      <w:r>
        <w:rPr>
          <w:rFonts w:ascii="Arial" w:cs="Arial" w:eastAsia="Arial" w:hAnsi="Arial"/>
          <w:sz w:val="22"/>
          <w:szCs w:val="22"/>
          <w:b w:val="1"/>
          <w:bCs w:val="1"/>
          <w:i w:val="1"/>
          <w:iCs w:val="1"/>
          <w:color w:val="auto"/>
        </w:rPr>
        <w:t>Special Meetings</w:t>
      </w:r>
      <w:r>
        <w:rPr>
          <w:rFonts w:ascii="Arial" w:cs="Arial" w:eastAsia="Arial" w:hAnsi="Arial"/>
          <w:sz w:val="22"/>
          <w:szCs w:val="22"/>
          <w:color w:val="auto"/>
        </w:rPr>
        <w:t>. Special meetings of the Board may be called by the Chairman, the Chief Executive Officer, the Lead Director of the Board, the Chair of the Corporate Governance and Responsibility Committee of the Board or the Secretary at the request of any two independent directors.</w:t>
      </w:r>
    </w:p>
    <w:p>
      <w:pPr>
        <w:spacing w:after="0" w:line="213" w:lineRule="exact"/>
        <w:rPr>
          <w:sz w:val="20"/>
          <w:szCs w:val="20"/>
          <w:color w:val="auto"/>
        </w:rPr>
      </w:pPr>
    </w:p>
    <w:p>
      <w:pPr>
        <w:jc w:val="both"/>
        <w:ind w:firstLine="324"/>
        <w:spacing w:after="0" w:line="236" w:lineRule="auto"/>
        <w:rPr>
          <w:sz w:val="20"/>
          <w:szCs w:val="20"/>
          <w:color w:val="auto"/>
        </w:rPr>
      </w:pPr>
      <w:r>
        <w:rPr>
          <w:rFonts w:ascii="Arial" w:cs="Arial" w:eastAsia="Arial" w:hAnsi="Arial"/>
          <w:sz w:val="22"/>
          <w:szCs w:val="22"/>
          <w:color w:val="auto"/>
        </w:rPr>
        <w:t xml:space="preserve">SECTION 9. </w:t>
      </w:r>
      <w:r>
        <w:rPr>
          <w:rFonts w:ascii="Arial" w:cs="Arial" w:eastAsia="Arial" w:hAnsi="Arial"/>
          <w:sz w:val="22"/>
          <w:szCs w:val="22"/>
          <w:b w:val="1"/>
          <w:bCs w:val="1"/>
          <w:i w:val="1"/>
          <w:iCs w:val="1"/>
          <w:color w:val="auto"/>
        </w:rPr>
        <w:t>Notice of Meetings.</w:t>
      </w:r>
      <w:r>
        <w:rPr>
          <w:rFonts w:ascii="Arial" w:cs="Arial" w:eastAsia="Arial" w:hAnsi="Arial"/>
          <w:sz w:val="22"/>
          <w:szCs w:val="22"/>
          <w:color w:val="auto"/>
        </w:rPr>
        <w:t xml:space="preserve"> Notice of each special meeting of the Board (and of each regular meeting for which notice shall be required), stating the time, place and purposes thereof, shall be mailed to each director, addressed to him or her at his or her residence or usual place of business, or shall be sent to him or her by electronic transmission so addressed, or shall be given personally or by telephone, on 24 hours notice or such shorter notice as the person or persons calling such meeting may deem necessary or appropriate in the circumstances.</w:t>
      </w:r>
    </w:p>
    <w:p>
      <w:pPr>
        <w:spacing w:after="0" w:line="215" w:lineRule="exact"/>
        <w:rPr>
          <w:sz w:val="20"/>
          <w:szCs w:val="20"/>
          <w:color w:val="auto"/>
        </w:rPr>
      </w:pPr>
    </w:p>
    <w:p>
      <w:pPr>
        <w:jc w:val="both"/>
        <w:ind w:firstLine="324"/>
        <w:spacing w:after="0" w:line="245" w:lineRule="auto"/>
        <w:rPr>
          <w:sz w:val="20"/>
          <w:szCs w:val="20"/>
          <w:color w:val="auto"/>
        </w:rPr>
      </w:pPr>
      <w:r>
        <w:rPr>
          <w:rFonts w:ascii="Arial" w:cs="Arial" w:eastAsia="Arial" w:hAnsi="Arial"/>
          <w:sz w:val="21"/>
          <w:szCs w:val="21"/>
          <w:color w:val="auto"/>
        </w:rPr>
        <w:t xml:space="preserve">SECTION 10. </w:t>
      </w:r>
      <w:r>
        <w:rPr>
          <w:rFonts w:ascii="Arial" w:cs="Arial" w:eastAsia="Arial" w:hAnsi="Arial"/>
          <w:sz w:val="21"/>
          <w:szCs w:val="21"/>
          <w:b w:val="1"/>
          <w:bCs w:val="1"/>
          <w:i w:val="1"/>
          <w:iCs w:val="1"/>
          <w:color w:val="auto"/>
        </w:rPr>
        <w:t>Quorum and Manner of Acting</w:t>
      </w:r>
      <w:r>
        <w:rPr>
          <w:rFonts w:ascii="Arial" w:cs="Arial" w:eastAsia="Arial" w:hAnsi="Arial"/>
          <w:sz w:val="21"/>
          <w:szCs w:val="21"/>
          <w:color w:val="auto"/>
        </w:rPr>
        <w:t>. The presence of at least a majority of the authorized number of directors shall constitute a quorum for the transaction of business at any meeting of the Board. If a quorum shall not be present at any meeting of the Board, a majority of the directors present thereat may adjourn the meeting from time to time, without notice other than announcement at the meeting, until a quorum shall be present. Except where a different vote is required by law or the Certificate of Incorporation or these By-laws, the vote of a majority of the directors present at a meeting at which a quorum is present shall be the act of the Board. Any action required or permitted to be taken by the Board may be taken without a meeting if all the directors consent thereto in writing and the writing or writings are filed with the minutes of proceedings of the Board. Any one or more directors may participate in any meeting of the Board by means of conference telephone or similar communications equipment by means of which all persons participating in the meeting can hear each other. Participation by such means shall constitute presence in person at a meeting of the Board.</w:t>
      </w:r>
    </w:p>
    <w:p>
      <w:pPr>
        <w:spacing w:after="0" w:line="209" w:lineRule="exact"/>
        <w:rPr>
          <w:sz w:val="20"/>
          <w:szCs w:val="20"/>
          <w:color w:val="auto"/>
        </w:rPr>
      </w:pPr>
    </w:p>
    <w:p>
      <w:pPr>
        <w:jc w:val="both"/>
        <w:ind w:right="20" w:firstLine="324"/>
        <w:spacing w:after="0"/>
        <w:rPr>
          <w:sz w:val="20"/>
          <w:szCs w:val="20"/>
          <w:color w:val="auto"/>
        </w:rPr>
      </w:pPr>
      <w:r>
        <w:rPr>
          <w:rFonts w:ascii="Arial" w:cs="Arial" w:eastAsia="Arial" w:hAnsi="Arial"/>
          <w:sz w:val="22"/>
          <w:szCs w:val="22"/>
          <w:color w:val="auto"/>
        </w:rPr>
        <w:t xml:space="preserve">SECTION 11. </w:t>
      </w:r>
      <w:r>
        <w:rPr>
          <w:rFonts w:ascii="Arial" w:cs="Arial" w:eastAsia="Arial" w:hAnsi="Arial"/>
          <w:sz w:val="22"/>
          <w:szCs w:val="22"/>
          <w:b w:val="1"/>
          <w:bCs w:val="1"/>
          <w:i w:val="1"/>
          <w:iCs w:val="1"/>
          <w:color w:val="auto"/>
        </w:rPr>
        <w:t>Resignation</w:t>
      </w:r>
      <w:r>
        <w:rPr>
          <w:rFonts w:ascii="Arial" w:cs="Arial" w:eastAsia="Arial" w:hAnsi="Arial"/>
          <w:sz w:val="22"/>
          <w:szCs w:val="22"/>
          <w:color w:val="auto"/>
        </w:rPr>
        <w:t>. Any director may resign at any time by giving written notice to the Chairman of the Board, the Chief Executive Officer or the Secretary, which notice shall be deemed to constitute notice to the Corporation. Such resignation shall take effect upon receipt of such notice or at any later time specified therein.</w:t>
      </w:r>
    </w:p>
    <w:p>
      <w:pPr>
        <w:spacing w:after="0" w:line="213" w:lineRule="exact"/>
        <w:rPr>
          <w:sz w:val="20"/>
          <w:szCs w:val="20"/>
          <w:color w:val="auto"/>
        </w:rPr>
      </w:pPr>
    </w:p>
    <w:p>
      <w:pPr>
        <w:jc w:val="both"/>
        <w:ind w:firstLine="324"/>
        <w:spacing w:after="0"/>
        <w:rPr>
          <w:sz w:val="20"/>
          <w:szCs w:val="20"/>
          <w:color w:val="auto"/>
        </w:rPr>
      </w:pPr>
      <w:r>
        <w:rPr>
          <w:rFonts w:ascii="Arial" w:cs="Arial" w:eastAsia="Arial" w:hAnsi="Arial"/>
          <w:sz w:val="22"/>
          <w:szCs w:val="22"/>
          <w:color w:val="auto"/>
        </w:rPr>
        <w:t xml:space="preserve">SECTION 12. </w:t>
      </w:r>
      <w:r>
        <w:rPr>
          <w:rFonts w:ascii="Arial" w:cs="Arial" w:eastAsia="Arial" w:hAnsi="Arial"/>
          <w:sz w:val="22"/>
          <w:szCs w:val="22"/>
          <w:b w:val="1"/>
          <w:bCs w:val="1"/>
          <w:i w:val="1"/>
          <w:iCs w:val="1"/>
          <w:color w:val="auto"/>
        </w:rPr>
        <w:t>Removal of Directors</w:t>
      </w:r>
      <w:r>
        <w:rPr>
          <w:rFonts w:ascii="Arial" w:cs="Arial" w:eastAsia="Arial" w:hAnsi="Arial"/>
          <w:sz w:val="22"/>
          <w:szCs w:val="22"/>
          <w:color w:val="auto"/>
        </w:rPr>
        <w:t>. Subject to the rights of the holders of Preferred Stock, any director may be removed from office, with or without cause, by the affirmative vote of the holders of a majority of the voting power of all shares of the Corporation entitled to vote generally in the election of directors, voting together as a single class.</w:t>
      </w:r>
    </w:p>
    <w:p>
      <w:pPr>
        <w:spacing w:after="0" w:line="213"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9"/>
          <w:szCs w:val="19"/>
          <w:color w:val="auto"/>
        </w:rPr>
        <w:t xml:space="preserve">SECTION 13. </w:t>
      </w:r>
      <w:r>
        <w:rPr>
          <w:rFonts w:ascii="Arial" w:cs="Arial" w:eastAsia="Arial" w:hAnsi="Arial"/>
          <w:sz w:val="19"/>
          <w:szCs w:val="19"/>
          <w:b w:val="1"/>
          <w:bCs w:val="1"/>
          <w:i w:val="1"/>
          <w:iCs w:val="1"/>
          <w:color w:val="auto"/>
        </w:rPr>
        <w:t>Compensation of Directors</w:t>
      </w:r>
      <w:r>
        <w:rPr>
          <w:rFonts w:ascii="Arial" w:cs="Arial" w:eastAsia="Arial" w:hAnsi="Arial"/>
          <w:sz w:val="19"/>
          <w:szCs w:val="19"/>
          <w:color w:val="auto"/>
        </w:rPr>
        <w:t>. The Board may provide for the payment to any of the directors, other than officers or employees of the Corporation, of a specified amount for services as a director or member of a committee of the Board, or of a specified amount for attendance at each regular or special Board meeting or committee meeting, or of both, and all directors shall be reimbursed for expenses of attendance at any such meeting; provided, however, that nothing herein contained shall be construed to preclude any director from serving the Corporation in any other capacity and receiving compensation therefor.</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2" w:right="239" w:bottom="1440" w:gutter="0" w:footer="0" w:header="0"/>
        </w:sectPr>
      </w:pPr>
    </w:p>
    <w:bookmarkStart w:id="68" w:name="page69"/>
    <w:bookmarkEnd w:id="68"/>
    <w:p>
      <w:pPr>
        <w:jc w:val="center"/>
        <w:spacing w:after="0"/>
        <w:rPr>
          <w:sz w:val="20"/>
          <w:szCs w:val="20"/>
          <w:color w:val="auto"/>
        </w:rPr>
      </w:pPr>
      <w:r>
        <w:rPr>
          <w:rFonts w:ascii="Arial" w:cs="Arial" w:eastAsia="Arial" w:hAnsi="Arial"/>
          <w:sz w:val="22"/>
          <w:szCs w:val="22"/>
          <w:color w:val="auto"/>
        </w:rPr>
        <w:t>ARTICLE IV</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COMMITTEES OF THE BOARD</w:t>
      </w:r>
    </w:p>
    <w:p>
      <w:pPr>
        <w:spacing w:after="0" w:line="215"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9"/>
          <w:szCs w:val="19"/>
          <w:color w:val="auto"/>
        </w:rPr>
        <w:t xml:space="preserve">SECTION 1. </w:t>
      </w:r>
      <w:r>
        <w:rPr>
          <w:rFonts w:ascii="Arial" w:cs="Arial" w:eastAsia="Arial" w:hAnsi="Arial"/>
          <w:sz w:val="19"/>
          <w:szCs w:val="19"/>
          <w:b w:val="1"/>
          <w:bCs w:val="1"/>
          <w:i w:val="1"/>
          <w:iCs w:val="1"/>
          <w:color w:val="auto"/>
        </w:rPr>
        <w:t>Appointment and Powers of Audit Committee</w:t>
      </w:r>
      <w:r>
        <w:rPr>
          <w:rFonts w:ascii="Arial" w:cs="Arial" w:eastAsia="Arial" w:hAnsi="Arial"/>
          <w:sz w:val="19"/>
          <w:szCs w:val="19"/>
          <w:color w:val="auto"/>
        </w:rPr>
        <w:t>. The Board shall, by resolution adopted by the affirmative vote of a majority of the authorized number of directors, designate an Audit Committee of the Board, which shall consist of such number of directors as the Board may determine and shall be comprised solely of directors independent of management and free from any relationship that, in the opinion of the Board, would interfere with the exercise of independent judgment as a committee member. The Audit Committee shall (i) make recommendations to the Board as to the independent accountants to be appointed by the Board; (ii) review with the independent accountants the scope of their examination; (iii) receive the reports of the independent accountants and meet with representatives of such accountants for the purpose of reviewing and considering questions relating to their examination and such reports; (iv) review, either directly or through the independent accountants, the internal accounting and auditing procedures of the Corporation and (v) perform such other functions as may be assigned to it from time to time by the Board. The Audit Committee may determine its manner of acting and fix the time and place of its meetings, unless the Board shall otherwise provide. A majority of the members of the Audit Committee shall constitute a quorum for the transaction of business by the committee and the vote of a majority of the members of the committee present at a meeting at which a quorum is present shall be the act of the committee.</w:t>
      </w:r>
    </w:p>
    <w:p>
      <w:pPr>
        <w:spacing w:after="0" w:line="200" w:lineRule="exact"/>
        <w:rPr>
          <w:sz w:val="20"/>
          <w:szCs w:val="20"/>
          <w:color w:val="auto"/>
        </w:rPr>
      </w:pPr>
    </w:p>
    <w:p>
      <w:pPr>
        <w:spacing w:after="0" w:line="232"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9"/>
          <w:szCs w:val="19"/>
          <w:color w:val="auto"/>
        </w:rPr>
        <w:t xml:space="preserve">SECTION 2. </w:t>
      </w:r>
      <w:r>
        <w:rPr>
          <w:rFonts w:ascii="Arial" w:cs="Arial" w:eastAsia="Arial" w:hAnsi="Arial"/>
          <w:sz w:val="19"/>
          <w:szCs w:val="19"/>
          <w:b w:val="1"/>
          <w:bCs w:val="1"/>
          <w:i w:val="1"/>
          <w:iCs w:val="1"/>
          <w:color w:val="auto"/>
        </w:rPr>
        <w:t>Other Committees</w:t>
      </w:r>
      <w:r>
        <w:rPr>
          <w:rFonts w:ascii="Arial" w:cs="Arial" w:eastAsia="Arial" w:hAnsi="Arial"/>
          <w:sz w:val="19"/>
          <w:szCs w:val="19"/>
          <w:color w:val="auto"/>
        </w:rPr>
        <w:t>. The Board may, by the affirmative vote of a majority of the authorized number of directors, designate members of the Board to constitute an Executive Committee, a Management Development and Compensation Committee and other committees of the Board, which shall in each case consist of such number of directors as the Board may determine, and shall have and may exercise, to the extent permitted by law, such powers and authority as the Board may by resolution delegate to them and may authorize the seal of the Corporation to be affixed to all papers which require it. Each such committee may determine its manner of acting and fix the time and place of its meetings, unless the Board shall otherwise provide. A majority of the members of any such committee shall constitute a quorum for the transaction of business by the committee and the vote of a majority of the members of such committee present at a meeting at which a quorum is present shall be the act of the committee.</w:t>
      </w:r>
    </w:p>
    <w:p>
      <w:pPr>
        <w:spacing w:after="0" w:line="18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9"/>
          <w:szCs w:val="19"/>
          <w:color w:val="auto"/>
        </w:rPr>
        <w:t xml:space="preserve">SECTION 3. </w:t>
      </w:r>
      <w:r>
        <w:rPr>
          <w:rFonts w:ascii="Arial" w:cs="Arial" w:eastAsia="Arial" w:hAnsi="Arial"/>
          <w:sz w:val="19"/>
          <w:szCs w:val="19"/>
          <w:b w:val="1"/>
          <w:bCs w:val="1"/>
          <w:i w:val="1"/>
          <w:iCs w:val="1"/>
          <w:color w:val="auto"/>
        </w:rPr>
        <w:t>Action by Consent; Participation by Telephone or Similar Equipment</w:t>
      </w:r>
      <w:r>
        <w:rPr>
          <w:rFonts w:ascii="Arial" w:cs="Arial" w:eastAsia="Arial" w:hAnsi="Arial"/>
          <w:sz w:val="19"/>
          <w:szCs w:val="19"/>
          <w:color w:val="auto"/>
        </w:rPr>
        <w:t>. Unless the Board shall otherwise provide, any action required or permitted to be taken by any committee may be taken without a meeting if all members of the committee consent thereto in writing and the writing or writings are filed with the minutes of proceedings of the committee. Unless the Board shall otherwise provide, any one or more members of any committee may participate in any meeting of the committee by means of conference telephone or similar communications equipment by means of which all persons participating in the meeting can hear each other. Participation by such means shall constitute presence in person at a meeting of the committee.</w:t>
      </w:r>
    </w:p>
    <w:p>
      <w:pPr>
        <w:spacing w:after="0" w:line="178" w:lineRule="exact"/>
        <w:rPr>
          <w:sz w:val="20"/>
          <w:szCs w:val="20"/>
          <w:color w:val="auto"/>
        </w:rPr>
      </w:pPr>
    </w:p>
    <w:p>
      <w:pPr>
        <w:jc w:val="both"/>
        <w:ind w:firstLine="324"/>
        <w:spacing w:after="0"/>
        <w:rPr>
          <w:sz w:val="20"/>
          <w:szCs w:val="20"/>
          <w:color w:val="auto"/>
        </w:rPr>
      </w:pPr>
      <w:r>
        <w:rPr>
          <w:rFonts w:ascii="Arial" w:cs="Arial" w:eastAsia="Arial" w:hAnsi="Arial"/>
          <w:sz w:val="22"/>
          <w:szCs w:val="22"/>
          <w:color w:val="auto"/>
        </w:rPr>
        <w:t xml:space="preserve">SECTION 4. </w:t>
      </w:r>
      <w:r>
        <w:rPr>
          <w:rFonts w:ascii="Arial" w:cs="Arial" w:eastAsia="Arial" w:hAnsi="Arial"/>
          <w:sz w:val="22"/>
          <w:szCs w:val="22"/>
          <w:b w:val="1"/>
          <w:bCs w:val="1"/>
          <w:i w:val="1"/>
          <w:iCs w:val="1"/>
          <w:color w:val="auto"/>
        </w:rPr>
        <w:t>Changes in Committees; Resignations; Removals</w:t>
      </w:r>
      <w:r>
        <w:rPr>
          <w:rFonts w:ascii="Arial" w:cs="Arial" w:eastAsia="Arial" w:hAnsi="Arial"/>
          <w:sz w:val="22"/>
          <w:szCs w:val="22"/>
          <w:color w:val="auto"/>
        </w:rPr>
        <w:t>. The Board shall have power, by the affirmative vote of a majority of the authorized number of directors, at any time to change the members of, to fill vacancies in, and to discharge any committee of the Board.</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2" w:right="239" w:bottom="1440" w:gutter="0" w:footer="0" w:header="0"/>
        </w:sectPr>
      </w:pPr>
    </w:p>
    <w:bookmarkStart w:id="69" w:name="page70"/>
    <w:bookmarkEnd w:id="69"/>
    <w:p>
      <w:pPr>
        <w:jc w:val="both"/>
        <w:spacing w:after="0" w:line="235" w:lineRule="auto"/>
        <w:rPr>
          <w:sz w:val="20"/>
          <w:szCs w:val="20"/>
          <w:color w:val="auto"/>
        </w:rPr>
      </w:pPr>
      <w:r>
        <w:rPr>
          <w:rFonts w:ascii="Arial" w:cs="Arial" w:eastAsia="Arial" w:hAnsi="Arial"/>
          <w:sz w:val="22"/>
          <w:szCs w:val="22"/>
          <w:color w:val="auto"/>
        </w:rPr>
        <w:t>Any member of any such committee may resign at any time by giving written notice to the Chairman of the Board, the Chief Executive Officer, the Chairman of such committee or the Secretary, which notice shall be deemed to constitute notice to the Corporation. Such resignation shall take effect upon receipt of such notice or at any later time specified therein. Any member of any such committee may be removed at any time, either with or without cause, by the affirmative vote of a majority of the authorized number of directors at any meeting of the Board, provided such removal shall have been referred to in the notice of such meeting.</w:t>
      </w:r>
    </w:p>
    <w:p>
      <w:pPr>
        <w:spacing w:after="0" w:line="215" w:lineRule="exact"/>
        <w:rPr>
          <w:sz w:val="20"/>
          <w:szCs w:val="20"/>
          <w:color w:val="auto"/>
        </w:rPr>
      </w:pPr>
    </w:p>
    <w:p>
      <w:pPr>
        <w:ind w:left="5160"/>
        <w:spacing w:after="0"/>
        <w:rPr>
          <w:sz w:val="20"/>
          <w:szCs w:val="20"/>
          <w:color w:val="auto"/>
        </w:rPr>
      </w:pPr>
      <w:r>
        <w:rPr>
          <w:rFonts w:ascii="Arial" w:cs="Arial" w:eastAsia="Arial" w:hAnsi="Arial"/>
          <w:sz w:val="22"/>
          <w:szCs w:val="22"/>
          <w:color w:val="auto"/>
        </w:rPr>
        <w:t>ARTICLE V</w:t>
      </w:r>
    </w:p>
    <w:p>
      <w:pPr>
        <w:spacing w:after="0" w:line="8" w:lineRule="exact"/>
        <w:rPr>
          <w:sz w:val="20"/>
          <w:szCs w:val="20"/>
          <w:color w:val="auto"/>
        </w:rPr>
      </w:pPr>
    </w:p>
    <w:p>
      <w:pPr>
        <w:ind w:left="5200"/>
        <w:spacing w:after="0"/>
        <w:rPr>
          <w:sz w:val="20"/>
          <w:szCs w:val="20"/>
          <w:color w:val="auto"/>
        </w:rPr>
      </w:pPr>
      <w:r>
        <w:rPr>
          <w:rFonts w:ascii="Arial" w:cs="Arial" w:eastAsia="Arial" w:hAnsi="Arial"/>
          <w:sz w:val="22"/>
          <w:szCs w:val="22"/>
          <w:color w:val="auto"/>
        </w:rPr>
        <w:t>OFFICERS</w:t>
      </w:r>
    </w:p>
    <w:p>
      <w:pPr>
        <w:spacing w:after="0" w:line="215"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9"/>
          <w:szCs w:val="19"/>
          <w:color w:val="auto"/>
        </w:rPr>
        <w:t xml:space="preserve">SECTION 1. </w:t>
      </w:r>
      <w:r>
        <w:rPr>
          <w:rFonts w:ascii="Arial" w:cs="Arial" w:eastAsia="Arial" w:hAnsi="Arial"/>
          <w:sz w:val="19"/>
          <w:szCs w:val="19"/>
          <w:b w:val="1"/>
          <w:bCs w:val="1"/>
          <w:i w:val="1"/>
          <w:iCs w:val="1"/>
          <w:color w:val="auto"/>
        </w:rPr>
        <w:t>Number and Qualifications</w:t>
      </w:r>
      <w:r>
        <w:rPr>
          <w:rFonts w:ascii="Arial" w:cs="Arial" w:eastAsia="Arial" w:hAnsi="Arial"/>
          <w:sz w:val="19"/>
          <w:szCs w:val="19"/>
          <w:color w:val="auto"/>
        </w:rPr>
        <w:t>. The officers of the Corporation may include a Chairman of the Board, Vice Chairman of the Board, Chief Executive Officer, President, one or more Vice Presidents, General Counsel, Treasurer, Secretary and Controller; provided, however, that any one or more of the foregoing offices may remain vacant from time to time, except as otherwise required by law. So far as practicable, the officers shall be elected annually on the day of the annual meeting of stockholders. Each officer shall hold office until the next annual election of officers and until his successor is elected and qualified, or until his death or retirement, or until he shall have resigned or been removed in the manner hereinafter provided. The same person may hold more than one office. The Chairman of the Board, the Vice Chairman of the Board, the Chief Executive Officer and the President shall be elected from among the directors. The Board may from time to time elect or appoint such other officers or agents as may be necessary or desirable for the business of the Corporation. Such other officers and agents shall have such titles and duties and shall hold their offices for such terms as may be prescribed by the Board. The Chief Executive Officer may appoint one or more Deputy, Associate or Assistant officers, or such other agents as may be necessary or desirable for the business of the Corporation. In case one or more Deputy, Associate or Assistant officers shall be appointed, the officer such appointee assists may delegate to him the authority to perform such of the officer’s duties as the officer may determine.</w:t>
      </w:r>
    </w:p>
    <w:p>
      <w:pPr>
        <w:spacing w:after="0" w:line="184" w:lineRule="exact"/>
        <w:rPr>
          <w:sz w:val="20"/>
          <w:szCs w:val="20"/>
          <w:color w:val="auto"/>
        </w:rPr>
      </w:pPr>
    </w:p>
    <w:p>
      <w:pPr>
        <w:jc w:val="both"/>
        <w:ind w:firstLine="324"/>
        <w:spacing w:after="0"/>
        <w:rPr>
          <w:sz w:val="20"/>
          <w:szCs w:val="20"/>
          <w:color w:val="auto"/>
        </w:rPr>
      </w:pPr>
      <w:r>
        <w:rPr>
          <w:rFonts w:ascii="Arial" w:cs="Arial" w:eastAsia="Arial" w:hAnsi="Arial"/>
          <w:sz w:val="22"/>
          <w:szCs w:val="22"/>
          <w:color w:val="auto"/>
        </w:rPr>
        <w:t xml:space="preserve">SECTION 2. </w:t>
      </w:r>
      <w:r>
        <w:rPr>
          <w:rFonts w:ascii="Arial" w:cs="Arial" w:eastAsia="Arial" w:hAnsi="Arial"/>
          <w:sz w:val="22"/>
          <w:szCs w:val="22"/>
          <w:b w:val="1"/>
          <w:bCs w:val="1"/>
          <w:i w:val="1"/>
          <w:iCs w:val="1"/>
          <w:color w:val="auto"/>
        </w:rPr>
        <w:t>Resignations</w:t>
      </w:r>
      <w:r>
        <w:rPr>
          <w:rFonts w:ascii="Arial" w:cs="Arial" w:eastAsia="Arial" w:hAnsi="Arial"/>
          <w:sz w:val="22"/>
          <w:szCs w:val="22"/>
          <w:color w:val="auto"/>
        </w:rPr>
        <w:t>. Any officer may resign at any time by giving written notice to the Chairman of the Board, the Chief Executive Officer or the Secretary, which notice shall be deemed to constitute notice to the Corporation. Such resignation shall take effect upon receipt of such notice or at any later time specified therein.</w:t>
      </w:r>
    </w:p>
    <w:p>
      <w:pPr>
        <w:spacing w:after="0" w:line="207" w:lineRule="exact"/>
        <w:rPr>
          <w:sz w:val="20"/>
          <w:szCs w:val="20"/>
          <w:color w:val="auto"/>
        </w:rPr>
      </w:pPr>
    </w:p>
    <w:p>
      <w:pPr>
        <w:jc w:val="both"/>
        <w:ind w:right="60" w:firstLine="324"/>
        <w:spacing w:after="0" w:line="237" w:lineRule="auto"/>
        <w:rPr>
          <w:sz w:val="20"/>
          <w:szCs w:val="20"/>
          <w:color w:val="auto"/>
        </w:rPr>
      </w:pPr>
      <w:r>
        <w:rPr>
          <w:rFonts w:ascii="Arial" w:cs="Arial" w:eastAsia="Arial" w:hAnsi="Arial"/>
          <w:sz w:val="22"/>
          <w:szCs w:val="22"/>
          <w:color w:val="auto"/>
        </w:rPr>
        <w:t xml:space="preserve">SECTION 3. </w:t>
      </w:r>
      <w:r>
        <w:rPr>
          <w:rFonts w:ascii="Arial" w:cs="Arial" w:eastAsia="Arial" w:hAnsi="Arial"/>
          <w:sz w:val="22"/>
          <w:szCs w:val="22"/>
          <w:b w:val="1"/>
          <w:bCs w:val="1"/>
          <w:i w:val="1"/>
          <w:iCs w:val="1"/>
          <w:color w:val="auto"/>
        </w:rPr>
        <w:t>Removal</w:t>
      </w:r>
      <w:r>
        <w:rPr>
          <w:rFonts w:ascii="Arial" w:cs="Arial" w:eastAsia="Arial" w:hAnsi="Arial"/>
          <w:sz w:val="22"/>
          <w:szCs w:val="22"/>
          <w:b w:val="1"/>
          <w:bCs w:val="1"/>
          <w:color w:val="auto"/>
        </w:rPr>
        <w:t>.</w:t>
      </w:r>
      <w:r>
        <w:rPr>
          <w:rFonts w:ascii="Arial" w:cs="Arial" w:eastAsia="Arial" w:hAnsi="Arial"/>
          <w:sz w:val="22"/>
          <w:szCs w:val="22"/>
          <w:color w:val="auto"/>
        </w:rPr>
        <w:t xml:space="preserve"> Any officer or agent may be removed, either with or without cause, at any time, by the Board or, in the case of any officer or agent other than the Chief Executive Officer and the Chief Financial Officer, by the Management Development and Compensation Committee at any meeting, provided, however, such removal shall have been referred to in the notice of such meeting if such meeting constitutes a special meeting; provided, further, that the Chief Executive Officer may remove any agent appointed by the Chief Executive Officer.</w:t>
      </w:r>
    </w:p>
    <w:p>
      <w:pPr>
        <w:spacing w:after="0" w:line="216" w:lineRule="exact"/>
        <w:rPr>
          <w:sz w:val="20"/>
          <w:szCs w:val="20"/>
          <w:color w:val="auto"/>
        </w:rPr>
      </w:pPr>
    </w:p>
    <w:p>
      <w:pPr>
        <w:ind w:right="20" w:firstLine="324"/>
        <w:spacing w:after="0" w:line="251" w:lineRule="auto"/>
        <w:rPr>
          <w:sz w:val="20"/>
          <w:szCs w:val="20"/>
          <w:color w:val="auto"/>
        </w:rPr>
      </w:pPr>
      <w:r>
        <w:rPr>
          <w:rFonts w:ascii="Arial" w:cs="Arial" w:eastAsia="Arial" w:hAnsi="Arial"/>
          <w:sz w:val="22"/>
          <w:szCs w:val="22"/>
          <w:color w:val="auto"/>
        </w:rPr>
        <w:t xml:space="preserve">SECTION 4. </w:t>
      </w:r>
      <w:r>
        <w:rPr>
          <w:rFonts w:ascii="Arial" w:cs="Arial" w:eastAsia="Arial" w:hAnsi="Arial"/>
          <w:sz w:val="22"/>
          <w:szCs w:val="22"/>
          <w:b w:val="1"/>
          <w:bCs w:val="1"/>
          <w:i w:val="1"/>
          <w:iCs w:val="1"/>
          <w:color w:val="auto"/>
        </w:rPr>
        <w:t>Vacancies</w:t>
      </w:r>
      <w:r>
        <w:rPr>
          <w:rFonts w:ascii="Arial" w:cs="Arial" w:eastAsia="Arial" w:hAnsi="Arial"/>
          <w:sz w:val="22"/>
          <w:szCs w:val="22"/>
          <w:color w:val="auto"/>
        </w:rPr>
        <w:t>. Any vacancy among the officers, whether caused by death, resignation, removal or otherwise, shall be filled in the manner prescribed for election to such office.</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2" w:right="239" w:bottom="1440" w:gutter="0" w:footer="0" w:header="0"/>
        </w:sectPr>
      </w:pPr>
    </w:p>
    <w:bookmarkStart w:id="70" w:name="page71"/>
    <w:bookmarkEnd w:id="70"/>
    <w:p>
      <w:pPr>
        <w:jc w:val="both"/>
        <w:ind w:firstLine="324"/>
        <w:spacing w:after="0" w:line="238" w:lineRule="auto"/>
        <w:rPr>
          <w:sz w:val="20"/>
          <w:szCs w:val="20"/>
          <w:color w:val="auto"/>
        </w:rPr>
      </w:pPr>
      <w:r>
        <w:rPr>
          <w:rFonts w:ascii="Arial" w:cs="Arial" w:eastAsia="Arial" w:hAnsi="Arial"/>
          <w:sz w:val="22"/>
          <w:szCs w:val="22"/>
          <w:color w:val="auto"/>
        </w:rPr>
        <w:t xml:space="preserve">SECTION 5. </w:t>
      </w:r>
      <w:r>
        <w:rPr>
          <w:rFonts w:ascii="Arial" w:cs="Arial" w:eastAsia="Arial" w:hAnsi="Arial"/>
          <w:sz w:val="22"/>
          <w:szCs w:val="22"/>
          <w:b w:val="1"/>
          <w:bCs w:val="1"/>
          <w:i w:val="1"/>
          <w:iCs w:val="1"/>
          <w:color w:val="auto"/>
        </w:rPr>
        <w:t>Chairman of the Board</w:t>
      </w:r>
      <w:r>
        <w:rPr>
          <w:rFonts w:ascii="Arial" w:cs="Arial" w:eastAsia="Arial" w:hAnsi="Arial"/>
          <w:sz w:val="22"/>
          <w:szCs w:val="22"/>
          <w:color w:val="auto"/>
        </w:rPr>
        <w:t>. The Chairman of the Board shall, if present, preside at all meetings of the Board and, in the absence of the Chief Executive Officer, at all meetings of the stockholders. He shall perform the duties incident to the office of the Chairman of the Board and all such other duties as are specified in these By-laws or as shall be assigned to him from time to time by the Board.</w:t>
      </w:r>
    </w:p>
    <w:p>
      <w:pPr>
        <w:spacing w:after="0" w:line="212" w:lineRule="exact"/>
        <w:rPr>
          <w:sz w:val="20"/>
          <w:szCs w:val="20"/>
          <w:color w:val="auto"/>
        </w:rPr>
      </w:pPr>
    </w:p>
    <w:p>
      <w:pPr>
        <w:jc w:val="both"/>
        <w:ind w:firstLine="324"/>
        <w:spacing w:after="0" w:line="238" w:lineRule="auto"/>
        <w:rPr>
          <w:sz w:val="20"/>
          <w:szCs w:val="20"/>
          <w:color w:val="auto"/>
        </w:rPr>
      </w:pPr>
      <w:r>
        <w:rPr>
          <w:rFonts w:ascii="Arial" w:cs="Arial" w:eastAsia="Arial" w:hAnsi="Arial"/>
          <w:sz w:val="22"/>
          <w:szCs w:val="22"/>
          <w:color w:val="auto"/>
        </w:rPr>
        <w:t xml:space="preserve">SECTION 6. </w:t>
      </w:r>
      <w:r>
        <w:rPr>
          <w:rFonts w:ascii="Arial" w:cs="Arial" w:eastAsia="Arial" w:hAnsi="Arial"/>
          <w:sz w:val="22"/>
          <w:szCs w:val="22"/>
          <w:b w:val="1"/>
          <w:bCs w:val="1"/>
          <w:i w:val="1"/>
          <w:iCs w:val="1"/>
          <w:color w:val="auto"/>
        </w:rPr>
        <w:t>Vice Chairman of the Board</w:t>
      </w:r>
      <w:r>
        <w:rPr>
          <w:rFonts w:ascii="Arial" w:cs="Arial" w:eastAsia="Arial" w:hAnsi="Arial"/>
          <w:sz w:val="22"/>
          <w:szCs w:val="22"/>
          <w:color w:val="auto"/>
        </w:rPr>
        <w:t>. The Vice Chairman of the Board shall, if present, preside at all meetings of the Board at which the Chairman of the Board shall not be present and at all meetings of the stockholders at which neither the Chief Executive Officer nor the Chairman of the Board shall be present. He shall perform such other duties as shall be assigned to him from time to time by the Board or the Chief Executive Officer.</w:t>
      </w:r>
    </w:p>
    <w:p>
      <w:pPr>
        <w:spacing w:after="0" w:line="212" w:lineRule="exact"/>
        <w:rPr>
          <w:sz w:val="20"/>
          <w:szCs w:val="20"/>
          <w:color w:val="auto"/>
        </w:rPr>
      </w:pPr>
    </w:p>
    <w:p>
      <w:pPr>
        <w:jc w:val="both"/>
        <w:ind w:firstLine="324"/>
        <w:spacing w:after="0" w:line="247" w:lineRule="auto"/>
        <w:rPr>
          <w:sz w:val="20"/>
          <w:szCs w:val="20"/>
          <w:color w:val="auto"/>
        </w:rPr>
      </w:pPr>
      <w:r>
        <w:rPr>
          <w:rFonts w:ascii="Arial" w:cs="Arial" w:eastAsia="Arial" w:hAnsi="Arial"/>
          <w:sz w:val="21"/>
          <w:szCs w:val="21"/>
          <w:color w:val="auto"/>
        </w:rPr>
        <w:t xml:space="preserve">SECTION 7. </w:t>
      </w:r>
      <w:r>
        <w:rPr>
          <w:rFonts w:ascii="Arial" w:cs="Arial" w:eastAsia="Arial" w:hAnsi="Arial"/>
          <w:sz w:val="21"/>
          <w:szCs w:val="21"/>
          <w:b w:val="1"/>
          <w:bCs w:val="1"/>
          <w:i w:val="1"/>
          <w:iCs w:val="1"/>
          <w:color w:val="auto"/>
        </w:rPr>
        <w:t>Chief Executive Officer</w:t>
      </w:r>
      <w:r>
        <w:rPr>
          <w:rFonts w:ascii="Arial" w:cs="Arial" w:eastAsia="Arial" w:hAnsi="Arial"/>
          <w:sz w:val="21"/>
          <w:szCs w:val="21"/>
          <w:color w:val="auto"/>
        </w:rPr>
        <w:t>. The Chief Executive Officer shall, if present, preside at all meetings of the stockholders. He shall have, under the control of the Board, general supervision and direction of the business and affairs of the Corporation. He shall at all times see that all resolutions or determinations of the Board are carried into effect. He may from time to time appoint, remove or change members of and discharge one or more advisory committees, each of which shall consist of such number of persons (who may, but need not, be directors or officers of the Corporation), and have such advisory duties, as he shall determine. He shall perform the duties incident to the office of the Chief Executive Officer and all such other duties as are specified in these By-laws or as shall be assigned to him from time to time by the Board.</w:t>
      </w:r>
    </w:p>
    <w:p>
      <w:pPr>
        <w:spacing w:after="0" w:line="205"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22"/>
          <w:szCs w:val="22"/>
          <w:color w:val="auto"/>
        </w:rPr>
        <w:t xml:space="preserve">SECTION 8. </w:t>
      </w:r>
      <w:r>
        <w:rPr>
          <w:rFonts w:ascii="Arial" w:cs="Arial" w:eastAsia="Arial" w:hAnsi="Arial"/>
          <w:sz w:val="22"/>
          <w:szCs w:val="22"/>
          <w:b w:val="1"/>
          <w:bCs w:val="1"/>
          <w:i w:val="1"/>
          <w:iCs w:val="1"/>
          <w:color w:val="auto"/>
        </w:rPr>
        <w:t>President</w:t>
      </w:r>
      <w:r>
        <w:rPr>
          <w:rFonts w:ascii="Arial" w:cs="Arial" w:eastAsia="Arial" w:hAnsi="Arial"/>
          <w:sz w:val="22"/>
          <w:szCs w:val="22"/>
          <w:color w:val="auto"/>
        </w:rPr>
        <w:t>. The President shall be the chief operating officer of the Corporation and shall perform such duties as shall be assigned to him from time to time by the Board or the Chief Executive Officer.</w:t>
      </w:r>
    </w:p>
    <w:p>
      <w:pPr>
        <w:spacing w:after="0" w:line="200" w:lineRule="exact"/>
        <w:rPr>
          <w:sz w:val="20"/>
          <w:szCs w:val="20"/>
          <w:color w:val="auto"/>
        </w:rPr>
      </w:pPr>
    </w:p>
    <w:p>
      <w:pPr>
        <w:jc w:val="both"/>
        <w:ind w:firstLine="324"/>
        <w:spacing w:after="0"/>
        <w:rPr>
          <w:sz w:val="20"/>
          <w:szCs w:val="20"/>
          <w:color w:val="auto"/>
        </w:rPr>
      </w:pPr>
      <w:r>
        <w:rPr>
          <w:rFonts w:ascii="Arial" w:cs="Arial" w:eastAsia="Arial" w:hAnsi="Arial"/>
          <w:sz w:val="22"/>
          <w:szCs w:val="22"/>
          <w:color w:val="auto"/>
        </w:rPr>
        <w:t xml:space="preserve">SECTION 9. </w:t>
      </w:r>
      <w:r>
        <w:rPr>
          <w:rFonts w:ascii="Arial" w:cs="Arial" w:eastAsia="Arial" w:hAnsi="Arial"/>
          <w:sz w:val="22"/>
          <w:szCs w:val="22"/>
          <w:b w:val="1"/>
          <w:bCs w:val="1"/>
          <w:i w:val="1"/>
          <w:iCs w:val="1"/>
          <w:color w:val="auto"/>
        </w:rPr>
        <w:t>Vice Presidents</w:t>
      </w:r>
      <w:r>
        <w:rPr>
          <w:rFonts w:ascii="Arial" w:cs="Arial" w:eastAsia="Arial" w:hAnsi="Arial"/>
          <w:sz w:val="22"/>
          <w:szCs w:val="22"/>
          <w:color w:val="auto"/>
        </w:rPr>
        <w:t>. The Board shall, if it so determines, elect one or more Vice Presidents (with such additional titles as the Board may prescribe), each of whom shall perform such duties as shall be assigned to him from time to time by the Chief Executive Officer or such other officer to whom the Vice President reports.</w:t>
      </w:r>
    </w:p>
    <w:p>
      <w:pPr>
        <w:spacing w:after="0" w:line="213" w:lineRule="exact"/>
        <w:rPr>
          <w:sz w:val="20"/>
          <w:szCs w:val="20"/>
          <w:color w:val="auto"/>
        </w:rPr>
      </w:pPr>
    </w:p>
    <w:p>
      <w:pPr>
        <w:jc w:val="both"/>
        <w:ind w:firstLine="324"/>
        <w:spacing w:after="0"/>
        <w:rPr>
          <w:sz w:val="20"/>
          <w:szCs w:val="20"/>
          <w:color w:val="auto"/>
        </w:rPr>
      </w:pPr>
      <w:r>
        <w:rPr>
          <w:rFonts w:ascii="Arial" w:cs="Arial" w:eastAsia="Arial" w:hAnsi="Arial"/>
          <w:sz w:val="22"/>
          <w:szCs w:val="22"/>
          <w:color w:val="auto"/>
        </w:rPr>
        <w:t xml:space="preserve">SECTION 10. </w:t>
      </w:r>
      <w:r>
        <w:rPr>
          <w:rFonts w:ascii="Arial" w:cs="Arial" w:eastAsia="Arial" w:hAnsi="Arial"/>
          <w:sz w:val="22"/>
          <w:szCs w:val="22"/>
          <w:b w:val="1"/>
          <w:bCs w:val="1"/>
          <w:i w:val="1"/>
          <w:iCs w:val="1"/>
          <w:color w:val="auto"/>
        </w:rPr>
        <w:t>General Counsel</w:t>
      </w:r>
      <w:r>
        <w:rPr>
          <w:rFonts w:ascii="Arial" w:cs="Arial" w:eastAsia="Arial" w:hAnsi="Arial"/>
          <w:sz w:val="22"/>
          <w:szCs w:val="22"/>
          <w:color w:val="auto"/>
        </w:rPr>
        <w:t>. The General Counsel shall be the chief legal officer of the Corporation and the head of its legal department. He shall, in general, perform the duties incident to the office of General Counsel and all such other duties as may be assigned to him from time to time by the Chief Executive Officer.</w:t>
      </w:r>
    </w:p>
    <w:p>
      <w:pPr>
        <w:spacing w:after="0" w:line="21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9"/>
          <w:szCs w:val="19"/>
          <w:color w:val="auto"/>
        </w:rPr>
        <w:t xml:space="preserve">SECTION 11. </w:t>
      </w:r>
      <w:r>
        <w:rPr>
          <w:rFonts w:ascii="Arial" w:cs="Arial" w:eastAsia="Arial" w:hAnsi="Arial"/>
          <w:sz w:val="19"/>
          <w:szCs w:val="19"/>
          <w:b w:val="1"/>
          <w:bCs w:val="1"/>
          <w:i w:val="1"/>
          <w:iCs w:val="1"/>
          <w:color w:val="auto"/>
        </w:rPr>
        <w:t>Treasurer</w:t>
      </w:r>
      <w:r>
        <w:rPr>
          <w:rFonts w:ascii="Arial" w:cs="Arial" w:eastAsia="Arial" w:hAnsi="Arial"/>
          <w:sz w:val="19"/>
          <w:szCs w:val="19"/>
          <w:color w:val="auto"/>
        </w:rPr>
        <w:t>. The Treasurer shall have charge and custody of all funds and securities of the Corporation, shall keep full and accurate accounts of receipts and disbursements in books belonging to the Corporation, shall deposit all funds of the Corporation in such depositaries as may be designated pursuant to these By-laws, shall receive, and give receipts for, moneys due and payable to the Corporation from any source whatsoever, shall disburse the funds of the Corporation and shall render to all regular meetings of the Board, or whenever the Board may require, an account of all his transactions as Treasurer. He shall, in general, perform all the duties incident to the office of Treasurer and all such other duties as may be assigned to him from time to time by the Chief Executive Officer or such other officer to whom the Treasurer reports.</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2" w:right="239" w:bottom="1440" w:gutter="0" w:footer="0" w:header="0"/>
        </w:sectPr>
      </w:pPr>
    </w:p>
    <w:bookmarkStart w:id="71" w:name="page72"/>
    <w:bookmarkEnd w:id="71"/>
    <w:p>
      <w:pPr>
        <w:jc w:val="both"/>
        <w:ind w:firstLine="324"/>
        <w:spacing w:after="0" w:line="234" w:lineRule="auto"/>
        <w:rPr>
          <w:sz w:val="20"/>
          <w:szCs w:val="20"/>
          <w:color w:val="auto"/>
        </w:rPr>
      </w:pPr>
      <w:r>
        <w:rPr>
          <w:rFonts w:ascii="Arial" w:cs="Arial" w:eastAsia="Arial" w:hAnsi="Arial"/>
          <w:sz w:val="22"/>
          <w:szCs w:val="22"/>
          <w:color w:val="auto"/>
        </w:rPr>
        <w:t xml:space="preserve">SECTION 12. </w:t>
      </w:r>
      <w:r>
        <w:rPr>
          <w:rFonts w:ascii="Arial" w:cs="Arial" w:eastAsia="Arial" w:hAnsi="Arial"/>
          <w:sz w:val="22"/>
          <w:szCs w:val="22"/>
          <w:b w:val="1"/>
          <w:bCs w:val="1"/>
          <w:i w:val="1"/>
          <w:iCs w:val="1"/>
          <w:color w:val="auto"/>
        </w:rPr>
        <w:t>Secretary</w:t>
      </w:r>
      <w:r>
        <w:rPr>
          <w:rFonts w:ascii="Arial" w:cs="Arial" w:eastAsia="Arial" w:hAnsi="Arial"/>
          <w:sz w:val="22"/>
          <w:szCs w:val="22"/>
          <w:color w:val="auto"/>
        </w:rPr>
        <w:t>. The Secretary shall, if present, act as secretary of all meetings of the Board, the Executive Committee and other committees of the Board and the stockholders and shall have the duty to record the proceedings of such meetings in one or more books provided for that purpose. He shall see that all notices are duly given in accordance with these By-laws and as required by law, shall be custodian of the seal of the Corporation and shall affix and attest the seal to all documents to be executed on behalf of the Corporation under its seal. He shall, in general, perform all the duties incident to the office of Secretary and all such other duties as may be assigned to him from time to time by the Chief Executive Officer or such other officer to whom the Secretary reports.</w:t>
      </w:r>
    </w:p>
    <w:p>
      <w:pPr>
        <w:spacing w:after="0" w:line="218" w:lineRule="exact"/>
        <w:rPr>
          <w:sz w:val="20"/>
          <w:szCs w:val="20"/>
          <w:color w:val="auto"/>
        </w:rPr>
      </w:pPr>
    </w:p>
    <w:p>
      <w:pPr>
        <w:jc w:val="both"/>
        <w:ind w:firstLine="324"/>
        <w:spacing w:after="0" w:line="234" w:lineRule="auto"/>
        <w:rPr>
          <w:sz w:val="20"/>
          <w:szCs w:val="20"/>
          <w:color w:val="auto"/>
        </w:rPr>
      </w:pPr>
      <w:r>
        <w:rPr>
          <w:rFonts w:ascii="Arial" w:cs="Arial" w:eastAsia="Arial" w:hAnsi="Arial"/>
          <w:sz w:val="22"/>
          <w:szCs w:val="22"/>
          <w:color w:val="auto"/>
        </w:rPr>
        <w:t xml:space="preserve">SECTION 13. </w:t>
      </w:r>
      <w:r>
        <w:rPr>
          <w:rFonts w:ascii="Arial" w:cs="Arial" w:eastAsia="Arial" w:hAnsi="Arial"/>
          <w:sz w:val="22"/>
          <w:szCs w:val="22"/>
          <w:b w:val="1"/>
          <w:bCs w:val="1"/>
          <w:i w:val="1"/>
          <w:iCs w:val="1"/>
          <w:color w:val="auto"/>
        </w:rPr>
        <w:t>Controller</w:t>
      </w:r>
      <w:r>
        <w:rPr>
          <w:rFonts w:ascii="Arial" w:cs="Arial" w:eastAsia="Arial" w:hAnsi="Arial"/>
          <w:sz w:val="22"/>
          <w:szCs w:val="22"/>
          <w:color w:val="auto"/>
        </w:rPr>
        <w:t>. The Controller shall have control of all the books of account of the Corporation, shall keep a true and accurate record of all property owned by it, its debts and of its revenues and expenses, shall keep all accounting records of the Corporation (other than the accounts of receipts and disbursements and those relating to the deposit or custody of funds and securities of the Corporation, which shall be kept by the Treasurer) and shall render to the Board, whenever the Board may require, an account of the financial condition of the Corporation. He shall, in general, perform all the duties incident to the office of Controller and all such other duties as may be assigned to him from time to time by the Chief Executive Officer or such other officer to whom the Controller reports.</w:t>
      </w:r>
    </w:p>
    <w:p>
      <w:pPr>
        <w:spacing w:after="0" w:line="218" w:lineRule="exact"/>
        <w:rPr>
          <w:sz w:val="20"/>
          <w:szCs w:val="20"/>
          <w:color w:val="auto"/>
        </w:rPr>
      </w:pPr>
    </w:p>
    <w:p>
      <w:pPr>
        <w:jc w:val="both"/>
        <w:ind w:right="20" w:firstLine="324"/>
        <w:spacing w:after="0" w:line="251" w:lineRule="auto"/>
        <w:rPr>
          <w:sz w:val="20"/>
          <w:szCs w:val="20"/>
          <w:color w:val="auto"/>
        </w:rPr>
      </w:pPr>
      <w:r>
        <w:rPr>
          <w:rFonts w:ascii="Arial" w:cs="Arial" w:eastAsia="Arial" w:hAnsi="Arial"/>
          <w:sz w:val="22"/>
          <w:szCs w:val="22"/>
          <w:color w:val="auto"/>
        </w:rPr>
        <w:t xml:space="preserve">SECTION 14. </w:t>
      </w:r>
      <w:r>
        <w:rPr>
          <w:rFonts w:ascii="Arial" w:cs="Arial" w:eastAsia="Arial" w:hAnsi="Arial"/>
          <w:sz w:val="22"/>
          <w:szCs w:val="22"/>
          <w:b w:val="1"/>
          <w:bCs w:val="1"/>
          <w:i w:val="1"/>
          <w:iCs w:val="1"/>
          <w:color w:val="auto"/>
        </w:rPr>
        <w:t>Bonds of Officers</w:t>
      </w:r>
      <w:r>
        <w:rPr>
          <w:rFonts w:ascii="Arial" w:cs="Arial" w:eastAsia="Arial" w:hAnsi="Arial"/>
          <w:sz w:val="22"/>
          <w:szCs w:val="22"/>
          <w:color w:val="auto"/>
        </w:rPr>
        <w:t>. If required by the Board, any officer of the Corporation shall give a bond for the faithful discharge of his duties in such amount and with such surety or sureties as the Board may require.</w:t>
      </w:r>
    </w:p>
    <w:p>
      <w:pPr>
        <w:spacing w:after="0" w:line="200" w:lineRule="exact"/>
        <w:rPr>
          <w:sz w:val="20"/>
          <w:szCs w:val="20"/>
          <w:color w:val="auto"/>
        </w:rPr>
      </w:pPr>
    </w:p>
    <w:p>
      <w:pPr>
        <w:jc w:val="both"/>
        <w:ind w:firstLine="324"/>
        <w:spacing w:after="0"/>
        <w:rPr>
          <w:sz w:val="20"/>
          <w:szCs w:val="20"/>
          <w:color w:val="auto"/>
        </w:rPr>
      </w:pPr>
      <w:r>
        <w:rPr>
          <w:rFonts w:ascii="Arial" w:cs="Arial" w:eastAsia="Arial" w:hAnsi="Arial"/>
          <w:sz w:val="22"/>
          <w:szCs w:val="22"/>
          <w:color w:val="auto"/>
        </w:rPr>
        <w:t xml:space="preserve">SECTION 15. </w:t>
      </w:r>
      <w:r>
        <w:rPr>
          <w:rFonts w:ascii="Arial" w:cs="Arial" w:eastAsia="Arial" w:hAnsi="Arial"/>
          <w:sz w:val="22"/>
          <w:szCs w:val="22"/>
          <w:b w:val="1"/>
          <w:bCs w:val="1"/>
          <w:i w:val="1"/>
          <w:iCs w:val="1"/>
          <w:color w:val="auto"/>
        </w:rPr>
        <w:t>Compensation</w:t>
      </w:r>
      <w:r>
        <w:rPr>
          <w:rFonts w:ascii="Arial" w:cs="Arial" w:eastAsia="Arial" w:hAnsi="Arial"/>
          <w:sz w:val="22"/>
          <w:szCs w:val="22"/>
          <w:color w:val="auto"/>
        </w:rPr>
        <w:t>. The salaries of the officers shall be fixed from time to time by the Board; provided, however, that the Chief Executive Officer may fix or delegate to others the authority to fix the salaries of any agents appointed by the Chief Executive Officer.</w:t>
      </w:r>
    </w:p>
    <w:p>
      <w:pPr>
        <w:spacing w:after="0" w:line="213" w:lineRule="exact"/>
        <w:rPr>
          <w:sz w:val="20"/>
          <w:szCs w:val="20"/>
          <w:color w:val="auto"/>
        </w:rPr>
      </w:pPr>
    </w:p>
    <w:p>
      <w:pPr>
        <w:jc w:val="both"/>
        <w:ind w:firstLine="324"/>
        <w:spacing w:after="0"/>
        <w:rPr>
          <w:sz w:val="20"/>
          <w:szCs w:val="20"/>
          <w:color w:val="auto"/>
        </w:rPr>
      </w:pPr>
      <w:r>
        <w:rPr>
          <w:rFonts w:ascii="Arial" w:cs="Arial" w:eastAsia="Arial" w:hAnsi="Arial"/>
          <w:sz w:val="22"/>
          <w:szCs w:val="22"/>
          <w:color w:val="auto"/>
        </w:rPr>
        <w:t xml:space="preserve">SECTION 16. </w:t>
      </w:r>
      <w:r>
        <w:rPr>
          <w:rFonts w:ascii="Arial" w:cs="Arial" w:eastAsia="Arial" w:hAnsi="Arial"/>
          <w:sz w:val="22"/>
          <w:szCs w:val="22"/>
          <w:b w:val="1"/>
          <w:bCs w:val="1"/>
          <w:i w:val="1"/>
          <w:iCs w:val="1"/>
          <w:color w:val="auto"/>
        </w:rPr>
        <w:t>Officers of Operating Companies or Divisions</w:t>
      </w:r>
      <w:r>
        <w:rPr>
          <w:rFonts w:ascii="Arial" w:cs="Arial" w:eastAsia="Arial" w:hAnsi="Arial"/>
          <w:sz w:val="22"/>
          <w:szCs w:val="22"/>
          <w:color w:val="auto"/>
        </w:rPr>
        <w:t>. The Chief Executive Officer shall have the power to appoint, prescribe the terms of office, the responsibilities and duties and salaries of, and remove, the officers of the operating companies or divisions other than those who are officers of the Corporation.</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VI</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CONTRACTS, CHECKS, LOANS, DEPOSITS, ETC.</w:t>
      </w:r>
    </w:p>
    <w:p>
      <w:pPr>
        <w:spacing w:after="0" w:line="215" w:lineRule="exact"/>
        <w:rPr>
          <w:sz w:val="20"/>
          <w:szCs w:val="20"/>
          <w:color w:val="auto"/>
        </w:rPr>
      </w:pPr>
    </w:p>
    <w:p>
      <w:pPr>
        <w:jc w:val="both"/>
        <w:ind w:firstLine="324"/>
        <w:spacing w:after="0" w:line="236" w:lineRule="auto"/>
        <w:rPr>
          <w:sz w:val="20"/>
          <w:szCs w:val="20"/>
          <w:color w:val="auto"/>
        </w:rPr>
      </w:pPr>
      <w:r>
        <w:rPr>
          <w:rFonts w:ascii="Arial" w:cs="Arial" w:eastAsia="Arial" w:hAnsi="Arial"/>
          <w:sz w:val="22"/>
          <w:szCs w:val="22"/>
          <w:color w:val="auto"/>
        </w:rPr>
        <w:t xml:space="preserve">SECTION 1. </w:t>
      </w:r>
      <w:r>
        <w:rPr>
          <w:rFonts w:ascii="Arial" w:cs="Arial" w:eastAsia="Arial" w:hAnsi="Arial"/>
          <w:sz w:val="22"/>
          <w:szCs w:val="22"/>
          <w:b w:val="1"/>
          <w:bCs w:val="1"/>
          <w:i w:val="1"/>
          <w:iCs w:val="1"/>
          <w:color w:val="auto"/>
        </w:rPr>
        <w:t>Contracts</w:t>
      </w:r>
      <w:r>
        <w:rPr>
          <w:rFonts w:ascii="Arial" w:cs="Arial" w:eastAsia="Arial" w:hAnsi="Arial"/>
          <w:sz w:val="22"/>
          <w:szCs w:val="22"/>
          <w:color w:val="auto"/>
        </w:rPr>
        <w:t>. The Board may authorize any officer or officers, agent or agents, in the name and on behalf of the Corporation, to enter into any contract or to execute and deliver any instrument, which authorization may be general or confined to specific instances; and, unless so authorized by the Board, no officer, agent or employee shall have any power or authority to bind the Corporation by any contract or engagement or to pledge its credit or to render it liable pecuniarily for any purpose or for any amount.</w:t>
      </w:r>
    </w:p>
    <w:p>
      <w:pPr>
        <w:spacing w:after="0" w:line="215" w:lineRule="exact"/>
        <w:rPr>
          <w:sz w:val="20"/>
          <w:szCs w:val="20"/>
          <w:color w:val="auto"/>
        </w:rPr>
      </w:pPr>
    </w:p>
    <w:p>
      <w:pPr>
        <w:jc w:val="both"/>
        <w:ind w:firstLine="324"/>
        <w:spacing w:after="0"/>
        <w:rPr>
          <w:sz w:val="20"/>
          <w:szCs w:val="20"/>
          <w:color w:val="auto"/>
        </w:rPr>
      </w:pPr>
      <w:r>
        <w:rPr>
          <w:rFonts w:ascii="Arial" w:cs="Arial" w:eastAsia="Arial" w:hAnsi="Arial"/>
          <w:sz w:val="22"/>
          <w:szCs w:val="22"/>
          <w:color w:val="auto"/>
        </w:rPr>
        <w:t xml:space="preserve">SECTION 2. </w:t>
      </w:r>
      <w:r>
        <w:rPr>
          <w:rFonts w:ascii="Arial" w:cs="Arial" w:eastAsia="Arial" w:hAnsi="Arial"/>
          <w:sz w:val="22"/>
          <w:szCs w:val="22"/>
          <w:b w:val="1"/>
          <w:bCs w:val="1"/>
          <w:i w:val="1"/>
          <w:iCs w:val="1"/>
          <w:color w:val="auto"/>
        </w:rPr>
        <w:t>Checks, etc</w:t>
      </w:r>
      <w:r>
        <w:rPr>
          <w:rFonts w:ascii="Arial" w:cs="Arial" w:eastAsia="Arial" w:hAnsi="Arial"/>
          <w:sz w:val="22"/>
          <w:szCs w:val="22"/>
          <w:color w:val="auto"/>
        </w:rPr>
        <w:t>. All checks, drafts, bills of exchange or other orders for the payment of money out of the funds of the Corporation, and all notes or other evidences of indebtedness of the Corporation, shall be signed in the name and on behalf of the Corporation</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2" w:right="239" w:bottom="1440" w:gutter="0" w:footer="0" w:header="0"/>
        </w:sectPr>
      </w:pPr>
    </w:p>
    <w:bookmarkStart w:id="72" w:name="page73"/>
    <w:bookmarkEnd w:id="72"/>
    <w:p>
      <w:pPr>
        <w:jc w:val="both"/>
        <w:spacing w:after="0" w:line="251" w:lineRule="auto"/>
        <w:rPr>
          <w:sz w:val="20"/>
          <w:szCs w:val="20"/>
          <w:color w:val="auto"/>
        </w:rPr>
      </w:pPr>
      <w:r>
        <w:rPr>
          <w:rFonts w:ascii="Arial" w:cs="Arial" w:eastAsia="Arial" w:hAnsi="Arial"/>
          <w:sz w:val="22"/>
          <w:szCs w:val="22"/>
          <w:color w:val="auto"/>
        </w:rPr>
        <w:t>in such manner as shall from time to time be authorized by the Board, which authorization may be general or confined to specific instances.</w:t>
      </w:r>
    </w:p>
    <w:p>
      <w:pPr>
        <w:spacing w:after="0" w:line="200"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9"/>
          <w:szCs w:val="19"/>
          <w:color w:val="auto"/>
        </w:rPr>
        <w:t xml:space="preserve">SECTION 3. </w:t>
      </w:r>
      <w:r>
        <w:rPr>
          <w:rFonts w:ascii="Arial" w:cs="Arial" w:eastAsia="Arial" w:hAnsi="Arial"/>
          <w:sz w:val="19"/>
          <w:szCs w:val="19"/>
          <w:b w:val="1"/>
          <w:bCs w:val="1"/>
          <w:i w:val="1"/>
          <w:iCs w:val="1"/>
          <w:color w:val="auto"/>
        </w:rPr>
        <w:t>Loans</w:t>
      </w:r>
      <w:r>
        <w:rPr>
          <w:rFonts w:ascii="Arial" w:cs="Arial" w:eastAsia="Arial" w:hAnsi="Arial"/>
          <w:sz w:val="19"/>
          <w:szCs w:val="19"/>
          <w:color w:val="auto"/>
        </w:rPr>
        <w:t>. No loan shall be contracted on behalf of the Corporation, and no negotiable paper shall be issued in its name, unless authorized by the Board, which authorization may be general or confined to specific instances. All bonds, debentures, notes and other obligations or evidences of indebtedness of the Corporation issued for such loans shall be made, executed and delivered as the Board shall authorize, which authorization may be general or confined to specific instances.</w:t>
      </w:r>
    </w:p>
    <w:p>
      <w:pPr>
        <w:spacing w:after="0" w:line="170" w:lineRule="exact"/>
        <w:rPr>
          <w:sz w:val="20"/>
          <w:szCs w:val="20"/>
          <w:color w:val="auto"/>
        </w:rPr>
      </w:pPr>
    </w:p>
    <w:p>
      <w:pPr>
        <w:jc w:val="both"/>
        <w:ind w:firstLine="324"/>
        <w:spacing w:after="0" w:line="238" w:lineRule="auto"/>
        <w:rPr>
          <w:sz w:val="20"/>
          <w:szCs w:val="20"/>
          <w:color w:val="auto"/>
        </w:rPr>
      </w:pPr>
      <w:r>
        <w:rPr>
          <w:rFonts w:ascii="Arial" w:cs="Arial" w:eastAsia="Arial" w:hAnsi="Arial"/>
          <w:sz w:val="22"/>
          <w:szCs w:val="22"/>
          <w:color w:val="auto"/>
        </w:rPr>
        <w:t xml:space="preserve">SECTION 4. </w:t>
      </w:r>
      <w:r>
        <w:rPr>
          <w:rFonts w:ascii="Arial" w:cs="Arial" w:eastAsia="Arial" w:hAnsi="Arial"/>
          <w:sz w:val="22"/>
          <w:szCs w:val="22"/>
          <w:b w:val="1"/>
          <w:bCs w:val="1"/>
          <w:i w:val="1"/>
          <w:iCs w:val="1"/>
          <w:color w:val="auto"/>
        </w:rPr>
        <w:t>Deposits</w:t>
      </w:r>
      <w:r>
        <w:rPr>
          <w:rFonts w:ascii="Arial" w:cs="Arial" w:eastAsia="Arial" w:hAnsi="Arial"/>
          <w:sz w:val="22"/>
          <w:szCs w:val="22"/>
          <w:color w:val="auto"/>
        </w:rPr>
        <w:t>. All funds of the Corporation not otherwise employed shall be deposited from time to time to the credit of the Corporation in such banks, trust companies or other depositaries as may be selected by or in the manner designated by the Board. The Board or its designees may make such special rules and regulations with respect to such bank accounts, not inconsistent with the provisions of these By-laws, as may be deemed expedient.</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VII</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CAPITAL STOCK</w:t>
      </w:r>
    </w:p>
    <w:p>
      <w:pPr>
        <w:spacing w:after="0" w:line="21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9"/>
          <w:szCs w:val="19"/>
          <w:color w:val="auto"/>
        </w:rPr>
        <w:t xml:space="preserve">SECTION 1. </w:t>
      </w:r>
      <w:r>
        <w:rPr>
          <w:rFonts w:ascii="Arial" w:cs="Arial" w:eastAsia="Arial" w:hAnsi="Arial"/>
          <w:sz w:val="19"/>
          <w:szCs w:val="19"/>
          <w:b w:val="1"/>
          <w:bCs w:val="1"/>
          <w:i w:val="1"/>
          <w:iCs w:val="1"/>
          <w:color w:val="auto"/>
        </w:rPr>
        <w:t>Stock Certificates and Uncertificated Shares</w:t>
      </w:r>
      <w:r>
        <w:rPr>
          <w:rFonts w:ascii="Arial" w:cs="Arial" w:eastAsia="Arial" w:hAnsi="Arial"/>
          <w:sz w:val="19"/>
          <w:szCs w:val="19"/>
          <w:color w:val="auto"/>
        </w:rPr>
        <w:t>. The shares of the Corporation may be represented by certificates or may be uncertificated. Each stockholder shall be entitled to have, in such form as shall be approved by the Board, a certificate or certificates signed by the Chairman of the Board or the Vice Chairman of the Board or the President or a Vice President and by the Treasurer or an Assistant Treasurer or the Secretary or an Assistant Secretary representing the number of shares of capital stock of the Corporation owned by such stockholder. Any or all of the signatures on any such certificate may be a facsimile. In case any officer, transfer agent or registrar who has signed or whose facsimile signature has been placed upon any such certificate shall have ceased to be such before such certificate is issued, such certificate may be issued by the Corporation with the same effect as if such officer, transfer agent or registrar had been such at the date of its issue. Absent a specific request for such a certificate by the registered owner or transferee thereof, all shares may be uncertificated upon the original issuance thereof by the Corporation or upon surrender of the certificate representing such shares to the Corporation or its transfer agent.</w:t>
      </w:r>
    </w:p>
    <w:p>
      <w:pPr>
        <w:spacing w:after="0" w:line="189"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9"/>
          <w:szCs w:val="19"/>
          <w:color w:val="auto"/>
        </w:rPr>
        <w:t xml:space="preserve">SECTION 2. </w:t>
      </w:r>
      <w:r>
        <w:rPr>
          <w:rFonts w:ascii="Arial" w:cs="Arial" w:eastAsia="Arial" w:hAnsi="Arial"/>
          <w:sz w:val="19"/>
          <w:szCs w:val="19"/>
          <w:b w:val="1"/>
          <w:bCs w:val="1"/>
          <w:i w:val="1"/>
          <w:iCs w:val="1"/>
          <w:color w:val="auto"/>
        </w:rPr>
        <w:t>List of Stockholders Entitled to Vote</w:t>
      </w:r>
      <w:r>
        <w:rPr>
          <w:rFonts w:ascii="Arial" w:cs="Arial" w:eastAsia="Arial" w:hAnsi="Arial"/>
          <w:sz w:val="19"/>
          <w:szCs w:val="19"/>
          <w:color w:val="auto"/>
        </w:rPr>
        <w:t>. The officer of the Corporation who has charge of the stock ledger of the Corporation shall prepare or cause to have prepared, at least 10 days before every meeting of stockholders, a complete list of the stockholders entitled to vote at the meeting, arranged in alphabetical order, and showing the address of each stockholder and the number of shares registered in the name of each stockholder. Such list shall be open to the examination of any stockholder, for any purpose germane to the meeting, during ordinary business hours, for a period of at least 10 days prior to the meeting, either at a place within the city where the meeting is to be held, which place shall be specified in the notice of the meeting, or, if not so specified, at the place where the meeting is to be held. The list shall also be produced and kept at the time and place of the meeting during the whole time thereof, and may be inspected by any stockholder of the Corporation who is present.</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2" w:right="239" w:bottom="1440" w:gutter="0" w:footer="0" w:header="0"/>
        </w:sectPr>
      </w:pPr>
    </w:p>
    <w:bookmarkStart w:id="73" w:name="page74"/>
    <w:bookmarkEnd w:id="73"/>
    <w:p>
      <w:pPr>
        <w:jc w:val="both"/>
        <w:ind w:firstLine="324"/>
        <w:spacing w:after="0"/>
        <w:rPr>
          <w:sz w:val="20"/>
          <w:szCs w:val="20"/>
          <w:color w:val="auto"/>
        </w:rPr>
      </w:pPr>
      <w:r>
        <w:rPr>
          <w:rFonts w:ascii="Arial" w:cs="Arial" w:eastAsia="Arial" w:hAnsi="Arial"/>
          <w:sz w:val="22"/>
          <w:szCs w:val="22"/>
          <w:color w:val="auto"/>
        </w:rPr>
        <w:t xml:space="preserve">SECTION 3. </w:t>
      </w:r>
      <w:r>
        <w:rPr>
          <w:rFonts w:ascii="Arial" w:cs="Arial" w:eastAsia="Arial" w:hAnsi="Arial"/>
          <w:sz w:val="22"/>
          <w:szCs w:val="22"/>
          <w:b w:val="1"/>
          <w:bCs w:val="1"/>
          <w:i w:val="1"/>
          <w:iCs w:val="1"/>
          <w:color w:val="auto"/>
        </w:rPr>
        <w:t>Stock Ledger</w:t>
      </w:r>
      <w:r>
        <w:rPr>
          <w:rFonts w:ascii="Arial" w:cs="Arial" w:eastAsia="Arial" w:hAnsi="Arial"/>
          <w:sz w:val="22"/>
          <w:szCs w:val="22"/>
          <w:color w:val="auto"/>
        </w:rPr>
        <w:t>. The stock ledger of the Corporation shall be the only evidence as to who are the stockholders entitled to examine the stock ledger, the list required by Section 2 of this Article VII or the books of the Corporation, or to vote in person or by proxy at any meeting of stockholders.</w:t>
      </w:r>
    </w:p>
    <w:p>
      <w:pPr>
        <w:spacing w:after="0" w:line="213" w:lineRule="exact"/>
        <w:rPr>
          <w:sz w:val="20"/>
          <w:szCs w:val="20"/>
          <w:color w:val="auto"/>
        </w:rPr>
      </w:pPr>
    </w:p>
    <w:p>
      <w:pPr>
        <w:jc w:val="both"/>
        <w:ind w:firstLine="324"/>
        <w:spacing w:after="0" w:line="234" w:lineRule="auto"/>
        <w:rPr>
          <w:sz w:val="20"/>
          <w:szCs w:val="20"/>
          <w:color w:val="auto"/>
        </w:rPr>
      </w:pPr>
      <w:r>
        <w:rPr>
          <w:rFonts w:ascii="Arial" w:cs="Arial" w:eastAsia="Arial" w:hAnsi="Arial"/>
          <w:sz w:val="22"/>
          <w:szCs w:val="22"/>
          <w:color w:val="auto"/>
        </w:rPr>
        <w:t xml:space="preserve">SECTION 4. </w:t>
      </w:r>
      <w:r>
        <w:rPr>
          <w:rFonts w:ascii="Arial" w:cs="Arial" w:eastAsia="Arial" w:hAnsi="Arial"/>
          <w:sz w:val="22"/>
          <w:szCs w:val="22"/>
          <w:b w:val="1"/>
          <w:bCs w:val="1"/>
          <w:i w:val="1"/>
          <w:iCs w:val="1"/>
          <w:color w:val="auto"/>
        </w:rPr>
        <w:t>Transfers of Capital Stock</w:t>
      </w:r>
      <w:r>
        <w:rPr>
          <w:rFonts w:ascii="Arial" w:cs="Arial" w:eastAsia="Arial" w:hAnsi="Arial"/>
          <w:sz w:val="22"/>
          <w:szCs w:val="22"/>
          <w:color w:val="auto"/>
        </w:rPr>
        <w:t>. Transfers of shares of capital stock of the Corporation shall be registered on the stock record of the Corporation, and if requested by the registered owner or transferee thereof, a new certificate shall be issued to the person entitled thereto, upon presentation and surrender, with a request to register transfer, of the certificate or certificates representing the shares properly endorsed by the holder of record or accompanied by a separate document signed by the holder of record containing an assignment or transfer of the shares or a power to assign or transfer the shares or upon presentation of proper transfer instructions from the holder of record of uncertificated shares. The Board may make such additional rules and regulations as it may deem expedient concerning the issue and transfer of certificates representing shares of the capital stock of the Corporation.</w:t>
      </w:r>
    </w:p>
    <w:p>
      <w:pPr>
        <w:spacing w:after="0" w:line="21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9"/>
          <w:szCs w:val="19"/>
          <w:color w:val="auto"/>
        </w:rPr>
        <w:t xml:space="preserve">SECTION 5. </w:t>
      </w:r>
      <w:r>
        <w:rPr>
          <w:rFonts w:ascii="Arial" w:cs="Arial" w:eastAsia="Arial" w:hAnsi="Arial"/>
          <w:sz w:val="19"/>
          <w:szCs w:val="19"/>
          <w:b w:val="1"/>
          <w:bCs w:val="1"/>
          <w:i w:val="1"/>
          <w:iCs w:val="1"/>
          <w:color w:val="auto"/>
        </w:rPr>
        <w:t>Lost Certificates</w:t>
      </w:r>
      <w:r>
        <w:rPr>
          <w:rFonts w:ascii="Arial" w:cs="Arial" w:eastAsia="Arial" w:hAnsi="Arial"/>
          <w:sz w:val="19"/>
          <w:szCs w:val="19"/>
          <w:color w:val="auto"/>
        </w:rPr>
        <w:t>. The Corporation may issue uncertificated shares, or if requested by the registered owner, a new certificate or cause a new certificate to be issued, in place of any certificate theretofore issued by the Corporation alleged to have been lost, stolen or destroyed, upon the making of an affidavit of that fact by the person claiming the certificate to be lost, stolen or destroyed. The Corporation may require the owner of such lost, stolen or destroyed certificate, or his legal representative, to give the Corporation a bond sufficient to indemnify it against any claim that may be made against it on account of the alleged loss, theft or destruction of any such certificate or the issuance of such new certificate.</w:t>
      </w:r>
    </w:p>
    <w:p>
      <w:pPr>
        <w:spacing w:after="0" w:line="178"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9"/>
          <w:szCs w:val="19"/>
          <w:color w:val="auto"/>
        </w:rPr>
        <w:t xml:space="preserve">SECTION 6. </w:t>
      </w:r>
      <w:r>
        <w:rPr>
          <w:rFonts w:ascii="Arial" w:cs="Arial" w:eastAsia="Arial" w:hAnsi="Arial"/>
          <w:sz w:val="19"/>
          <w:szCs w:val="19"/>
          <w:b w:val="1"/>
          <w:bCs w:val="1"/>
          <w:i w:val="1"/>
          <w:iCs w:val="1"/>
          <w:color w:val="auto"/>
        </w:rPr>
        <w:t>Fixing of Record Date.</w:t>
      </w:r>
      <w:r>
        <w:rPr>
          <w:rFonts w:ascii="Arial" w:cs="Arial" w:eastAsia="Arial" w:hAnsi="Arial"/>
          <w:sz w:val="19"/>
          <w:szCs w:val="19"/>
          <w:color w:val="auto"/>
        </w:rPr>
        <w:t xml:space="preserve"> In order that the Corporation may determine the stockholders entitled to notice of or to vote at any meeting of stockholders or any adjournment thereof, the Board may fix a record date, which record date shall not precede the date upon which the resolution fixing the record date is adopted by the Board and which record date shall not be more than 60 nor less than 10 days before the date of such meeting. A determination of stockholders of record entitled to notice of or to vote at a meeting of stockholders shall apply to any adjournment of the meeting; provided, however, that the Board may fix a new record date for the adjourned meeting. In order that the Corporation may determine the stockholders entitled to receive payment of any dividend or other distribution or allotment of any rights or the stockholders entitled to exercise any rights in respect of any change, conversion or exchange of capital stock or for the purpose of any other lawful action, the Board may fix a record date, which record date shall not precede the date upon which the resolution fixing the record date is adopted, and which record date shall be not more than 60 days prior to such action.</w:t>
      </w:r>
    </w:p>
    <w:p>
      <w:pPr>
        <w:spacing w:after="0" w:line="189"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9"/>
          <w:szCs w:val="19"/>
          <w:color w:val="auto"/>
        </w:rPr>
        <w:t xml:space="preserve">SECTION 7. </w:t>
      </w:r>
      <w:r>
        <w:rPr>
          <w:rFonts w:ascii="Arial" w:cs="Arial" w:eastAsia="Arial" w:hAnsi="Arial"/>
          <w:sz w:val="19"/>
          <w:szCs w:val="19"/>
          <w:b w:val="1"/>
          <w:bCs w:val="1"/>
          <w:i w:val="1"/>
          <w:iCs w:val="1"/>
          <w:color w:val="auto"/>
        </w:rPr>
        <w:t>Registered Owners</w:t>
      </w:r>
      <w:r>
        <w:rPr>
          <w:rFonts w:ascii="Arial" w:cs="Arial" w:eastAsia="Arial" w:hAnsi="Arial"/>
          <w:sz w:val="19"/>
          <w:szCs w:val="19"/>
          <w:color w:val="auto"/>
        </w:rPr>
        <w:t>. Prior to due presentment for registration of transfer of a certificate representing shares of capital stock of the Corporation or of proper transfer instructions with respect to uncertificated shares, the Corporation may treat the registered owner of such shares as the person exclusively entitled to vote, to receive dividends, to receive notifications, and otherwise to exercise all the rights and powers of an owner of such shares, except as otherwise provided by law.</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2" w:right="239" w:bottom="1440" w:gutter="0" w:footer="0" w:header="0"/>
        </w:sectPr>
      </w:pPr>
    </w:p>
    <w:bookmarkStart w:id="74" w:name="page75"/>
    <w:bookmarkEnd w:id="74"/>
    <w:p>
      <w:pPr>
        <w:jc w:val="both"/>
        <w:ind w:firstLine="324"/>
        <w:spacing w:after="0" w:line="275" w:lineRule="auto"/>
        <w:rPr>
          <w:sz w:val="20"/>
          <w:szCs w:val="20"/>
          <w:color w:val="auto"/>
        </w:rPr>
      </w:pPr>
      <w:r>
        <w:rPr>
          <w:rFonts w:ascii="Arial" w:cs="Arial" w:eastAsia="Arial" w:hAnsi="Arial"/>
          <w:sz w:val="19"/>
          <w:szCs w:val="19"/>
          <w:color w:val="auto"/>
        </w:rPr>
        <w:t xml:space="preserve">SECTION 8. </w:t>
      </w:r>
      <w:r>
        <w:rPr>
          <w:rFonts w:ascii="Arial" w:cs="Arial" w:eastAsia="Arial" w:hAnsi="Arial"/>
          <w:sz w:val="19"/>
          <w:szCs w:val="19"/>
          <w:b w:val="1"/>
          <w:bCs w:val="1"/>
          <w:i w:val="1"/>
          <w:iCs w:val="1"/>
          <w:color w:val="auto"/>
        </w:rPr>
        <w:t>Rights Plans</w:t>
      </w:r>
      <w:r>
        <w:rPr>
          <w:rFonts w:ascii="Arial" w:cs="Arial" w:eastAsia="Arial" w:hAnsi="Arial"/>
          <w:sz w:val="19"/>
          <w:szCs w:val="19"/>
          <w:b w:val="1"/>
          <w:bCs w:val="1"/>
          <w:color w:val="auto"/>
        </w:rPr>
        <w:t>.</w:t>
      </w:r>
      <w:r>
        <w:rPr>
          <w:rFonts w:ascii="Arial" w:cs="Arial" w:eastAsia="Arial" w:hAnsi="Arial"/>
          <w:sz w:val="19"/>
          <w:szCs w:val="19"/>
          <w:color w:val="auto"/>
        </w:rPr>
        <w:t xml:space="preserve"> The Corporation will seek shareowner approval prior to its adoption of a Rights Plan, unless the Board, in the exercise of its fiduciary duties and with the concurrence of a majority of its independent directors, determines that, under the circumstances existing at the time, it is in the best interests of the stockholders of the Corporation to adopt a Rights Plan without delay. If a Rights Plan is adopted by the Corporation without prior approval of the stockholders of the Corporation, such plan must provide that it shall expire unless ratified by the stockholders of the Corporation within one year of adoption. For purposes of this by-law, the term “Rights Plan” refers generally to any plan providing for the distribution of preferred stock, rights, warrants, options or debt instruments to the stockholders of the Corporation, designed to deter non-negotiated takeovers by conferring certain rights on the stockholders of the Corporation upon the occurrence of a “triggering event” such as a tender offer or third party acquisition of a specified percentage of stock.</w:t>
      </w:r>
    </w:p>
    <w:p>
      <w:pPr>
        <w:spacing w:after="0" w:line="157" w:lineRule="exact"/>
        <w:rPr>
          <w:sz w:val="20"/>
          <w:szCs w:val="20"/>
          <w:color w:val="auto"/>
        </w:rPr>
      </w:pPr>
    </w:p>
    <w:p>
      <w:pPr>
        <w:ind w:left="5060"/>
        <w:spacing w:after="0"/>
        <w:rPr>
          <w:sz w:val="20"/>
          <w:szCs w:val="20"/>
          <w:color w:val="auto"/>
        </w:rPr>
      </w:pPr>
      <w:r>
        <w:rPr>
          <w:rFonts w:ascii="Arial" w:cs="Arial" w:eastAsia="Arial" w:hAnsi="Arial"/>
          <w:sz w:val="22"/>
          <w:szCs w:val="22"/>
          <w:color w:val="auto"/>
        </w:rPr>
        <w:t>ARTICLE VIII</w:t>
      </w:r>
    </w:p>
    <w:p>
      <w:pPr>
        <w:spacing w:after="0" w:line="8" w:lineRule="exact"/>
        <w:rPr>
          <w:sz w:val="20"/>
          <w:szCs w:val="20"/>
          <w:color w:val="auto"/>
        </w:rPr>
      </w:pPr>
    </w:p>
    <w:p>
      <w:pPr>
        <w:ind w:left="5020"/>
        <w:spacing w:after="0"/>
        <w:rPr>
          <w:sz w:val="20"/>
          <w:szCs w:val="20"/>
          <w:color w:val="auto"/>
        </w:rPr>
      </w:pPr>
      <w:r>
        <w:rPr>
          <w:rFonts w:ascii="Arial" w:cs="Arial" w:eastAsia="Arial" w:hAnsi="Arial"/>
          <w:sz w:val="22"/>
          <w:szCs w:val="22"/>
          <w:color w:val="auto"/>
        </w:rPr>
        <w:t>FISCAL YEAR</w:t>
      </w:r>
    </w:p>
    <w:p>
      <w:pPr>
        <w:spacing w:after="0" w:line="215" w:lineRule="exact"/>
        <w:rPr>
          <w:sz w:val="20"/>
          <w:szCs w:val="20"/>
          <w:color w:val="auto"/>
        </w:rPr>
      </w:pPr>
    </w:p>
    <w:p>
      <w:pPr>
        <w:ind w:left="340"/>
        <w:spacing w:after="0"/>
        <w:rPr>
          <w:sz w:val="20"/>
          <w:szCs w:val="20"/>
          <w:color w:val="auto"/>
        </w:rPr>
      </w:pPr>
      <w:r>
        <w:rPr>
          <w:rFonts w:ascii="Arial" w:cs="Arial" w:eastAsia="Arial" w:hAnsi="Arial"/>
          <w:sz w:val="22"/>
          <w:szCs w:val="22"/>
          <w:color w:val="auto"/>
        </w:rPr>
        <w:t>The Corporation’s fiscal year shall coincide with the calendar year.</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IX</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SEAL</w:t>
      </w:r>
    </w:p>
    <w:p>
      <w:pPr>
        <w:spacing w:after="0" w:line="215"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22"/>
          <w:szCs w:val="22"/>
          <w:color w:val="auto"/>
        </w:rPr>
        <w:t>The Corporation’s seal shall be circular in form and shall include the words “Honeywell International Inc., Delaware, 1985, Seal.”</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X</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WAIVER OF NOTICE</w:t>
      </w:r>
    </w:p>
    <w:p>
      <w:pPr>
        <w:spacing w:after="0" w:line="215" w:lineRule="exact"/>
        <w:rPr>
          <w:sz w:val="20"/>
          <w:szCs w:val="20"/>
          <w:color w:val="auto"/>
        </w:rPr>
      </w:pPr>
    </w:p>
    <w:p>
      <w:pPr>
        <w:jc w:val="both"/>
        <w:ind w:firstLine="324"/>
        <w:spacing w:after="0" w:line="247" w:lineRule="auto"/>
        <w:rPr>
          <w:sz w:val="20"/>
          <w:szCs w:val="20"/>
          <w:color w:val="auto"/>
        </w:rPr>
      </w:pPr>
      <w:r>
        <w:rPr>
          <w:rFonts w:ascii="Arial" w:cs="Arial" w:eastAsia="Arial" w:hAnsi="Arial"/>
          <w:sz w:val="21"/>
          <w:szCs w:val="21"/>
          <w:color w:val="auto"/>
        </w:rPr>
        <w:t>Whenever any notice is required by law, the Certificate of Incorporation or these By-laws, to be given to any director, member of a committee or stockholder, a waiver thereof in writing, signed by the person or persons entitled to said notice, whether before or after the time stated therein, shall be deemed equivalent thereto. Attendance of a person at a meeting shall constitute a waiver of notice of such meeting, except when the person attends a meeting for the express purpose of objecting, at the beginning of the meeting, to the transaction of any business because the meeting is not lawfully called or convened. Neither the business to be transacted at, nor the purpose of, any regular or special meeting of the stockholders, directors, or members of a committee of directors need be specified in any written waiver of notice.</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XI</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AMENDMENTS</w:t>
      </w:r>
    </w:p>
    <w:p>
      <w:pPr>
        <w:spacing w:after="0" w:line="215" w:lineRule="exact"/>
        <w:rPr>
          <w:sz w:val="20"/>
          <w:szCs w:val="20"/>
          <w:color w:val="auto"/>
        </w:rPr>
      </w:pPr>
    </w:p>
    <w:p>
      <w:pPr>
        <w:jc w:val="both"/>
        <w:ind w:firstLine="324"/>
        <w:spacing w:after="0" w:line="249" w:lineRule="auto"/>
        <w:rPr>
          <w:sz w:val="20"/>
          <w:szCs w:val="20"/>
          <w:color w:val="auto"/>
        </w:rPr>
      </w:pPr>
      <w:r>
        <w:rPr>
          <w:rFonts w:ascii="Arial" w:cs="Arial" w:eastAsia="Arial" w:hAnsi="Arial"/>
          <w:sz w:val="21"/>
          <w:szCs w:val="21"/>
          <w:color w:val="auto"/>
        </w:rPr>
        <w:t>These By-laws or any of them may be amended or supplemented in any respect at any time, either (a) at any meeting of stockholders, provided that any amendment or supplement proposed to be acted upon at any such meeting shall have been described or referred to in the notice of such meeting, or (b) at any meeting of the Board, provided that any amendment or supplement proposed to be acted upon at any such meeting shall have been described or referred to in the notice of such meeting or an announcement with respect thereto shall have been made at the last previous Board meeting.</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396" w:right="239" w:bottom="1440" w:gutter="0" w:footer="0" w:header="0"/>
        </w:sectPr>
      </w:pPr>
    </w:p>
    <w:bookmarkStart w:id="75" w:name="page76"/>
    <w:bookmarkEnd w:id="75"/>
    <w:p>
      <w:pPr>
        <w:jc w:val="center"/>
        <w:spacing w:after="0"/>
        <w:rPr>
          <w:sz w:val="20"/>
          <w:szCs w:val="20"/>
          <w:color w:val="auto"/>
        </w:rPr>
      </w:pPr>
      <w:r>
        <w:rPr>
          <w:rFonts w:ascii="Arial" w:cs="Arial" w:eastAsia="Arial" w:hAnsi="Arial"/>
          <w:sz w:val="22"/>
          <w:szCs w:val="22"/>
          <w:color w:val="auto"/>
        </w:rPr>
        <w:t>ARTICLE XII</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FORUM FOR ADJUDICATION OF DISPUTES</w:t>
      </w:r>
    </w:p>
    <w:p>
      <w:pPr>
        <w:spacing w:after="0" w:line="215" w:lineRule="exact"/>
        <w:rPr>
          <w:sz w:val="20"/>
          <w:szCs w:val="20"/>
          <w:color w:val="auto"/>
        </w:rPr>
      </w:pPr>
    </w:p>
    <w:p>
      <w:pPr>
        <w:jc w:val="both"/>
        <w:ind w:firstLine="324"/>
        <w:spacing w:after="0" w:line="246" w:lineRule="auto"/>
        <w:rPr>
          <w:sz w:val="20"/>
          <w:szCs w:val="20"/>
          <w:color w:val="auto"/>
        </w:rPr>
      </w:pPr>
      <w:r>
        <w:rPr>
          <w:rFonts w:ascii="Arial" w:cs="Arial" w:eastAsia="Arial" w:hAnsi="Arial"/>
          <w:sz w:val="21"/>
          <w:szCs w:val="21"/>
          <w:color w:val="auto"/>
        </w:rPr>
        <w:t>Unless the Corporation consents in writing to the selection of an alternative forum, the sole and exclusive forum for (i) any derivative action or proceeding brought on behalf of the Corporation, (ii) any action asserting a claim of breach of a fiduciary duty owed by any director, officer or other employee of the Corporation to the Corporation or the Corporation’s stockholders, (iii) any action asserting a claim arising pursuant to any provision of the Delaware General Corporation Law, or (iv) any action asserting a claim governed by the internal affairs doctrine shall be a state or federal court located within the state of Delaware, in all cases subject to the court’s having personal jurisdiction over the indispensable parties named as defendants. Any person or entity purchasing or otherwise acquiring any interest in shares of capital stock of the Corporation shall be deemed to have notice of and consented to the provisions of this Article XII.</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XIII</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EMERGENCY BY-LAWS</w:t>
      </w:r>
    </w:p>
    <w:p>
      <w:pPr>
        <w:spacing w:after="0" w:line="215" w:lineRule="exact"/>
        <w:rPr>
          <w:sz w:val="20"/>
          <w:szCs w:val="20"/>
          <w:color w:val="auto"/>
        </w:rPr>
      </w:pPr>
    </w:p>
    <w:p>
      <w:pPr>
        <w:jc w:val="both"/>
        <w:ind w:firstLine="324"/>
        <w:spacing w:after="0" w:line="248" w:lineRule="auto"/>
        <w:rPr>
          <w:sz w:val="20"/>
          <w:szCs w:val="20"/>
          <w:color w:val="auto"/>
        </w:rPr>
      </w:pPr>
      <w:r>
        <w:rPr>
          <w:rFonts w:ascii="Arial" w:cs="Arial" w:eastAsia="Arial" w:hAnsi="Arial"/>
          <w:sz w:val="21"/>
          <w:szCs w:val="21"/>
          <w:color w:val="auto"/>
        </w:rPr>
        <w:t xml:space="preserve">SECTION 1. </w:t>
      </w:r>
      <w:r>
        <w:rPr>
          <w:rFonts w:ascii="Arial" w:cs="Arial" w:eastAsia="Arial" w:hAnsi="Arial"/>
          <w:sz w:val="21"/>
          <w:szCs w:val="21"/>
          <w:b w:val="1"/>
          <w:bCs w:val="1"/>
          <w:i w:val="1"/>
          <w:iCs w:val="1"/>
          <w:color w:val="auto"/>
        </w:rPr>
        <w:t>Emergency Board of Directors</w:t>
      </w:r>
      <w:r>
        <w:rPr>
          <w:rFonts w:ascii="Arial" w:cs="Arial" w:eastAsia="Arial" w:hAnsi="Arial"/>
          <w:sz w:val="21"/>
          <w:szCs w:val="21"/>
          <w:color w:val="auto"/>
        </w:rPr>
        <w:t>. In case of an attack on the United States or on a locality in which the Corporation conducts its business or customarily holds meetings of the Board or the stockholders, or during any nuclear or atomic disaster, or during the existence of any catastrophe, or other similar emergency condition, as a result of which a quorum of the Board or a committee thereof cannot readily be convened for action in accordance with the provisions of the By-laws, the business and affairs of the Corporation shall be managed by or under the direction of an Emergency Board of Directors (hereinafter called the Emergency Board) established in accordance with Section 2 of this Article XIII.</w:t>
      </w:r>
    </w:p>
    <w:p>
      <w:pPr>
        <w:spacing w:after="0" w:line="204"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9"/>
          <w:szCs w:val="19"/>
          <w:color w:val="auto"/>
        </w:rPr>
        <w:t xml:space="preserve">SECTION 2. </w:t>
      </w:r>
      <w:r>
        <w:rPr>
          <w:rFonts w:ascii="Arial" w:cs="Arial" w:eastAsia="Arial" w:hAnsi="Arial"/>
          <w:sz w:val="19"/>
          <w:szCs w:val="19"/>
          <w:b w:val="1"/>
          <w:bCs w:val="1"/>
          <w:i w:val="1"/>
          <w:iCs w:val="1"/>
          <w:color w:val="auto"/>
        </w:rPr>
        <w:t>Membership of Emergency Board of Directors</w:t>
      </w:r>
      <w:r>
        <w:rPr>
          <w:rFonts w:ascii="Arial" w:cs="Arial" w:eastAsia="Arial" w:hAnsi="Arial"/>
          <w:sz w:val="19"/>
          <w:szCs w:val="19"/>
          <w:color w:val="auto"/>
        </w:rPr>
        <w:t>. The Emergency Board shall consist of at least three of the following persons present or available at the Emergency Corporate Headquarters determined according to Section 5 of this Article XIII: (i) those persons who were directors at the time of the attack or other event mentioned in Section 1 of this Article XIII, and</w:t>
      </w:r>
    </w:p>
    <w:p>
      <w:pPr>
        <w:spacing w:after="0" w:line="2" w:lineRule="exact"/>
        <w:rPr>
          <w:sz w:val="20"/>
          <w:szCs w:val="20"/>
          <w:color w:val="auto"/>
        </w:rPr>
      </w:pPr>
    </w:p>
    <w:p>
      <w:pPr>
        <w:jc w:val="both"/>
        <w:ind w:firstLine="8"/>
        <w:spacing w:after="0" w:line="287" w:lineRule="auto"/>
        <w:tabs>
          <w:tab w:leader="none" w:pos="327" w:val="left"/>
        </w:tabs>
        <w:numPr>
          <w:ilvl w:val="0"/>
          <w:numId w:val="42"/>
        </w:numPr>
        <w:rPr>
          <w:rFonts w:ascii="Arial" w:cs="Arial" w:eastAsia="Arial" w:hAnsi="Arial"/>
          <w:sz w:val="19"/>
          <w:szCs w:val="19"/>
          <w:color w:val="auto"/>
        </w:rPr>
      </w:pPr>
      <w:r>
        <w:rPr>
          <w:rFonts w:ascii="Arial" w:cs="Arial" w:eastAsia="Arial" w:hAnsi="Arial"/>
          <w:sz w:val="19"/>
          <w:szCs w:val="19"/>
          <w:color w:val="auto"/>
        </w:rPr>
        <w:t>any other persons appointed by such directors to the extent required to provide a quorum at any meeting of the Board. If there are no such directors present or available at the Emergency Corporate Headquarters, the Emergency Board shall consist of the three highest-ranking officers or employees of the Corporation present or available and any other persons appointed by them.</w:t>
      </w:r>
    </w:p>
    <w:p>
      <w:pPr>
        <w:spacing w:after="0" w:line="171" w:lineRule="exact"/>
        <w:rPr>
          <w:sz w:val="20"/>
          <w:szCs w:val="20"/>
          <w:color w:val="auto"/>
        </w:rPr>
      </w:pPr>
    </w:p>
    <w:p>
      <w:pPr>
        <w:jc w:val="both"/>
        <w:ind w:firstLine="324"/>
        <w:spacing w:after="0"/>
        <w:rPr>
          <w:sz w:val="20"/>
          <w:szCs w:val="20"/>
          <w:color w:val="auto"/>
        </w:rPr>
      </w:pPr>
      <w:r>
        <w:rPr>
          <w:rFonts w:ascii="Arial" w:cs="Arial" w:eastAsia="Arial" w:hAnsi="Arial"/>
          <w:sz w:val="22"/>
          <w:szCs w:val="22"/>
          <w:color w:val="auto"/>
        </w:rPr>
        <w:t xml:space="preserve">SECTION 3. </w:t>
      </w:r>
      <w:r>
        <w:rPr>
          <w:rFonts w:ascii="Arial" w:cs="Arial" w:eastAsia="Arial" w:hAnsi="Arial"/>
          <w:sz w:val="22"/>
          <w:szCs w:val="22"/>
          <w:b w:val="1"/>
          <w:bCs w:val="1"/>
          <w:i w:val="1"/>
          <w:iCs w:val="1"/>
          <w:color w:val="auto"/>
        </w:rPr>
        <w:t>Powers of the Emergency Board</w:t>
      </w:r>
      <w:r>
        <w:rPr>
          <w:rFonts w:ascii="Arial" w:cs="Arial" w:eastAsia="Arial" w:hAnsi="Arial"/>
          <w:sz w:val="22"/>
          <w:szCs w:val="22"/>
          <w:color w:val="auto"/>
        </w:rPr>
        <w:t>. The Emergency Board will have the same powers as those granted to the Board in these By-laws, but will not be bound by any requirement of these By-laws which a majority of the Emergency Board believes impracticable under the circumstances.</w:t>
      </w:r>
    </w:p>
    <w:p>
      <w:pPr>
        <w:spacing w:after="0" w:line="213" w:lineRule="exact"/>
        <w:rPr>
          <w:sz w:val="20"/>
          <w:szCs w:val="20"/>
          <w:color w:val="auto"/>
        </w:rPr>
      </w:pPr>
    </w:p>
    <w:p>
      <w:pPr>
        <w:jc w:val="both"/>
        <w:ind w:firstLine="324"/>
        <w:spacing w:after="0"/>
        <w:rPr>
          <w:sz w:val="20"/>
          <w:szCs w:val="20"/>
          <w:color w:val="auto"/>
        </w:rPr>
      </w:pPr>
      <w:r>
        <w:rPr>
          <w:rFonts w:ascii="Arial" w:cs="Arial" w:eastAsia="Arial" w:hAnsi="Arial"/>
          <w:sz w:val="22"/>
          <w:szCs w:val="22"/>
          <w:color w:val="auto"/>
        </w:rPr>
        <w:t xml:space="preserve">SECTION 4. </w:t>
      </w:r>
      <w:r>
        <w:rPr>
          <w:rFonts w:ascii="Arial" w:cs="Arial" w:eastAsia="Arial" w:hAnsi="Arial"/>
          <w:sz w:val="22"/>
          <w:szCs w:val="22"/>
          <w:b w:val="1"/>
          <w:bCs w:val="1"/>
          <w:i w:val="1"/>
          <w:iCs w:val="1"/>
          <w:color w:val="auto"/>
        </w:rPr>
        <w:t>Stockholders’ Meeting</w:t>
      </w:r>
      <w:r>
        <w:rPr>
          <w:rFonts w:ascii="Arial" w:cs="Arial" w:eastAsia="Arial" w:hAnsi="Arial"/>
          <w:sz w:val="22"/>
          <w:szCs w:val="22"/>
          <w:color w:val="auto"/>
        </w:rPr>
        <w:t xml:space="preserve"> . At such time as it is practicable to do so the Emergency Board shall call a meeting of stockholders for the purpose of electing directors. Such meeting will be held at a time and place to be fixed by the Emergency Board and pursuant</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2" w:right="239" w:bottom="1440" w:gutter="0" w:footer="0" w:header="0"/>
        </w:sectPr>
      </w:pPr>
    </w:p>
    <w:bookmarkStart w:id="76" w:name="page77"/>
    <w:bookmarkEnd w:id="76"/>
    <w:p>
      <w:pPr>
        <w:jc w:val="both"/>
        <w:spacing w:after="0" w:line="251" w:lineRule="auto"/>
        <w:rPr>
          <w:sz w:val="20"/>
          <w:szCs w:val="20"/>
          <w:color w:val="auto"/>
        </w:rPr>
      </w:pPr>
      <w:r>
        <w:rPr>
          <w:rFonts w:ascii="Arial" w:cs="Arial" w:eastAsia="Arial" w:hAnsi="Arial"/>
          <w:sz w:val="22"/>
          <w:szCs w:val="22"/>
          <w:color w:val="auto"/>
        </w:rPr>
        <w:t>to such notice to stockholders as it is deemed practicable to give. The stockholders entitled to vote at the meeting, present in person or represented by proxy, shall constitute a quorum.</w:t>
      </w:r>
    </w:p>
    <w:p>
      <w:pPr>
        <w:spacing w:after="0" w:line="200" w:lineRule="exact"/>
        <w:rPr>
          <w:sz w:val="20"/>
          <w:szCs w:val="20"/>
          <w:color w:val="auto"/>
        </w:rPr>
      </w:pPr>
    </w:p>
    <w:p>
      <w:pPr>
        <w:jc w:val="both"/>
        <w:ind w:firstLine="324"/>
        <w:spacing w:after="0"/>
        <w:rPr>
          <w:sz w:val="20"/>
          <w:szCs w:val="20"/>
          <w:color w:val="auto"/>
        </w:rPr>
      </w:pPr>
      <w:r>
        <w:rPr>
          <w:rFonts w:ascii="Arial" w:cs="Arial" w:eastAsia="Arial" w:hAnsi="Arial"/>
          <w:sz w:val="22"/>
          <w:szCs w:val="22"/>
          <w:color w:val="auto"/>
        </w:rPr>
        <w:t xml:space="preserve">SECTION 5. </w:t>
      </w:r>
      <w:r>
        <w:rPr>
          <w:rFonts w:ascii="Arial" w:cs="Arial" w:eastAsia="Arial" w:hAnsi="Arial"/>
          <w:sz w:val="22"/>
          <w:szCs w:val="22"/>
          <w:b w:val="1"/>
          <w:bCs w:val="1"/>
          <w:i w:val="1"/>
          <w:iCs w:val="1"/>
          <w:color w:val="auto"/>
        </w:rPr>
        <w:t>Emergency Corporate Headquarters</w:t>
      </w:r>
      <w:r>
        <w:rPr>
          <w:rFonts w:ascii="Arial" w:cs="Arial" w:eastAsia="Arial" w:hAnsi="Arial"/>
          <w:sz w:val="22"/>
          <w:szCs w:val="22"/>
          <w:color w:val="auto"/>
        </w:rPr>
        <w:t>. Emergency Corporate Headquarters shall be at such location as the Board or the Chief Executive Officer shall determine prior to the attack or other event, or if not so determined, at such place as the Emergency Board may determine.</w:t>
      </w:r>
    </w:p>
    <w:p>
      <w:pPr>
        <w:spacing w:after="0" w:line="213"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22"/>
          <w:szCs w:val="22"/>
          <w:color w:val="auto"/>
        </w:rPr>
        <w:t xml:space="preserve">SECTION 6. </w:t>
      </w:r>
      <w:r>
        <w:rPr>
          <w:rFonts w:ascii="Arial" w:cs="Arial" w:eastAsia="Arial" w:hAnsi="Arial"/>
          <w:sz w:val="22"/>
          <w:szCs w:val="22"/>
          <w:b w:val="1"/>
          <w:bCs w:val="1"/>
          <w:i w:val="1"/>
          <w:iCs w:val="1"/>
          <w:color w:val="auto"/>
        </w:rPr>
        <w:t>Limitation of Liability</w:t>
      </w:r>
      <w:r>
        <w:rPr>
          <w:rFonts w:ascii="Arial" w:cs="Arial" w:eastAsia="Arial" w:hAnsi="Arial"/>
          <w:sz w:val="22"/>
          <w:szCs w:val="22"/>
          <w:color w:val="auto"/>
        </w:rPr>
        <w:t>. No officer, director or employee acting in accordance with the provisions of this Article XIII shall be liable except for willful misconduct.</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1" w:right="239" w:bottom="1440" w:gutter="0" w:footer="0" w:header="0"/>
        </w:sectPr>
      </w:pPr>
    </w:p>
    <w:bookmarkStart w:id="77" w:name="page78"/>
    <w:bookmarkEnd w:id="77"/>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10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EXHIBIT 12</w:t>
            </w:r>
          </w:p>
        </w:tc>
        <w:tc>
          <w:tcPr>
            <w:tcW w:w="0" w:type="dxa"/>
            <w:vAlign w:val="bottom"/>
          </w:tcPr>
          <w:p>
            <w:pPr>
              <w:spacing w:after="0"/>
              <w:rPr>
                <w:sz w:val="1"/>
                <w:szCs w:val="1"/>
                <w:color w:val="auto"/>
              </w:rPr>
            </w:pPr>
          </w:p>
        </w:tc>
      </w:tr>
      <w:tr>
        <w:trPr>
          <w:trHeight w:val="369"/>
        </w:trPr>
        <w:tc>
          <w:tcPr>
            <w:tcW w:w="20" w:type="dxa"/>
            <w:vAlign w:val="bottom"/>
          </w:tcPr>
          <w:p>
            <w:pPr>
              <w:spacing w:after="0"/>
              <w:rPr>
                <w:sz w:val="24"/>
                <w:szCs w:val="24"/>
                <w:color w:val="auto"/>
              </w:rPr>
            </w:pPr>
          </w:p>
        </w:tc>
        <w:tc>
          <w:tcPr>
            <w:tcW w:w="10040" w:type="dxa"/>
            <w:vAlign w:val="bottom"/>
          </w:tcPr>
          <w:p>
            <w:pPr>
              <w:jc w:val="center"/>
              <w:ind w:left="1290"/>
              <w:spacing w:after="0"/>
              <w:rPr>
                <w:sz w:val="20"/>
                <w:szCs w:val="20"/>
                <w:color w:val="auto"/>
              </w:rPr>
            </w:pPr>
            <w:r>
              <w:rPr>
                <w:rFonts w:ascii="Arial" w:cs="Arial" w:eastAsia="Arial" w:hAnsi="Arial"/>
                <w:sz w:val="18"/>
                <w:szCs w:val="18"/>
                <w:b w:val="1"/>
                <w:bCs w:val="1"/>
                <w:color w:val="auto"/>
                <w:w w:val="99"/>
              </w:rPr>
              <w:t>HONEYWELL INTERNATIONAL INC.</w:t>
            </w: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0040" w:type="dxa"/>
            <w:vAlign w:val="bottom"/>
          </w:tcPr>
          <w:p>
            <w:pPr>
              <w:jc w:val="center"/>
              <w:ind w:left="1290"/>
              <w:spacing w:after="0" w:line="202" w:lineRule="exact"/>
              <w:rPr>
                <w:sz w:val="20"/>
                <w:szCs w:val="20"/>
                <w:color w:val="auto"/>
              </w:rPr>
            </w:pPr>
            <w:r>
              <w:rPr>
                <w:rFonts w:ascii="Arial" w:cs="Arial" w:eastAsia="Arial" w:hAnsi="Arial"/>
                <w:sz w:val="18"/>
                <w:szCs w:val="18"/>
                <w:b w:val="1"/>
                <w:bCs w:val="1"/>
                <w:color w:val="auto"/>
                <w:w w:val="98"/>
              </w:rPr>
              <w:t>STATEMENT RE: COMPUTATION OF RATIO OF EARNINGS TO FIXED CHARGES</w:t>
            </w: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0040" w:type="dxa"/>
            <w:vAlign w:val="bottom"/>
          </w:tcPr>
          <w:p>
            <w:pPr>
              <w:jc w:val="center"/>
              <w:ind w:left="1310"/>
              <w:spacing w:after="0" w:line="202" w:lineRule="exact"/>
              <w:rPr>
                <w:sz w:val="20"/>
                <w:szCs w:val="20"/>
                <w:color w:val="auto"/>
              </w:rPr>
            </w:pPr>
            <w:r>
              <w:rPr>
                <w:rFonts w:ascii="Arial" w:cs="Arial" w:eastAsia="Arial" w:hAnsi="Arial"/>
                <w:sz w:val="18"/>
                <w:szCs w:val="18"/>
                <w:b w:val="1"/>
                <w:bCs w:val="1"/>
                <w:color w:val="auto"/>
                <w:w w:val="99"/>
              </w:rPr>
              <w:t>Six Months Ended</w:t>
            </w: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0040" w:type="dxa"/>
            <w:vAlign w:val="bottom"/>
          </w:tcPr>
          <w:p>
            <w:pPr>
              <w:jc w:val="center"/>
              <w:ind w:left="1290"/>
              <w:spacing w:after="0" w:line="202" w:lineRule="exact"/>
              <w:rPr>
                <w:sz w:val="20"/>
                <w:szCs w:val="20"/>
                <w:color w:val="auto"/>
              </w:rPr>
            </w:pPr>
            <w:r>
              <w:rPr>
                <w:rFonts w:ascii="Arial" w:cs="Arial" w:eastAsia="Arial" w:hAnsi="Arial"/>
                <w:sz w:val="18"/>
                <w:szCs w:val="18"/>
                <w:b w:val="1"/>
                <w:bCs w:val="1"/>
                <w:color w:val="auto"/>
              </w:rPr>
              <w:t>June 30, 2018</w:t>
            </w: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40" w:type="dxa"/>
            <w:vAlign w:val="bottom"/>
          </w:tcPr>
          <w:p>
            <w:pPr>
              <w:jc w:val="center"/>
              <w:ind w:left="1290"/>
              <w:spacing w:after="0"/>
              <w:rPr>
                <w:sz w:val="20"/>
                <w:szCs w:val="20"/>
                <w:color w:val="auto"/>
              </w:rPr>
            </w:pPr>
            <w:r>
              <w:rPr>
                <w:rFonts w:ascii="Arial" w:cs="Arial" w:eastAsia="Arial" w:hAnsi="Arial"/>
                <w:sz w:val="18"/>
                <w:szCs w:val="18"/>
                <w:b w:val="1"/>
                <w:bCs w:val="1"/>
                <w:color w:val="auto"/>
                <w:w w:val="99"/>
              </w:rPr>
              <w:t>(Dollars in millions)</w:t>
            </w: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10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10040" w:type="dxa"/>
            <w:vAlign w:val="bottom"/>
            <w:shd w:val="clear" w:color="auto" w:fill="E5FFFF"/>
          </w:tcPr>
          <w:p>
            <w:pPr>
              <w:spacing w:after="0" w:line="202" w:lineRule="exact"/>
              <w:rPr>
                <w:sz w:val="20"/>
                <w:szCs w:val="20"/>
                <w:color w:val="auto"/>
              </w:rPr>
            </w:pPr>
            <w:r>
              <w:rPr>
                <w:rFonts w:ascii="Arial" w:cs="Arial" w:eastAsia="Arial" w:hAnsi="Arial"/>
                <w:sz w:val="18"/>
                <w:szCs w:val="18"/>
                <w:b w:val="1"/>
                <w:bCs w:val="1"/>
                <w:color w:val="auto"/>
              </w:rPr>
              <w:t>Determination of Earnings:</w:t>
            </w:r>
          </w:p>
        </w:tc>
        <w:tc>
          <w:tcPr>
            <w:tcW w:w="240" w:type="dxa"/>
            <w:vAlign w:val="bottom"/>
            <w:shd w:val="clear" w:color="auto" w:fill="E5FFFF"/>
          </w:tcPr>
          <w:p>
            <w:pPr>
              <w:spacing w:after="0"/>
              <w:rPr>
                <w:sz w:val="17"/>
                <w:szCs w:val="17"/>
                <w:color w:val="auto"/>
              </w:rPr>
            </w:pPr>
          </w:p>
        </w:tc>
        <w:tc>
          <w:tcPr>
            <w:tcW w:w="112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0040" w:type="dxa"/>
            <w:vAlign w:val="bottom"/>
          </w:tcPr>
          <w:p>
            <w:pPr>
              <w:ind w:left="160"/>
              <w:spacing w:after="0" w:line="202" w:lineRule="exact"/>
              <w:rPr>
                <w:sz w:val="20"/>
                <w:szCs w:val="20"/>
                <w:color w:val="auto"/>
              </w:rPr>
            </w:pPr>
            <w:r>
              <w:rPr>
                <w:rFonts w:ascii="Arial" w:cs="Arial" w:eastAsia="Arial" w:hAnsi="Arial"/>
                <w:sz w:val="18"/>
                <w:szCs w:val="18"/>
                <w:color w:val="auto"/>
              </w:rPr>
              <w:t>Income before taxes</w:t>
            </w:r>
          </w:p>
        </w:tc>
        <w:tc>
          <w:tcPr>
            <w:tcW w:w="240" w:type="dxa"/>
            <w:vAlign w:val="bottom"/>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3,908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0040" w:type="dxa"/>
            <w:vAlign w:val="bottom"/>
            <w:shd w:val="clear" w:color="auto" w:fill="E5FFFF"/>
          </w:tcPr>
          <w:p>
            <w:pPr>
              <w:ind w:left="160"/>
              <w:spacing w:after="0" w:line="202" w:lineRule="exact"/>
              <w:rPr>
                <w:sz w:val="20"/>
                <w:szCs w:val="20"/>
                <w:color w:val="auto"/>
              </w:rPr>
            </w:pPr>
            <w:r>
              <w:rPr>
                <w:rFonts w:ascii="Arial" w:cs="Arial" w:eastAsia="Arial" w:hAnsi="Arial"/>
                <w:sz w:val="18"/>
                <w:szCs w:val="18"/>
                <w:color w:val="auto"/>
              </w:rPr>
              <w:t>Add (Deduct):</w:t>
            </w:r>
          </w:p>
        </w:tc>
        <w:tc>
          <w:tcPr>
            <w:tcW w:w="240" w:type="dxa"/>
            <w:vAlign w:val="bottom"/>
            <w:shd w:val="clear" w:color="auto" w:fill="E5FFFF"/>
          </w:tcPr>
          <w:p>
            <w:pPr>
              <w:spacing w:after="0"/>
              <w:rPr>
                <w:sz w:val="17"/>
                <w:szCs w:val="17"/>
                <w:color w:val="auto"/>
              </w:rPr>
            </w:pPr>
          </w:p>
        </w:tc>
        <w:tc>
          <w:tcPr>
            <w:tcW w:w="112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0040" w:type="dxa"/>
            <w:vAlign w:val="bottom"/>
          </w:tcPr>
          <w:p>
            <w:pPr>
              <w:ind w:left="340"/>
              <w:spacing w:after="0" w:line="202" w:lineRule="exact"/>
              <w:rPr>
                <w:sz w:val="20"/>
                <w:szCs w:val="20"/>
                <w:color w:val="auto"/>
              </w:rPr>
            </w:pPr>
            <w:r>
              <w:rPr>
                <w:rFonts w:ascii="Arial" w:cs="Arial" w:eastAsia="Arial" w:hAnsi="Arial"/>
                <w:sz w:val="18"/>
                <w:szCs w:val="18"/>
                <w:color w:val="auto"/>
              </w:rPr>
              <w:t>Amortization of capitalized interest</w:t>
            </w:r>
          </w:p>
        </w:tc>
        <w:tc>
          <w:tcPr>
            <w:tcW w:w="240" w:type="dxa"/>
            <w:vAlign w:val="bottom"/>
          </w:tcPr>
          <w:p>
            <w:pPr>
              <w:spacing w:after="0"/>
              <w:rPr>
                <w:sz w:val="17"/>
                <w:szCs w:val="17"/>
                <w:color w:val="auto"/>
              </w:rPr>
            </w:pPr>
          </w:p>
        </w:tc>
        <w:tc>
          <w:tcPr>
            <w:tcW w:w="11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0040" w:type="dxa"/>
            <w:vAlign w:val="bottom"/>
            <w:shd w:val="clear" w:color="auto" w:fill="E5FFFF"/>
          </w:tcPr>
          <w:p>
            <w:pPr>
              <w:ind w:left="340"/>
              <w:spacing w:after="0" w:line="202" w:lineRule="exact"/>
              <w:rPr>
                <w:sz w:val="20"/>
                <w:szCs w:val="20"/>
                <w:color w:val="auto"/>
              </w:rPr>
            </w:pPr>
            <w:r>
              <w:rPr>
                <w:rFonts w:ascii="Arial" w:cs="Arial" w:eastAsia="Arial" w:hAnsi="Arial"/>
                <w:sz w:val="18"/>
                <w:szCs w:val="18"/>
                <w:color w:val="auto"/>
              </w:rPr>
              <w:t>Fixed charges</w:t>
            </w:r>
          </w:p>
        </w:tc>
        <w:tc>
          <w:tcPr>
            <w:tcW w:w="240" w:type="dxa"/>
            <w:vAlign w:val="bottom"/>
            <w:shd w:val="clear" w:color="auto" w:fill="E5FFFF"/>
          </w:tcPr>
          <w:p>
            <w:pPr>
              <w:spacing w:after="0"/>
              <w:rPr>
                <w:sz w:val="17"/>
                <w:szCs w:val="17"/>
                <w:color w:val="auto"/>
              </w:rPr>
            </w:pPr>
          </w:p>
        </w:tc>
        <w:tc>
          <w:tcPr>
            <w:tcW w:w="1120" w:type="dxa"/>
            <w:vAlign w:val="bottom"/>
            <w:shd w:val="clear" w:color="auto" w:fill="E5FFFF"/>
          </w:tcPr>
          <w:p>
            <w:pPr>
              <w:jc w:val="right"/>
              <w:ind w:right="10"/>
              <w:spacing w:after="0" w:line="202" w:lineRule="exact"/>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40" w:type="dxa"/>
            <w:vAlign w:val="bottom"/>
            <w:tcBorders>
              <w:bottom w:val="single" w:sz="8" w:color="E5FFFF"/>
            </w:tcBorders>
          </w:tcPr>
          <w:p>
            <w:pPr>
              <w:ind w:left="340"/>
              <w:spacing w:after="0"/>
              <w:rPr>
                <w:sz w:val="20"/>
                <w:szCs w:val="20"/>
                <w:color w:val="auto"/>
              </w:rPr>
            </w:pPr>
            <w:r>
              <w:rPr>
                <w:rFonts w:ascii="Arial" w:cs="Arial" w:eastAsia="Arial" w:hAnsi="Arial"/>
                <w:sz w:val="18"/>
                <w:szCs w:val="18"/>
                <w:color w:val="auto"/>
              </w:rPr>
              <w:t>Equity income, net of distributions</w:t>
            </w: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040" w:type="dxa"/>
            <w:vAlign w:val="bottom"/>
            <w:tcBorders>
              <w:bottom w:val="single" w:sz="8" w:color="E5FFFF"/>
            </w:tcBorders>
            <w:shd w:val="clear" w:color="auto" w:fill="E5FFFF"/>
          </w:tcPr>
          <w:p>
            <w:pPr>
              <w:ind w:left="520"/>
              <w:spacing w:after="0"/>
              <w:rPr>
                <w:sz w:val="20"/>
                <w:szCs w:val="20"/>
                <w:color w:val="auto"/>
              </w:rPr>
            </w:pPr>
            <w:r>
              <w:rPr>
                <w:rFonts w:ascii="Arial" w:cs="Arial" w:eastAsia="Arial" w:hAnsi="Arial"/>
                <w:sz w:val="18"/>
                <w:szCs w:val="18"/>
                <w:b w:val="1"/>
                <w:bCs w:val="1"/>
                <w:color w:val="auto"/>
              </w:rPr>
              <w:t>Total earnings, as defined</w:t>
            </w:r>
          </w:p>
        </w:tc>
        <w:tc>
          <w:tcPr>
            <w:tcW w:w="240" w:type="dxa"/>
            <w:vAlign w:val="bottom"/>
            <w:tcBorders>
              <w:bottom w:val="single" w:sz="8" w:color="auto"/>
            </w:tcBorders>
            <w:shd w:val="clear" w:color="auto" w:fill="E5FF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E5FFFF"/>
          </w:tcPr>
          <w:p>
            <w:pPr>
              <w:jc w:val="right"/>
              <w:ind w:right="10"/>
              <w:spacing w:after="0"/>
              <w:rPr>
                <w:sz w:val="20"/>
                <w:szCs w:val="20"/>
                <w:color w:val="auto"/>
              </w:rPr>
            </w:pPr>
            <w:r>
              <w:rPr>
                <w:rFonts w:ascii="Arial" w:cs="Arial" w:eastAsia="Arial" w:hAnsi="Arial"/>
                <w:sz w:val="18"/>
                <w:szCs w:val="18"/>
                <w:color w:val="auto"/>
              </w:rPr>
              <w:t>4,091</w:t>
            </w:r>
          </w:p>
        </w:tc>
        <w:tc>
          <w:tcPr>
            <w:tcW w:w="0" w:type="dxa"/>
            <w:vAlign w:val="bottom"/>
          </w:tcPr>
          <w:p>
            <w:pPr>
              <w:spacing w:after="0"/>
              <w:rPr>
                <w:sz w:val="1"/>
                <w:szCs w:val="1"/>
                <w:color w:val="auto"/>
              </w:rPr>
            </w:pPr>
          </w:p>
        </w:tc>
      </w:tr>
      <w:tr>
        <w:trPr>
          <w:trHeight w:val="20"/>
        </w:trPr>
        <w:tc>
          <w:tcPr>
            <w:tcW w:w="100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Fixed Charges:</w:t>
            </w: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06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0040" w:type="dxa"/>
            <w:vAlign w:val="bottom"/>
            <w:shd w:val="clear" w:color="auto" w:fill="E5FFFF"/>
          </w:tcPr>
          <w:p>
            <w:pPr>
              <w:ind w:left="160"/>
              <w:spacing w:after="0" w:line="243" w:lineRule="exact"/>
              <w:rPr>
                <w:sz w:val="20"/>
                <w:szCs w:val="20"/>
                <w:color w:val="auto"/>
              </w:rPr>
            </w:pPr>
            <w:r>
              <w:rPr>
                <w:rFonts w:ascii="Arial" w:cs="Arial" w:eastAsia="Arial" w:hAnsi="Arial"/>
                <w:sz w:val="17"/>
                <w:szCs w:val="17"/>
                <w:color w:val="auto"/>
              </w:rPr>
              <w:t>Rents</w:t>
            </w:r>
            <w:r>
              <w:rPr>
                <w:rFonts w:ascii="Arial" w:cs="Arial" w:eastAsia="Arial" w:hAnsi="Arial"/>
                <w:sz w:val="28"/>
                <w:szCs w:val="28"/>
                <w:color w:val="auto"/>
                <w:vertAlign w:val="superscript"/>
              </w:rPr>
              <w:t>(a)</w:t>
            </w:r>
          </w:p>
        </w:tc>
        <w:tc>
          <w:tcPr>
            <w:tcW w:w="240" w:type="dxa"/>
            <w:vAlign w:val="bottom"/>
            <w:shd w:val="clear" w:color="auto" w:fill="E5FF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E5FFFF"/>
          </w:tcPr>
          <w:p>
            <w:pPr>
              <w:jc w:val="right"/>
              <w:ind w:right="1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40" w:type="dxa"/>
            <w:vAlign w:val="bottom"/>
            <w:tcBorders>
              <w:bottom w:val="single" w:sz="8" w:color="E5FFFF"/>
            </w:tcBorders>
          </w:tcPr>
          <w:p>
            <w:pPr>
              <w:ind w:left="160"/>
              <w:spacing w:after="0"/>
              <w:rPr>
                <w:sz w:val="20"/>
                <w:szCs w:val="20"/>
                <w:color w:val="auto"/>
              </w:rPr>
            </w:pPr>
            <w:r>
              <w:rPr>
                <w:rFonts w:ascii="Arial" w:cs="Arial" w:eastAsia="Arial" w:hAnsi="Arial"/>
                <w:sz w:val="18"/>
                <w:szCs w:val="18"/>
                <w:color w:val="auto"/>
              </w:rPr>
              <w:t>Interest and other financial charges</w:t>
            </w: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04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1120" w:type="dxa"/>
            <w:vAlign w:val="bottom"/>
            <w:shd w:val="clear" w:color="auto" w:fill="E5FFFF"/>
          </w:tcPr>
          <w:p>
            <w:pPr>
              <w:jc w:val="right"/>
              <w:ind w:right="10"/>
              <w:spacing w:after="0" w:line="196" w:lineRule="exact"/>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40" w:type="dxa"/>
            <w:vAlign w:val="bottom"/>
            <w:tcBorders>
              <w:bottom w:val="single" w:sz="8" w:color="E5FFFF"/>
            </w:tcBorders>
          </w:tcPr>
          <w:p>
            <w:pPr>
              <w:ind w:left="160"/>
              <w:spacing w:after="0"/>
              <w:rPr>
                <w:sz w:val="20"/>
                <w:szCs w:val="20"/>
                <w:color w:val="auto"/>
              </w:rPr>
            </w:pPr>
            <w:r>
              <w:rPr>
                <w:rFonts w:ascii="Arial" w:cs="Arial" w:eastAsia="Arial" w:hAnsi="Arial"/>
                <w:sz w:val="18"/>
                <w:szCs w:val="18"/>
                <w:color w:val="auto"/>
              </w:rPr>
              <w:t>Capitalized interest</w:t>
            </w: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040" w:type="dxa"/>
            <w:vAlign w:val="bottom"/>
            <w:tcBorders>
              <w:bottom w:val="single" w:sz="8" w:color="E5FFFF"/>
            </w:tcBorders>
            <w:shd w:val="clear" w:color="auto" w:fill="E5FFFF"/>
          </w:tcPr>
          <w:p>
            <w:pPr>
              <w:ind w:left="520"/>
              <w:spacing w:after="0"/>
              <w:rPr>
                <w:sz w:val="20"/>
                <w:szCs w:val="20"/>
                <w:color w:val="auto"/>
              </w:rPr>
            </w:pPr>
            <w:r>
              <w:rPr>
                <w:rFonts w:ascii="Arial" w:cs="Arial" w:eastAsia="Arial" w:hAnsi="Arial"/>
                <w:sz w:val="18"/>
                <w:szCs w:val="18"/>
                <w:b w:val="1"/>
                <w:bCs w:val="1"/>
                <w:color w:val="auto"/>
              </w:rPr>
              <w:t>Total fixed charges</w:t>
            </w:r>
          </w:p>
        </w:tc>
        <w:tc>
          <w:tcPr>
            <w:tcW w:w="240" w:type="dxa"/>
            <w:vAlign w:val="bottom"/>
            <w:tcBorders>
              <w:bottom w:val="single" w:sz="8" w:color="auto"/>
            </w:tcBorders>
            <w:shd w:val="clear" w:color="auto" w:fill="E5FF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E5FFFF"/>
          </w:tcPr>
          <w:p>
            <w:pPr>
              <w:jc w:val="right"/>
              <w:ind w:right="10"/>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0"/>
        </w:trPr>
        <w:tc>
          <w:tcPr>
            <w:tcW w:w="100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Ratio of Earnings to Fixed Charges</w:t>
            </w: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1006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20.15</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right="580" w:firstLine="8"/>
        <w:spacing w:after="0" w:line="262" w:lineRule="auto"/>
        <w:tabs>
          <w:tab w:leader="none" w:pos="265" w:val="left"/>
        </w:tabs>
        <w:numPr>
          <w:ilvl w:val="0"/>
          <w:numId w:val="43"/>
        </w:numPr>
        <w:rPr>
          <w:rFonts w:ascii="Arial" w:cs="Arial" w:eastAsia="Arial" w:hAnsi="Arial"/>
          <w:sz w:val="18"/>
          <w:szCs w:val="18"/>
          <w:color w:val="auto"/>
        </w:rPr>
      </w:pPr>
      <w:r>
        <w:rPr>
          <w:rFonts w:ascii="Arial" w:cs="Arial" w:eastAsia="Arial" w:hAnsi="Arial"/>
          <w:sz w:val="18"/>
          <w:szCs w:val="18"/>
          <w:color w:val="auto"/>
        </w:rPr>
        <w:t>Denotes the equivalent of an appropriate portion of rentals representative of the interest factor on all rentals other than for capitalized 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133985</wp:posOffset>
            </wp:positionV>
            <wp:extent cx="7246620" cy="342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78" w:name="page79"/>
    <w:bookmarkEnd w:id="78"/>
    <w:p>
      <w:pPr>
        <w:jc w:val="right"/>
        <w:spacing w:after="0"/>
        <w:rPr>
          <w:sz w:val="20"/>
          <w:szCs w:val="20"/>
          <w:color w:val="auto"/>
        </w:rPr>
      </w:pPr>
      <w:r>
        <w:rPr>
          <w:rFonts w:ascii="Arial" w:cs="Arial" w:eastAsia="Arial" w:hAnsi="Arial"/>
          <w:sz w:val="18"/>
          <w:szCs w:val="18"/>
          <w:b w:val="1"/>
          <w:bCs w:val="1"/>
          <w:color w:val="auto"/>
        </w:rPr>
        <w:t>EXHIBIT 31.1</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w:t>
      </w: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I, Darius Adamczyk, certify that:</w:t>
      </w:r>
    </w:p>
    <w:p>
      <w:pPr>
        <w:spacing w:after="0" w:line="198" w:lineRule="exact"/>
        <w:rPr>
          <w:sz w:val="20"/>
          <w:szCs w:val="20"/>
          <w:color w:val="auto"/>
        </w:rPr>
      </w:pPr>
    </w:p>
    <w:p>
      <w:pPr>
        <w:ind w:left="660" w:hanging="652"/>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Honeywell International Inc.;</w:t>
      </w:r>
    </w:p>
    <w:p>
      <w:pPr>
        <w:spacing w:after="0" w:line="198" w:lineRule="exact"/>
        <w:rPr>
          <w:rFonts w:ascii="Arial" w:cs="Arial" w:eastAsia="Arial" w:hAnsi="Arial"/>
          <w:sz w:val="18"/>
          <w:szCs w:val="18"/>
          <w:color w:val="auto"/>
        </w:rPr>
      </w:pPr>
    </w:p>
    <w:p>
      <w:pPr>
        <w:jc w:val="both"/>
        <w:ind w:left="660" w:hanging="652"/>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9" w:lineRule="exact"/>
        <w:rPr>
          <w:rFonts w:ascii="Arial" w:cs="Arial" w:eastAsia="Arial" w:hAnsi="Arial"/>
          <w:sz w:val="18"/>
          <w:szCs w:val="18"/>
          <w:color w:val="auto"/>
        </w:rPr>
      </w:pPr>
    </w:p>
    <w:p>
      <w:pPr>
        <w:jc w:val="both"/>
        <w:ind w:left="660" w:hanging="652"/>
        <w:spacing w:after="0" w:line="246"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jc w:val="both"/>
        <w:ind w:left="660" w:hanging="652"/>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9" w:lineRule="exact"/>
        <w:rPr>
          <w:rFonts w:ascii="Arial" w:cs="Arial" w:eastAsia="Arial" w:hAnsi="Arial"/>
          <w:sz w:val="18"/>
          <w:szCs w:val="18"/>
          <w:color w:val="auto"/>
        </w:rPr>
      </w:pPr>
    </w:p>
    <w:p>
      <w:pPr>
        <w:jc w:val="both"/>
        <w:ind w:left="1300" w:hanging="320"/>
        <w:spacing w:after="0"/>
        <w:tabs>
          <w:tab w:leader="none" w:pos="1300" w:val="left"/>
        </w:tabs>
        <w:numPr>
          <w:ilvl w:val="1"/>
          <w:numId w:val="4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29" w:lineRule="exact"/>
        <w:rPr>
          <w:rFonts w:ascii="Arial" w:cs="Arial" w:eastAsia="Arial" w:hAnsi="Arial"/>
          <w:sz w:val="18"/>
          <w:szCs w:val="18"/>
          <w:color w:val="auto"/>
        </w:rPr>
      </w:pPr>
    </w:p>
    <w:p>
      <w:pPr>
        <w:jc w:val="both"/>
        <w:ind w:left="1300" w:hanging="320"/>
        <w:spacing w:after="0"/>
        <w:tabs>
          <w:tab w:leader="none" w:pos="1300" w:val="left"/>
        </w:tabs>
        <w:numPr>
          <w:ilvl w:val="1"/>
          <w:numId w:val="4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29" w:lineRule="exact"/>
        <w:rPr>
          <w:rFonts w:ascii="Arial" w:cs="Arial" w:eastAsia="Arial" w:hAnsi="Arial"/>
          <w:sz w:val="18"/>
          <w:szCs w:val="18"/>
          <w:color w:val="auto"/>
        </w:rPr>
      </w:pPr>
    </w:p>
    <w:p>
      <w:pPr>
        <w:jc w:val="both"/>
        <w:ind w:left="1300" w:hanging="320"/>
        <w:spacing w:after="0"/>
        <w:tabs>
          <w:tab w:leader="none" w:pos="1300" w:val="left"/>
        </w:tabs>
        <w:numPr>
          <w:ilvl w:val="1"/>
          <w:numId w:val="4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29" w:lineRule="exact"/>
        <w:rPr>
          <w:rFonts w:ascii="Arial" w:cs="Arial" w:eastAsia="Arial" w:hAnsi="Arial"/>
          <w:sz w:val="18"/>
          <w:szCs w:val="18"/>
          <w:color w:val="auto"/>
        </w:rPr>
      </w:pPr>
    </w:p>
    <w:p>
      <w:pPr>
        <w:jc w:val="both"/>
        <w:ind w:left="1300" w:hanging="320"/>
        <w:spacing w:after="0"/>
        <w:tabs>
          <w:tab w:leader="none" w:pos="1300" w:val="left"/>
        </w:tabs>
        <w:numPr>
          <w:ilvl w:val="1"/>
          <w:numId w:val="4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89" w:lineRule="exact"/>
        <w:rPr>
          <w:rFonts w:ascii="Arial" w:cs="Arial" w:eastAsia="Arial" w:hAnsi="Arial"/>
          <w:sz w:val="18"/>
          <w:szCs w:val="18"/>
          <w:color w:val="auto"/>
        </w:rPr>
      </w:pPr>
    </w:p>
    <w:p>
      <w:pPr>
        <w:jc w:val="both"/>
        <w:ind w:left="660" w:hanging="652"/>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9" w:lineRule="exact"/>
        <w:rPr>
          <w:rFonts w:ascii="Arial" w:cs="Arial" w:eastAsia="Arial" w:hAnsi="Arial"/>
          <w:sz w:val="18"/>
          <w:szCs w:val="18"/>
          <w:color w:val="auto"/>
        </w:rPr>
      </w:pPr>
    </w:p>
    <w:p>
      <w:pPr>
        <w:jc w:val="both"/>
        <w:ind w:left="1300" w:right="20" w:hanging="320"/>
        <w:spacing w:after="0"/>
        <w:tabs>
          <w:tab w:leader="none" w:pos="1300" w:val="left"/>
        </w:tabs>
        <w:numPr>
          <w:ilvl w:val="1"/>
          <w:numId w:val="4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29" w:lineRule="exact"/>
        <w:rPr>
          <w:rFonts w:ascii="Arial" w:cs="Arial" w:eastAsia="Arial" w:hAnsi="Arial"/>
          <w:sz w:val="18"/>
          <w:szCs w:val="18"/>
          <w:color w:val="auto"/>
        </w:rPr>
      </w:pPr>
    </w:p>
    <w:p>
      <w:pPr>
        <w:ind w:left="1300" w:hanging="320"/>
        <w:spacing w:after="0" w:line="246" w:lineRule="auto"/>
        <w:tabs>
          <w:tab w:leader="none" w:pos="1300" w:val="left"/>
        </w:tabs>
        <w:numPr>
          <w:ilvl w:val="1"/>
          <w:numId w:val="4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40" w:type="dxa"/>
            <w:vAlign w:val="bottom"/>
          </w:tcPr>
          <w:p>
            <w:pPr>
              <w:spacing w:after="0"/>
              <w:rPr>
                <w:sz w:val="20"/>
                <w:szCs w:val="20"/>
                <w:color w:val="auto"/>
              </w:rPr>
            </w:pPr>
            <w:r>
              <w:rPr>
                <w:rFonts w:ascii="Arial" w:cs="Arial" w:eastAsia="Arial" w:hAnsi="Arial"/>
                <w:sz w:val="18"/>
                <w:szCs w:val="18"/>
                <w:color w:val="auto"/>
              </w:rPr>
              <w:t>Date: July 20, 2018</w:t>
            </w:r>
          </w:p>
        </w:tc>
        <w:tc>
          <w:tcPr>
            <w:tcW w:w="7780" w:type="dxa"/>
            <w:vAlign w:val="bottom"/>
            <w:gridSpan w:val="3"/>
          </w:tcPr>
          <w:p>
            <w:pPr>
              <w:ind w:left="2080"/>
              <w:spacing w:after="0"/>
              <w:rPr>
                <w:sz w:val="20"/>
                <w:szCs w:val="20"/>
                <w:color w:val="auto"/>
              </w:rPr>
            </w:pPr>
            <w:r>
              <w:rPr>
                <w:rFonts w:ascii="Arial" w:cs="Arial" w:eastAsia="Arial" w:hAnsi="Arial"/>
                <w:sz w:val="18"/>
                <w:szCs w:val="18"/>
                <w:color w:val="auto"/>
              </w:rPr>
              <w:t>By: /s/ Darius Adamczyk</w:t>
            </w:r>
          </w:p>
        </w:tc>
      </w:tr>
      <w:tr>
        <w:trPr>
          <w:trHeight w:val="209"/>
        </w:trPr>
        <w:tc>
          <w:tcPr>
            <w:tcW w:w="36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6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Darius Adamczyk</w:t>
            </w:r>
          </w:p>
        </w:tc>
        <w:tc>
          <w:tcPr>
            <w:tcW w:w="3720" w:type="dxa"/>
            <w:vAlign w:val="bottom"/>
          </w:tcPr>
          <w:p>
            <w:pPr>
              <w:spacing w:after="0"/>
              <w:rPr>
                <w:sz w:val="18"/>
                <w:szCs w:val="18"/>
                <w:color w:val="auto"/>
              </w:rPr>
            </w:pPr>
          </w:p>
        </w:tc>
      </w:tr>
      <w:tr>
        <w:trPr>
          <w:trHeight w:val="217"/>
        </w:trPr>
        <w:tc>
          <w:tcPr>
            <w:tcW w:w="36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5360" w:type="dxa"/>
            <w:vAlign w:val="bottom"/>
            <w:gridSpan w:val="2"/>
          </w:tcPr>
          <w:p>
            <w:pPr>
              <w:spacing w:after="0"/>
              <w:rPr>
                <w:sz w:val="20"/>
                <w:szCs w:val="20"/>
                <w:color w:val="auto"/>
              </w:rPr>
            </w:pPr>
            <w:r>
              <w:rPr>
                <w:rFonts w:ascii="Arial" w:cs="Arial" w:eastAsia="Arial" w:hAnsi="Arial"/>
                <w:sz w:val="18"/>
                <w:szCs w:val="18"/>
                <w:color w:val="auto"/>
              </w:rPr>
              <w:t>Chairman and Chief Executive Officer</w:t>
            </w:r>
          </w:p>
        </w:tc>
      </w:tr>
      <w:tr>
        <w:trPr>
          <w:trHeight w:val="264"/>
        </w:trPr>
        <w:tc>
          <w:tcPr>
            <w:tcW w:w="3640" w:type="dxa"/>
            <w:vAlign w:val="bottom"/>
            <w:tcBorders>
              <w:bottom w:val="single" w:sz="8" w:color="C0C0C0"/>
            </w:tcBorders>
          </w:tcPr>
          <w:p>
            <w:pPr>
              <w:spacing w:after="0"/>
              <w:rPr>
                <w:sz w:val="22"/>
                <w:szCs w:val="22"/>
                <w:color w:val="auto"/>
              </w:rPr>
            </w:pPr>
          </w:p>
        </w:tc>
        <w:tc>
          <w:tcPr>
            <w:tcW w:w="2420" w:type="dxa"/>
            <w:vAlign w:val="bottom"/>
            <w:tcBorders>
              <w:bottom w:val="single" w:sz="8" w:color="C0C0C0"/>
            </w:tcBorders>
          </w:tcPr>
          <w:p>
            <w:pPr>
              <w:spacing w:after="0"/>
              <w:rPr>
                <w:sz w:val="22"/>
                <w:szCs w:val="22"/>
                <w:color w:val="auto"/>
              </w:rPr>
            </w:pPr>
          </w:p>
        </w:tc>
        <w:tc>
          <w:tcPr>
            <w:tcW w:w="1640" w:type="dxa"/>
            <w:vAlign w:val="bottom"/>
            <w:tcBorders>
              <w:bottom w:val="single" w:sz="8" w:color="C0C0C0"/>
            </w:tcBorders>
          </w:tcPr>
          <w:p>
            <w:pPr>
              <w:spacing w:after="0"/>
              <w:rPr>
                <w:sz w:val="22"/>
                <w:szCs w:val="22"/>
                <w:color w:val="auto"/>
              </w:rPr>
            </w:pPr>
          </w:p>
        </w:tc>
        <w:tc>
          <w:tcPr>
            <w:tcW w:w="3720" w:type="dxa"/>
            <w:vAlign w:val="bottom"/>
            <w:tcBorders>
              <w:bottom w:val="single" w:sz="8" w:color="C0C0C0"/>
            </w:tcBorders>
          </w:tcPr>
          <w:p>
            <w:pPr>
              <w:spacing w:after="0"/>
              <w:rPr>
                <w:sz w:val="22"/>
                <w:szCs w:val="22"/>
                <w:color w:val="auto"/>
              </w:rPr>
            </w:pPr>
          </w:p>
        </w:tc>
      </w:tr>
    </w:tbl>
    <w:p>
      <w:pPr>
        <w:sectPr>
          <w:pgSz w:w="11900" w:h="16838" w:orient="portrait"/>
          <w:cols w:equalWidth="0" w:num="1">
            <w:col w:w="11420"/>
          </w:cols>
          <w:pgMar w:left="240" w:top="118" w:right="239" w:bottom="1440" w:gutter="0" w:footer="0" w:header="0"/>
        </w:sectPr>
      </w:pPr>
    </w:p>
    <w:bookmarkStart w:id="79" w:name="page80"/>
    <w:bookmarkEnd w:id="79"/>
    <w:p>
      <w:pPr>
        <w:jc w:val="right"/>
        <w:spacing w:after="0"/>
        <w:rPr>
          <w:sz w:val="20"/>
          <w:szCs w:val="20"/>
          <w:color w:val="auto"/>
        </w:rPr>
      </w:pPr>
      <w:r>
        <w:rPr>
          <w:rFonts w:ascii="Arial" w:cs="Arial" w:eastAsia="Arial" w:hAnsi="Arial"/>
          <w:sz w:val="18"/>
          <w:szCs w:val="18"/>
          <w:b w:val="1"/>
          <w:bCs w:val="1"/>
          <w:color w:val="auto"/>
        </w:rPr>
        <w:t>EXHIBIT 31.2</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w:t>
      </w: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I, Thomas A. Szlosek, certify that:</w:t>
      </w:r>
    </w:p>
    <w:p>
      <w:pPr>
        <w:spacing w:after="0" w:line="198" w:lineRule="exact"/>
        <w:rPr>
          <w:sz w:val="20"/>
          <w:szCs w:val="20"/>
          <w:color w:val="auto"/>
        </w:rPr>
      </w:pPr>
    </w:p>
    <w:p>
      <w:pPr>
        <w:ind w:left="660" w:hanging="652"/>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Honeywell International Inc.;</w:t>
      </w:r>
    </w:p>
    <w:p>
      <w:pPr>
        <w:spacing w:after="0" w:line="198" w:lineRule="exact"/>
        <w:rPr>
          <w:rFonts w:ascii="Arial" w:cs="Arial" w:eastAsia="Arial" w:hAnsi="Arial"/>
          <w:sz w:val="18"/>
          <w:szCs w:val="18"/>
          <w:color w:val="auto"/>
        </w:rPr>
      </w:pPr>
    </w:p>
    <w:p>
      <w:pPr>
        <w:jc w:val="both"/>
        <w:ind w:left="660" w:hanging="652"/>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9" w:lineRule="exact"/>
        <w:rPr>
          <w:rFonts w:ascii="Arial" w:cs="Arial" w:eastAsia="Arial" w:hAnsi="Arial"/>
          <w:sz w:val="18"/>
          <w:szCs w:val="18"/>
          <w:color w:val="auto"/>
        </w:rPr>
      </w:pPr>
    </w:p>
    <w:p>
      <w:pPr>
        <w:jc w:val="both"/>
        <w:ind w:left="660" w:hanging="652"/>
        <w:spacing w:after="0" w:line="246"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jc w:val="both"/>
        <w:ind w:left="660" w:hanging="652"/>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9" w:lineRule="exact"/>
        <w:rPr>
          <w:rFonts w:ascii="Arial" w:cs="Arial" w:eastAsia="Arial" w:hAnsi="Arial"/>
          <w:sz w:val="18"/>
          <w:szCs w:val="18"/>
          <w:color w:val="auto"/>
        </w:rPr>
      </w:pPr>
    </w:p>
    <w:p>
      <w:pPr>
        <w:jc w:val="both"/>
        <w:ind w:left="1300" w:hanging="320"/>
        <w:spacing w:after="0"/>
        <w:tabs>
          <w:tab w:leader="none" w:pos="1300" w:val="left"/>
        </w:tabs>
        <w:numPr>
          <w:ilvl w:val="1"/>
          <w:numId w:val="4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9" w:lineRule="exact"/>
        <w:rPr>
          <w:rFonts w:ascii="Arial" w:cs="Arial" w:eastAsia="Arial" w:hAnsi="Arial"/>
          <w:sz w:val="18"/>
          <w:szCs w:val="18"/>
          <w:color w:val="auto"/>
        </w:rPr>
      </w:pPr>
    </w:p>
    <w:p>
      <w:pPr>
        <w:jc w:val="both"/>
        <w:ind w:left="1300" w:hanging="320"/>
        <w:spacing w:after="0"/>
        <w:tabs>
          <w:tab w:leader="none" w:pos="1300" w:val="left"/>
        </w:tabs>
        <w:numPr>
          <w:ilvl w:val="1"/>
          <w:numId w:val="4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9" w:lineRule="exact"/>
        <w:rPr>
          <w:rFonts w:ascii="Arial" w:cs="Arial" w:eastAsia="Arial" w:hAnsi="Arial"/>
          <w:sz w:val="18"/>
          <w:szCs w:val="18"/>
          <w:color w:val="auto"/>
        </w:rPr>
      </w:pPr>
    </w:p>
    <w:p>
      <w:pPr>
        <w:jc w:val="both"/>
        <w:ind w:left="1300" w:hanging="320"/>
        <w:spacing w:after="0"/>
        <w:tabs>
          <w:tab w:leader="none" w:pos="1300" w:val="left"/>
        </w:tabs>
        <w:numPr>
          <w:ilvl w:val="1"/>
          <w:numId w:val="4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9" w:lineRule="exact"/>
        <w:rPr>
          <w:rFonts w:ascii="Arial" w:cs="Arial" w:eastAsia="Arial" w:hAnsi="Arial"/>
          <w:sz w:val="18"/>
          <w:szCs w:val="18"/>
          <w:color w:val="auto"/>
        </w:rPr>
      </w:pPr>
    </w:p>
    <w:p>
      <w:pPr>
        <w:jc w:val="both"/>
        <w:ind w:left="1300" w:hanging="320"/>
        <w:spacing w:after="0"/>
        <w:tabs>
          <w:tab w:leader="none" w:pos="1300" w:val="left"/>
        </w:tabs>
        <w:numPr>
          <w:ilvl w:val="1"/>
          <w:numId w:val="4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89" w:lineRule="exact"/>
        <w:rPr>
          <w:rFonts w:ascii="Arial" w:cs="Arial" w:eastAsia="Arial" w:hAnsi="Arial"/>
          <w:sz w:val="18"/>
          <w:szCs w:val="18"/>
          <w:color w:val="auto"/>
        </w:rPr>
      </w:pPr>
    </w:p>
    <w:p>
      <w:pPr>
        <w:jc w:val="both"/>
        <w:ind w:left="660" w:hanging="652"/>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9" w:lineRule="exact"/>
        <w:rPr>
          <w:rFonts w:ascii="Arial" w:cs="Arial" w:eastAsia="Arial" w:hAnsi="Arial"/>
          <w:sz w:val="18"/>
          <w:szCs w:val="18"/>
          <w:color w:val="auto"/>
        </w:rPr>
      </w:pPr>
    </w:p>
    <w:p>
      <w:pPr>
        <w:jc w:val="both"/>
        <w:ind w:left="1300" w:right="20" w:hanging="320"/>
        <w:spacing w:after="0"/>
        <w:tabs>
          <w:tab w:leader="none" w:pos="1300" w:val="left"/>
        </w:tabs>
        <w:numPr>
          <w:ilvl w:val="1"/>
          <w:numId w:val="4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9" w:lineRule="exact"/>
        <w:rPr>
          <w:rFonts w:ascii="Arial" w:cs="Arial" w:eastAsia="Arial" w:hAnsi="Arial"/>
          <w:sz w:val="18"/>
          <w:szCs w:val="18"/>
          <w:color w:val="auto"/>
        </w:rPr>
      </w:pPr>
    </w:p>
    <w:p>
      <w:pPr>
        <w:ind w:left="1300" w:hanging="320"/>
        <w:spacing w:after="0" w:line="246" w:lineRule="auto"/>
        <w:tabs>
          <w:tab w:leader="none" w:pos="1300" w:val="left"/>
        </w:tabs>
        <w:numPr>
          <w:ilvl w:val="1"/>
          <w:numId w:val="4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40" w:type="dxa"/>
            <w:vAlign w:val="bottom"/>
          </w:tcPr>
          <w:p>
            <w:pPr>
              <w:spacing w:after="0"/>
              <w:rPr>
                <w:sz w:val="20"/>
                <w:szCs w:val="20"/>
                <w:color w:val="auto"/>
              </w:rPr>
            </w:pPr>
            <w:r>
              <w:rPr>
                <w:rFonts w:ascii="Arial" w:cs="Arial" w:eastAsia="Arial" w:hAnsi="Arial"/>
                <w:sz w:val="18"/>
                <w:szCs w:val="18"/>
                <w:color w:val="auto"/>
              </w:rPr>
              <w:t>Date: July 20, 2018</w:t>
            </w:r>
          </w:p>
        </w:tc>
        <w:tc>
          <w:tcPr>
            <w:tcW w:w="7780" w:type="dxa"/>
            <w:vAlign w:val="bottom"/>
            <w:gridSpan w:val="3"/>
          </w:tcPr>
          <w:p>
            <w:pPr>
              <w:ind w:left="2080"/>
              <w:spacing w:after="0"/>
              <w:rPr>
                <w:sz w:val="20"/>
                <w:szCs w:val="20"/>
                <w:color w:val="auto"/>
              </w:rPr>
            </w:pPr>
            <w:r>
              <w:rPr>
                <w:rFonts w:ascii="Arial" w:cs="Arial" w:eastAsia="Arial" w:hAnsi="Arial"/>
                <w:sz w:val="18"/>
                <w:szCs w:val="18"/>
                <w:color w:val="auto"/>
              </w:rPr>
              <w:t>By: /s/ Thomas A. Szlosek</w:t>
            </w:r>
          </w:p>
        </w:tc>
      </w:tr>
      <w:tr>
        <w:trPr>
          <w:trHeight w:val="209"/>
        </w:trPr>
        <w:tc>
          <w:tcPr>
            <w:tcW w:w="36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7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Thomas A. Szlosek</w:t>
            </w:r>
          </w:p>
        </w:tc>
        <w:tc>
          <w:tcPr>
            <w:tcW w:w="3580" w:type="dxa"/>
            <w:vAlign w:val="bottom"/>
          </w:tcPr>
          <w:p>
            <w:pPr>
              <w:spacing w:after="0"/>
              <w:rPr>
                <w:sz w:val="18"/>
                <w:szCs w:val="18"/>
                <w:color w:val="auto"/>
              </w:rPr>
            </w:pPr>
          </w:p>
        </w:tc>
      </w:tr>
      <w:tr>
        <w:trPr>
          <w:trHeight w:val="217"/>
        </w:trPr>
        <w:tc>
          <w:tcPr>
            <w:tcW w:w="36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5360" w:type="dxa"/>
            <w:vAlign w:val="bottom"/>
            <w:gridSpan w:val="2"/>
          </w:tcPr>
          <w:p>
            <w:pPr>
              <w:spacing w:after="0"/>
              <w:rPr>
                <w:sz w:val="20"/>
                <w:szCs w:val="20"/>
                <w:color w:val="auto"/>
              </w:rPr>
            </w:pPr>
            <w:r>
              <w:rPr>
                <w:rFonts w:ascii="Arial" w:cs="Arial" w:eastAsia="Arial" w:hAnsi="Arial"/>
                <w:sz w:val="18"/>
                <w:szCs w:val="18"/>
                <w:color w:val="auto"/>
              </w:rPr>
              <w:t>Senior Vice President and Chief Financial Officer</w:t>
            </w:r>
          </w:p>
        </w:tc>
      </w:tr>
      <w:tr>
        <w:trPr>
          <w:trHeight w:val="264"/>
        </w:trPr>
        <w:tc>
          <w:tcPr>
            <w:tcW w:w="3640" w:type="dxa"/>
            <w:vAlign w:val="bottom"/>
            <w:tcBorders>
              <w:bottom w:val="single" w:sz="8" w:color="C0C0C0"/>
            </w:tcBorders>
          </w:tcPr>
          <w:p>
            <w:pPr>
              <w:spacing w:after="0"/>
              <w:rPr>
                <w:sz w:val="22"/>
                <w:szCs w:val="22"/>
                <w:color w:val="auto"/>
              </w:rPr>
            </w:pPr>
          </w:p>
        </w:tc>
        <w:tc>
          <w:tcPr>
            <w:tcW w:w="2420" w:type="dxa"/>
            <w:vAlign w:val="bottom"/>
            <w:tcBorders>
              <w:bottom w:val="single" w:sz="8" w:color="C0C0C0"/>
            </w:tcBorders>
          </w:tcPr>
          <w:p>
            <w:pPr>
              <w:spacing w:after="0"/>
              <w:rPr>
                <w:sz w:val="22"/>
                <w:szCs w:val="22"/>
                <w:color w:val="auto"/>
              </w:rPr>
            </w:pPr>
          </w:p>
        </w:tc>
        <w:tc>
          <w:tcPr>
            <w:tcW w:w="1780" w:type="dxa"/>
            <w:vAlign w:val="bottom"/>
            <w:tcBorders>
              <w:bottom w:val="single" w:sz="8" w:color="C0C0C0"/>
            </w:tcBorders>
          </w:tcPr>
          <w:p>
            <w:pPr>
              <w:spacing w:after="0"/>
              <w:rPr>
                <w:sz w:val="22"/>
                <w:szCs w:val="22"/>
                <w:color w:val="auto"/>
              </w:rPr>
            </w:pPr>
          </w:p>
        </w:tc>
        <w:tc>
          <w:tcPr>
            <w:tcW w:w="3580" w:type="dxa"/>
            <w:vAlign w:val="bottom"/>
            <w:tcBorders>
              <w:bottom w:val="single" w:sz="8" w:color="C0C0C0"/>
            </w:tcBorders>
          </w:tcPr>
          <w:p>
            <w:pPr>
              <w:spacing w:after="0"/>
              <w:rPr>
                <w:sz w:val="22"/>
                <w:szCs w:val="22"/>
                <w:color w:val="auto"/>
              </w:rPr>
            </w:pPr>
          </w:p>
        </w:tc>
      </w:tr>
    </w:tbl>
    <w:p>
      <w:pPr>
        <w:sectPr>
          <w:pgSz w:w="11900" w:h="16838" w:orient="portrait"/>
          <w:cols w:equalWidth="0" w:num="1">
            <w:col w:w="11420"/>
          </w:cols>
          <w:pgMar w:left="240" w:top="118" w:right="239" w:bottom="1440" w:gutter="0" w:footer="0" w:header="0"/>
        </w:sectPr>
      </w:pPr>
    </w:p>
    <w:bookmarkStart w:id="80" w:name="page81"/>
    <w:bookmarkEnd w:id="80"/>
    <w:p>
      <w:pPr>
        <w:ind w:left="10300"/>
        <w:spacing w:after="0"/>
        <w:rPr>
          <w:sz w:val="20"/>
          <w:szCs w:val="20"/>
          <w:color w:val="auto"/>
        </w:rPr>
      </w:pPr>
      <w:r>
        <w:rPr>
          <w:rFonts w:ascii="Arial" w:cs="Arial" w:eastAsia="Arial" w:hAnsi="Arial"/>
          <w:sz w:val="18"/>
          <w:szCs w:val="18"/>
          <w:b w:val="1"/>
          <w:bCs w:val="1"/>
          <w:color w:val="auto"/>
        </w:rPr>
        <w:t>EXHIBIT 32.1</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jc w:val="center"/>
        <w:spacing w:after="0" w:line="234" w:lineRule="auto"/>
        <w:rPr>
          <w:sz w:val="20"/>
          <w:szCs w:val="20"/>
          <w:color w:val="auto"/>
        </w:rPr>
      </w:pPr>
      <w:r>
        <w:rPr>
          <w:rFonts w:ascii="Arial" w:cs="Arial" w:eastAsia="Arial" w:hAnsi="Arial"/>
          <w:sz w:val="18"/>
          <w:szCs w:val="18"/>
          <w:b w:val="1"/>
          <w:bCs w:val="1"/>
          <w:color w:val="auto"/>
        </w:rPr>
        <w:t>AS ADOPTED PURSUANT TO</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98"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 connection with the Quarterly Report of Honeywell International Inc. (the Company) on Form 10-Q for the period ended June 30, 2018 as filed with the Securities and Exchange Commission on the date hereof (the Report), I, Darius Adamczyk, Chairman and Chief Executive Officer of the Company, certify, pursuant to 18 U.S.C. Section 1350, as adopted pursuant to Section 906 of the Sarbanes-Oxley Act of 2002, that:</w:t>
      </w:r>
    </w:p>
    <w:p>
      <w:pPr>
        <w:spacing w:after="0" w:line="189" w:lineRule="exact"/>
        <w:rPr>
          <w:sz w:val="20"/>
          <w:szCs w:val="20"/>
          <w:color w:val="auto"/>
        </w:rPr>
      </w:pPr>
    </w:p>
    <w:p>
      <w:pPr>
        <w:ind w:left="1300" w:hanging="644"/>
        <w:spacing w:after="0"/>
        <w:tabs>
          <w:tab w:leader="none" w:pos="13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98" w:lineRule="exact"/>
        <w:rPr>
          <w:rFonts w:ascii="Arial" w:cs="Arial" w:eastAsia="Arial" w:hAnsi="Arial"/>
          <w:sz w:val="18"/>
          <w:szCs w:val="18"/>
          <w:color w:val="auto"/>
        </w:rPr>
      </w:pPr>
    </w:p>
    <w:p>
      <w:pPr>
        <w:ind w:left="1300" w:hanging="644"/>
        <w:spacing w:after="0" w:line="246" w:lineRule="auto"/>
        <w:tabs>
          <w:tab w:leader="none" w:pos="13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40" w:type="dxa"/>
            <w:vAlign w:val="bottom"/>
          </w:tcPr>
          <w:p>
            <w:pPr>
              <w:spacing w:after="0"/>
              <w:rPr>
                <w:sz w:val="20"/>
                <w:szCs w:val="20"/>
                <w:color w:val="auto"/>
              </w:rPr>
            </w:pPr>
            <w:r>
              <w:rPr>
                <w:rFonts w:ascii="Arial" w:cs="Arial" w:eastAsia="Arial" w:hAnsi="Arial"/>
                <w:sz w:val="18"/>
                <w:szCs w:val="18"/>
                <w:color w:val="auto"/>
              </w:rPr>
              <w:t>Date: July 20, 2018</w:t>
            </w:r>
          </w:p>
        </w:tc>
        <w:tc>
          <w:tcPr>
            <w:tcW w:w="7780" w:type="dxa"/>
            <w:vAlign w:val="bottom"/>
            <w:gridSpan w:val="3"/>
          </w:tcPr>
          <w:p>
            <w:pPr>
              <w:ind w:left="2080"/>
              <w:spacing w:after="0"/>
              <w:rPr>
                <w:sz w:val="20"/>
                <w:szCs w:val="20"/>
                <w:color w:val="auto"/>
              </w:rPr>
            </w:pPr>
            <w:r>
              <w:rPr>
                <w:rFonts w:ascii="Arial" w:cs="Arial" w:eastAsia="Arial" w:hAnsi="Arial"/>
                <w:sz w:val="18"/>
                <w:szCs w:val="18"/>
                <w:color w:val="auto"/>
              </w:rPr>
              <w:t>By: /s/ Darius Adamczyk</w:t>
            </w:r>
          </w:p>
        </w:tc>
      </w:tr>
      <w:tr>
        <w:trPr>
          <w:trHeight w:val="209"/>
        </w:trPr>
        <w:tc>
          <w:tcPr>
            <w:tcW w:w="36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6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Darius Adamczyk</w:t>
            </w:r>
          </w:p>
        </w:tc>
        <w:tc>
          <w:tcPr>
            <w:tcW w:w="3720" w:type="dxa"/>
            <w:vAlign w:val="bottom"/>
          </w:tcPr>
          <w:p>
            <w:pPr>
              <w:spacing w:after="0"/>
              <w:rPr>
                <w:sz w:val="18"/>
                <w:szCs w:val="18"/>
                <w:color w:val="auto"/>
              </w:rPr>
            </w:pPr>
          </w:p>
        </w:tc>
      </w:tr>
      <w:tr>
        <w:trPr>
          <w:trHeight w:val="217"/>
        </w:trPr>
        <w:tc>
          <w:tcPr>
            <w:tcW w:w="36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5360" w:type="dxa"/>
            <w:vAlign w:val="bottom"/>
            <w:gridSpan w:val="2"/>
          </w:tcPr>
          <w:p>
            <w:pPr>
              <w:spacing w:after="0"/>
              <w:rPr>
                <w:sz w:val="20"/>
                <w:szCs w:val="20"/>
                <w:color w:val="auto"/>
              </w:rPr>
            </w:pPr>
            <w:r>
              <w:rPr>
                <w:rFonts w:ascii="Arial" w:cs="Arial" w:eastAsia="Arial" w:hAnsi="Arial"/>
                <w:sz w:val="18"/>
                <w:szCs w:val="18"/>
                <w:color w:val="auto"/>
              </w:rPr>
              <w:t>Chairman and Chief Executive Officer</w:t>
            </w:r>
          </w:p>
        </w:tc>
      </w:tr>
      <w:tr>
        <w:trPr>
          <w:trHeight w:val="264"/>
        </w:trPr>
        <w:tc>
          <w:tcPr>
            <w:tcW w:w="3640" w:type="dxa"/>
            <w:vAlign w:val="bottom"/>
            <w:tcBorders>
              <w:bottom w:val="single" w:sz="8" w:color="C0C0C0"/>
            </w:tcBorders>
          </w:tcPr>
          <w:p>
            <w:pPr>
              <w:spacing w:after="0"/>
              <w:rPr>
                <w:sz w:val="22"/>
                <w:szCs w:val="22"/>
                <w:color w:val="auto"/>
              </w:rPr>
            </w:pPr>
          </w:p>
        </w:tc>
        <w:tc>
          <w:tcPr>
            <w:tcW w:w="2420" w:type="dxa"/>
            <w:vAlign w:val="bottom"/>
            <w:tcBorders>
              <w:bottom w:val="single" w:sz="8" w:color="C0C0C0"/>
            </w:tcBorders>
          </w:tcPr>
          <w:p>
            <w:pPr>
              <w:spacing w:after="0"/>
              <w:rPr>
                <w:sz w:val="22"/>
                <w:szCs w:val="22"/>
                <w:color w:val="auto"/>
              </w:rPr>
            </w:pPr>
          </w:p>
        </w:tc>
        <w:tc>
          <w:tcPr>
            <w:tcW w:w="1640" w:type="dxa"/>
            <w:vAlign w:val="bottom"/>
            <w:tcBorders>
              <w:bottom w:val="single" w:sz="8" w:color="C0C0C0"/>
            </w:tcBorders>
          </w:tcPr>
          <w:p>
            <w:pPr>
              <w:spacing w:after="0"/>
              <w:rPr>
                <w:sz w:val="22"/>
                <w:szCs w:val="22"/>
                <w:color w:val="auto"/>
              </w:rPr>
            </w:pPr>
          </w:p>
        </w:tc>
        <w:tc>
          <w:tcPr>
            <w:tcW w:w="3720" w:type="dxa"/>
            <w:vAlign w:val="bottom"/>
            <w:tcBorders>
              <w:bottom w:val="single" w:sz="8" w:color="C0C0C0"/>
            </w:tcBorders>
          </w:tcPr>
          <w:p>
            <w:pPr>
              <w:spacing w:after="0"/>
              <w:rPr>
                <w:sz w:val="22"/>
                <w:szCs w:val="22"/>
                <w:color w:val="auto"/>
              </w:rPr>
            </w:pPr>
          </w:p>
        </w:tc>
      </w:tr>
    </w:tbl>
    <w:p>
      <w:pPr>
        <w:sectPr>
          <w:pgSz w:w="11900" w:h="16838" w:orient="portrait"/>
          <w:cols w:equalWidth="0" w:num="1">
            <w:col w:w="11420"/>
          </w:cols>
          <w:pgMar w:left="240" w:top="118" w:right="239" w:bottom="1440" w:gutter="0" w:footer="0" w:header="0"/>
        </w:sectPr>
      </w:pPr>
    </w:p>
    <w:bookmarkStart w:id="81" w:name="page82"/>
    <w:bookmarkEnd w:id="81"/>
    <w:p>
      <w:pPr>
        <w:ind w:left="10300"/>
        <w:spacing w:after="0"/>
        <w:rPr>
          <w:sz w:val="20"/>
          <w:szCs w:val="20"/>
          <w:color w:val="auto"/>
        </w:rPr>
      </w:pPr>
      <w:r>
        <w:rPr>
          <w:rFonts w:ascii="Arial" w:cs="Arial" w:eastAsia="Arial" w:hAnsi="Arial"/>
          <w:sz w:val="18"/>
          <w:szCs w:val="18"/>
          <w:b w:val="1"/>
          <w:bCs w:val="1"/>
          <w:color w:val="auto"/>
        </w:rPr>
        <w:t>EXHIBIT 32.2</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jc w:val="center"/>
        <w:spacing w:after="0" w:line="234" w:lineRule="auto"/>
        <w:rPr>
          <w:sz w:val="20"/>
          <w:szCs w:val="20"/>
          <w:color w:val="auto"/>
        </w:rPr>
      </w:pPr>
      <w:r>
        <w:rPr>
          <w:rFonts w:ascii="Arial" w:cs="Arial" w:eastAsia="Arial" w:hAnsi="Arial"/>
          <w:sz w:val="18"/>
          <w:szCs w:val="18"/>
          <w:b w:val="1"/>
          <w:bCs w:val="1"/>
          <w:color w:val="auto"/>
        </w:rPr>
        <w:t>AS ADOPTED PURSUANT TO</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9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In connection with the Quarterly Report of Honeywell International Inc. (the Company) on Form 10-Q for the period ended June 30, 2018 as filed with the Securities and Exchange Commission on the date hereof (the Report), I, Thomas A. Szlosek, Senior Vice President and Chief Financial Officer of the Company, certify, pursuant to 18 U.S.C. Section 1350, as adopted pursuant to Section 906 of the Sarbanes-Oxley Act of 2002, that:</w:t>
      </w:r>
    </w:p>
    <w:p>
      <w:pPr>
        <w:spacing w:after="0" w:line="188" w:lineRule="exact"/>
        <w:rPr>
          <w:sz w:val="20"/>
          <w:szCs w:val="20"/>
          <w:color w:val="auto"/>
        </w:rPr>
      </w:pPr>
    </w:p>
    <w:p>
      <w:pPr>
        <w:ind w:left="1300" w:hanging="644"/>
        <w:spacing w:after="0"/>
        <w:tabs>
          <w:tab w:leader="none" w:pos="13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98" w:lineRule="exact"/>
        <w:rPr>
          <w:rFonts w:ascii="Arial" w:cs="Arial" w:eastAsia="Arial" w:hAnsi="Arial"/>
          <w:sz w:val="18"/>
          <w:szCs w:val="18"/>
          <w:color w:val="auto"/>
        </w:rPr>
      </w:pPr>
    </w:p>
    <w:p>
      <w:pPr>
        <w:ind w:left="1300" w:hanging="644"/>
        <w:spacing w:after="0" w:line="246" w:lineRule="auto"/>
        <w:tabs>
          <w:tab w:leader="none" w:pos="13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40" w:type="dxa"/>
            <w:vAlign w:val="bottom"/>
          </w:tcPr>
          <w:p>
            <w:pPr>
              <w:spacing w:after="0"/>
              <w:rPr>
                <w:sz w:val="20"/>
                <w:szCs w:val="20"/>
                <w:color w:val="auto"/>
              </w:rPr>
            </w:pPr>
            <w:r>
              <w:rPr>
                <w:rFonts w:ascii="Arial" w:cs="Arial" w:eastAsia="Arial" w:hAnsi="Arial"/>
                <w:sz w:val="18"/>
                <w:szCs w:val="18"/>
                <w:color w:val="auto"/>
              </w:rPr>
              <w:t>Date: July 20, 2018</w:t>
            </w:r>
          </w:p>
        </w:tc>
        <w:tc>
          <w:tcPr>
            <w:tcW w:w="7780" w:type="dxa"/>
            <w:vAlign w:val="bottom"/>
            <w:gridSpan w:val="3"/>
          </w:tcPr>
          <w:p>
            <w:pPr>
              <w:ind w:left="2080"/>
              <w:spacing w:after="0"/>
              <w:rPr>
                <w:sz w:val="20"/>
                <w:szCs w:val="20"/>
                <w:color w:val="auto"/>
              </w:rPr>
            </w:pPr>
            <w:r>
              <w:rPr>
                <w:rFonts w:ascii="Arial" w:cs="Arial" w:eastAsia="Arial" w:hAnsi="Arial"/>
                <w:sz w:val="18"/>
                <w:szCs w:val="18"/>
                <w:color w:val="auto"/>
              </w:rPr>
              <w:t>By: /s/ Thomas A. Szlosek</w:t>
            </w:r>
          </w:p>
        </w:tc>
      </w:tr>
      <w:tr>
        <w:trPr>
          <w:trHeight w:val="209"/>
        </w:trPr>
        <w:tc>
          <w:tcPr>
            <w:tcW w:w="36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7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Thomas A. Szlosek</w:t>
            </w:r>
          </w:p>
        </w:tc>
        <w:tc>
          <w:tcPr>
            <w:tcW w:w="3580" w:type="dxa"/>
            <w:vAlign w:val="bottom"/>
          </w:tcPr>
          <w:p>
            <w:pPr>
              <w:spacing w:after="0"/>
              <w:rPr>
                <w:sz w:val="18"/>
                <w:szCs w:val="18"/>
                <w:color w:val="auto"/>
              </w:rPr>
            </w:pPr>
          </w:p>
        </w:tc>
      </w:tr>
      <w:tr>
        <w:trPr>
          <w:trHeight w:val="217"/>
        </w:trPr>
        <w:tc>
          <w:tcPr>
            <w:tcW w:w="36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5360" w:type="dxa"/>
            <w:vAlign w:val="bottom"/>
            <w:gridSpan w:val="2"/>
          </w:tcPr>
          <w:p>
            <w:pPr>
              <w:spacing w:after="0"/>
              <w:rPr>
                <w:sz w:val="20"/>
                <w:szCs w:val="20"/>
                <w:color w:val="auto"/>
              </w:rPr>
            </w:pPr>
            <w:r>
              <w:rPr>
                <w:rFonts w:ascii="Arial" w:cs="Arial" w:eastAsia="Arial" w:hAnsi="Arial"/>
                <w:sz w:val="18"/>
                <w:szCs w:val="18"/>
                <w:color w:val="auto"/>
              </w:rPr>
              <w:t>Senior Vice President and Chief Financial Officer</w:t>
            </w:r>
          </w:p>
        </w:tc>
      </w:tr>
      <w:tr>
        <w:trPr>
          <w:trHeight w:val="264"/>
        </w:trPr>
        <w:tc>
          <w:tcPr>
            <w:tcW w:w="3640" w:type="dxa"/>
            <w:vAlign w:val="bottom"/>
            <w:tcBorders>
              <w:bottom w:val="single" w:sz="8" w:color="C0C0C0"/>
            </w:tcBorders>
          </w:tcPr>
          <w:p>
            <w:pPr>
              <w:spacing w:after="0"/>
              <w:rPr>
                <w:sz w:val="22"/>
                <w:szCs w:val="22"/>
                <w:color w:val="auto"/>
              </w:rPr>
            </w:pPr>
          </w:p>
        </w:tc>
        <w:tc>
          <w:tcPr>
            <w:tcW w:w="2420" w:type="dxa"/>
            <w:vAlign w:val="bottom"/>
            <w:tcBorders>
              <w:bottom w:val="single" w:sz="8" w:color="C0C0C0"/>
            </w:tcBorders>
          </w:tcPr>
          <w:p>
            <w:pPr>
              <w:spacing w:after="0"/>
              <w:rPr>
                <w:sz w:val="22"/>
                <w:szCs w:val="22"/>
                <w:color w:val="auto"/>
              </w:rPr>
            </w:pPr>
          </w:p>
        </w:tc>
        <w:tc>
          <w:tcPr>
            <w:tcW w:w="1780" w:type="dxa"/>
            <w:vAlign w:val="bottom"/>
            <w:tcBorders>
              <w:bottom w:val="single" w:sz="8" w:color="C0C0C0"/>
            </w:tcBorders>
          </w:tcPr>
          <w:p>
            <w:pPr>
              <w:spacing w:after="0"/>
              <w:rPr>
                <w:sz w:val="22"/>
                <w:szCs w:val="22"/>
                <w:color w:val="auto"/>
              </w:rPr>
            </w:pPr>
          </w:p>
        </w:tc>
        <w:tc>
          <w:tcPr>
            <w:tcW w:w="3580" w:type="dxa"/>
            <w:vAlign w:val="bottom"/>
            <w:tcBorders>
              <w:bottom w:val="single" w:sz="8" w:color="C0C0C0"/>
            </w:tcBorders>
          </w:tcPr>
          <w:p>
            <w:pPr>
              <w:spacing w:after="0"/>
              <w:rPr>
                <w:sz w:val="22"/>
                <w:szCs w:val="22"/>
                <w:color w:val="auto"/>
              </w:rPr>
            </w:pPr>
          </w:p>
        </w:tc>
      </w:tr>
    </w:tbl>
    <w:p>
      <w:pPr>
        <w:spacing w:after="0" w:line="1" w:lineRule="exact"/>
        <w:rPr>
          <w:sz w:val="20"/>
          <w:szCs w:val="20"/>
          <w:color w:val="auto"/>
        </w:rPr>
      </w:pPr>
    </w:p>
    <w:sectPr>
      <w:pgSz w:w="11900" w:h="16838" w:orient="portrait"/>
      <w:cols w:equalWidth="0" w:num="1">
        <w:col w:w="11420"/>
      </w:cols>
      <w:pgMar w:left="240" w:top="11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A2A8D4"/>
    <w:multiLevelType w:val="hybridMultilevel"/>
    <w:lvl w:ilvl="0">
      <w:lvlJc w:val="left"/>
      <w:lvlText w:val="☒"/>
      <w:numFmt w:val="bullet"/>
      <w:start w:val="1"/>
    </w:lvl>
  </w:abstractNum>
  <w:abstractNum w:abstractNumId="1">
    <w:nsid w:val="8EDBDAB"/>
    <w:multiLevelType w:val="hybridMultilevel"/>
    <w:lvl w:ilvl="0">
      <w:lvlJc w:val="left"/>
      <w:lvlText w:val="(%1)"/>
      <w:numFmt w:val="lowerLetter"/>
      <w:start w:val="1"/>
    </w:lvl>
  </w:abstractNum>
  <w:abstractNum w:abstractNumId="2">
    <w:nsid w:val="79838CB2"/>
    <w:multiLevelType w:val="hybridMultilevel"/>
    <w:lvl w:ilvl="0">
      <w:lvlJc w:val="left"/>
      <w:lvlText w:val="·"/>
      <w:numFmt w:val="bullet"/>
      <w:start w:val="1"/>
    </w:lvl>
  </w:abstractNum>
  <w:abstractNum w:abstractNumId="3">
    <w:nsid w:val="4353D0CD"/>
    <w:multiLevelType w:val="hybridMultilevel"/>
    <w:lvl w:ilvl="0">
      <w:lvlJc w:val="left"/>
      <w:lvlText w:val="%1."/>
      <w:numFmt w:val="upperLetter"/>
      <w:start w:val="1"/>
    </w:lvl>
  </w:abstractNum>
  <w:abstractNum w:abstractNumId="4">
    <w:nsid w:val="B03E0C6"/>
    <w:multiLevelType w:val="hybridMultilevel"/>
    <w:lvl w:ilvl="0">
      <w:lvlJc w:val="left"/>
      <w:lvlText w:val="·"/>
      <w:numFmt w:val="bullet"/>
      <w:start w:val="1"/>
    </w:lvl>
  </w:abstractNum>
  <w:abstractNum w:abstractNumId="5">
    <w:nsid w:val="189A769B"/>
    <w:multiLevelType w:val="hybridMultilevel"/>
    <w:lvl w:ilvl="0">
      <w:lvlJc w:val="left"/>
      <w:lvlText w:val="·"/>
      <w:numFmt w:val="bullet"/>
      <w:start w:val="1"/>
    </w:lvl>
  </w:abstractNum>
  <w:abstractNum w:abstractNumId="6">
    <w:nsid w:val="54E49EB4"/>
    <w:multiLevelType w:val="hybridMultilevel"/>
    <w:lvl w:ilvl="0">
      <w:lvlJc w:val="left"/>
      <w:lvlText w:val="·"/>
      <w:numFmt w:val="bullet"/>
      <w:start w:val="1"/>
    </w:lvl>
  </w:abstractNum>
  <w:abstractNum w:abstractNumId="7">
    <w:nsid w:val="71F32454"/>
    <w:multiLevelType w:val="hybridMultilevel"/>
    <w:lvl w:ilvl="0">
      <w:lvlJc w:val="left"/>
      <w:lvlText w:val="·"/>
      <w:numFmt w:val="bullet"/>
      <w:start w:val="1"/>
    </w:lvl>
  </w:abstractNum>
  <w:abstractNum w:abstractNumId="8">
    <w:nsid w:val="2CA88611"/>
    <w:multiLevelType w:val="hybridMultilevel"/>
    <w:lvl w:ilvl="0">
      <w:lvlJc w:val="left"/>
      <w:lvlText w:val="·"/>
      <w:numFmt w:val="bullet"/>
      <w:start w:val="1"/>
    </w:lvl>
  </w:abstractNum>
  <w:abstractNum w:abstractNumId="9">
    <w:nsid w:val="836C40E"/>
    <w:multiLevelType w:val="hybridMultilevel"/>
    <w:lvl w:ilvl="0">
      <w:lvlJc w:val="left"/>
      <w:lvlText w:val="%1"/>
      <w:numFmt w:val="decimal"/>
      <w:start w:val="11"/>
    </w:lvl>
  </w:abstractNum>
  <w:abstractNum w:abstractNumId="10">
    <w:nsid w:val="2901D82"/>
    <w:multiLevelType w:val="hybridMultilevel"/>
    <w:lvl w:ilvl="0">
      <w:lvlJc w:val="left"/>
      <w:lvlText w:val="(%1)"/>
      <w:numFmt w:val="decimal"/>
      <w:start w:val="1"/>
    </w:lvl>
  </w:abstractNum>
  <w:abstractNum w:abstractNumId="11">
    <w:nsid w:val="3A95F874"/>
    <w:multiLevelType w:val="hybridMultilevel"/>
    <w:lvl w:ilvl="0">
      <w:lvlJc w:val="left"/>
      <w:lvlText w:val="%1."/>
      <w:numFmt w:val="decimal"/>
      <w:start w:val="1"/>
    </w:lvl>
  </w:abstractNum>
  <w:abstractNum w:abstractNumId="12">
    <w:nsid w:val="8138641"/>
    <w:multiLevelType w:val="hybridMultilevel"/>
    <w:lvl w:ilvl="0">
      <w:lvlJc w:val="left"/>
      <w:lvlText w:val="(%1)"/>
      <w:numFmt w:val="lowerRoman"/>
      <w:start w:val="4"/>
    </w:lvl>
    <w:lvl w:ilvl="1">
      <w:lvlJc w:val="left"/>
      <w:lvlText w:val="(%2)"/>
      <w:numFmt w:val="decimal"/>
      <w:start w:val="2"/>
    </w:lvl>
  </w:abstractNum>
  <w:abstractNum w:abstractNumId="13">
    <w:nsid w:val="1E7FF521"/>
    <w:multiLevelType w:val="hybridMultilevel"/>
    <w:lvl w:ilvl="0">
      <w:lvlJc w:val="left"/>
      <w:lvlText w:val="(%1)"/>
      <w:numFmt w:val="upperLetter"/>
      <w:start w:val="1"/>
    </w:lvl>
  </w:abstractNum>
  <w:abstractNum w:abstractNumId="14">
    <w:nsid w:val="7C3DBD3D"/>
    <w:multiLevelType w:val="hybridMultilevel"/>
    <w:lvl w:ilvl="0">
      <w:lvlJc w:val="left"/>
      <w:lvlText w:val="(%1)"/>
      <w:numFmt w:val="upperLetter"/>
      <w:start w:val="3"/>
    </w:lvl>
  </w:abstractNum>
  <w:abstractNum w:abstractNumId="15">
    <w:nsid w:val="737B8DDC"/>
    <w:multiLevelType w:val="hybridMultilevel"/>
    <w:lvl w:ilvl="0">
      <w:lvlJc w:val="left"/>
      <w:lvlText w:val="(%1)"/>
      <w:numFmt w:val="upperLetter"/>
      <w:start w:val="1"/>
    </w:lvl>
    <w:lvl w:ilvl="1">
      <w:lvlJc w:val="left"/>
      <w:lvlText w:val="(%2)"/>
      <w:numFmt w:val="decimal"/>
      <w:start w:val="1"/>
    </w:lvl>
  </w:abstractNum>
  <w:abstractNum w:abstractNumId="16">
    <w:nsid w:val="6CEAF087"/>
    <w:multiLevelType w:val="hybridMultilevel"/>
    <w:lvl w:ilvl="0">
      <w:lvlJc w:val="left"/>
      <w:lvlText w:val="(%1)"/>
      <w:numFmt w:val="lowerRoman"/>
      <w:start w:val="5"/>
    </w:lvl>
  </w:abstractNum>
  <w:abstractNum w:abstractNumId="17">
    <w:nsid w:val="22221A70"/>
    <w:multiLevelType w:val="hybridMultilevel"/>
    <w:lvl w:ilvl="0">
      <w:lvlJc w:val="left"/>
      <w:lvlText w:val="%1)"/>
      <w:numFmt w:val="lowerLetter"/>
      <w:start w:val="1"/>
    </w:lvl>
    <w:lvl w:ilvl="1">
      <w:lvlJc w:val="left"/>
      <w:lvlText w:val="(%2)"/>
      <w:numFmt w:val="lowerRoman"/>
      <w:start w:val="1"/>
    </w:lvl>
  </w:abstractNum>
  <w:abstractNum w:abstractNumId="18">
    <w:nsid w:val="4516DDE9"/>
    <w:multiLevelType w:val="hybridMultilevel"/>
    <w:lvl w:ilvl="0">
      <w:lvlJc w:val="left"/>
      <w:lvlText w:val="%1)"/>
      <w:numFmt w:val="lowerLetter"/>
      <w:start w:val="3"/>
    </w:lvl>
  </w:abstractNum>
  <w:abstractNum w:abstractNumId="19">
    <w:nsid w:val="3006C83E"/>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1"/>
    </w:lvl>
  </w:abstractNum>
  <w:abstractNum w:abstractNumId="20">
    <w:nsid w:val="614FD4A1"/>
    <w:multiLevelType w:val="hybridMultilevel"/>
    <w:lvl w:ilvl="0">
      <w:lvlJc w:val="left"/>
      <w:lvlText w:val="(%1)"/>
      <w:numFmt w:val="lowerRoman"/>
      <w:start w:val="2"/>
    </w:lvl>
    <w:lvl w:ilvl="1">
      <w:lvlJc w:val="left"/>
      <w:lvlText w:val="%2)"/>
      <w:numFmt w:val="lowerLetter"/>
      <w:start w:val="1"/>
    </w:lvl>
  </w:abstractNum>
  <w:abstractNum w:abstractNumId="21">
    <w:nsid w:val="419AC241"/>
    <w:multiLevelType w:val="hybridMultilevel"/>
    <w:lvl w:ilvl="0">
      <w:lvlJc w:val="left"/>
      <w:lvlText w:val="%1"/>
      <w:numFmt w:val="lowerLetter"/>
      <w:start w:val="1"/>
    </w:lvl>
    <w:lvl w:ilvl="1">
      <w:lvlJc w:val="left"/>
      <w:lvlText w:val="(%2)"/>
      <w:numFmt w:val="lowerRoman"/>
      <w:start w:val="3"/>
    </w:lvl>
  </w:abstractNum>
  <w:abstractNum w:abstractNumId="22">
    <w:nsid w:val="5577F8E1"/>
    <w:multiLevelType w:val="hybridMultilevel"/>
    <w:lvl w:ilvl="0">
      <w:lvlJc w:val="left"/>
      <w:lvlText w:val="%1)"/>
      <w:numFmt w:val="lowerLetter"/>
      <w:start w:val="2"/>
    </w:lvl>
    <w:lvl w:ilvl="1">
      <w:lvlJc w:val="left"/>
      <w:lvlText w:val="%2"/>
      <w:numFmt w:val="lowerRoman"/>
      <w:start w:val="1"/>
    </w:lvl>
  </w:abstractNum>
  <w:abstractNum w:abstractNumId="23">
    <w:nsid w:val="440BADFC"/>
    <w:multiLevelType w:val="hybridMultilevel"/>
    <w:lvl w:ilvl="0">
      <w:lvlJc w:val="left"/>
      <w:lvlText w:val="%1)"/>
      <w:numFmt w:val="lowerLetter"/>
      <w:start w:val="3"/>
    </w:lvl>
    <w:lvl w:ilvl="1">
      <w:lvlJc w:val="left"/>
      <w:lvlText w:val="(%2)"/>
      <w:numFmt w:val="lowerRoman"/>
      <w:start w:val="1"/>
    </w:lvl>
  </w:abstractNum>
  <w:abstractNum w:abstractNumId="24">
    <w:nsid w:val="5072367"/>
    <w:multiLevelType w:val="hybridMultilevel"/>
    <w:lvl w:ilvl="0">
      <w:lvlJc w:val="left"/>
      <w:lvlText w:val="(%1)"/>
      <w:numFmt w:val="lowerRoman"/>
      <w:start w:val="1"/>
    </w:lvl>
  </w:abstractNum>
  <w:abstractNum w:abstractNumId="25">
    <w:nsid w:val="3804823E"/>
    <w:multiLevelType w:val="hybridMultilevel"/>
    <w:lvl w:ilvl="0">
      <w:lvlJc w:val="left"/>
      <w:lvlText w:val="%1"/>
      <w:numFmt w:val="lowerLetter"/>
      <w:start w:val="1"/>
    </w:lvl>
    <w:lvl w:ilvl="1">
      <w:lvlJc w:val="left"/>
      <w:lvlText w:val="(%2)"/>
      <w:numFmt w:val="lowerLetter"/>
      <w:start w:val="61"/>
    </w:lvl>
  </w:abstractNum>
  <w:abstractNum w:abstractNumId="26">
    <w:nsid w:val="77465F01"/>
    <w:multiLevelType w:val="hybridMultilevel"/>
    <w:lvl w:ilvl="0">
      <w:lvlJc w:val="left"/>
      <w:lvlText w:val="(%1)"/>
      <w:numFmt w:val="lowerLetter"/>
      <w:start w:val="2"/>
    </w:lvl>
    <w:lvl w:ilvl="1">
      <w:lvlJc w:val="left"/>
      <w:lvlText w:val="(%2)"/>
      <w:numFmt w:val="lowerLetter"/>
      <w:start w:val="9"/>
    </w:lvl>
  </w:abstractNum>
  <w:abstractNum w:abstractNumId="27">
    <w:nsid w:val="7724C67E"/>
    <w:multiLevelType w:val="hybridMultilevel"/>
    <w:lvl w:ilvl="0">
      <w:lvlJc w:val="left"/>
      <w:lvlText w:val="%1"/>
      <w:numFmt w:val="lowerLetter"/>
      <w:start w:val="1"/>
    </w:lvl>
    <w:lvl w:ilvl="1">
      <w:lvlJc w:val="left"/>
      <w:lvlText w:val="(%2)"/>
      <w:numFmt w:val="lowerLetter"/>
      <w:start w:val="35"/>
    </w:lvl>
  </w:abstractNum>
  <w:abstractNum w:abstractNumId="28">
    <w:nsid w:val="5C482A97"/>
    <w:multiLevelType w:val="hybridMultilevel"/>
    <w:lvl w:ilvl="0">
      <w:lvlJc w:val="left"/>
      <w:lvlText w:val="(%1)"/>
      <w:numFmt w:val="lowerLetter"/>
      <w:start w:val="3"/>
    </w:lvl>
    <w:lvl w:ilvl="1">
      <w:lvlJc w:val="left"/>
      <w:lvlText w:val="(%2)"/>
      <w:numFmt w:val="lowerLetter"/>
      <w:start w:val="9"/>
    </w:lvl>
  </w:abstractNum>
  <w:abstractNum w:abstractNumId="29">
    <w:nsid w:val="2463B9EA"/>
    <w:multiLevelType w:val="hybridMultilevel"/>
    <w:lvl w:ilvl="0">
      <w:lvlJc w:val="left"/>
      <w:lvlText w:val="(%1)"/>
      <w:numFmt w:val="lowerRoman"/>
      <w:start w:val="2"/>
    </w:lvl>
  </w:abstractNum>
  <w:abstractNum w:abstractNumId="30">
    <w:nsid w:val="5E884ADC"/>
    <w:multiLevelType w:val="hybridMultilevel"/>
    <w:lvl w:ilvl="0">
      <w:lvlJc w:val="left"/>
      <w:lvlText w:val="(%1)"/>
      <w:numFmt w:val="lowerLetter"/>
      <w:start w:val="5"/>
    </w:lvl>
    <w:lvl w:ilvl="1">
      <w:lvlJc w:val="left"/>
      <w:lvlText w:val="(%2)"/>
      <w:numFmt w:val="lowerRoman"/>
      <w:start w:val="1"/>
    </w:lvl>
  </w:abstractNum>
  <w:abstractNum w:abstractNumId="31">
    <w:nsid w:val="51EAD36B"/>
    <w:multiLevelType w:val="hybridMultilevel"/>
    <w:lvl w:ilvl="0">
      <w:lvlJc w:val="left"/>
      <w:lvlText w:val="(%1)"/>
      <w:numFmt w:val="upperLetter"/>
      <w:start w:val="1"/>
    </w:lvl>
    <w:lvl w:ilvl="1">
      <w:lvlJc w:val="left"/>
      <w:lvlText w:val="(%2)"/>
      <w:numFmt w:val="decimal"/>
      <w:start w:val="1"/>
    </w:lvl>
  </w:abstractNum>
  <w:abstractNum w:abstractNumId="32">
    <w:nsid w:val="2D517796"/>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3"/>
    </w:lvl>
  </w:abstractNum>
  <w:abstractNum w:abstractNumId="33">
    <w:nsid w:val="580BD78F"/>
    <w:multiLevelType w:val="hybridMultilevel"/>
    <w:lvl w:ilvl="0">
      <w:lvlJc w:val="left"/>
      <w:lvlText w:val="%1"/>
      <w:numFmt w:val="lowerLetter"/>
      <w:start w:val="1"/>
    </w:lvl>
    <w:lvl w:ilvl="1">
      <w:lvlJc w:val="left"/>
      <w:lvlText w:val="(%2)"/>
      <w:numFmt w:val="lowerRoman"/>
      <w:start w:val="4"/>
    </w:lvl>
    <w:lvl w:ilvl="2">
      <w:lvlJc w:val="left"/>
      <w:lvlText w:val="%3"/>
      <w:numFmt w:val="decimal"/>
      <w:start w:val="1"/>
    </w:lvl>
  </w:abstractNum>
  <w:abstractNum w:abstractNumId="34">
    <w:nsid w:val="153EA438"/>
    <w:multiLevelType w:val="hybridMultilevel"/>
    <w:lvl w:ilvl="0">
      <w:lvlJc w:val="left"/>
      <w:lvlText w:val="(%1)"/>
      <w:numFmt w:val="lowerLetter"/>
      <w:start w:val="6"/>
    </w:lvl>
    <w:lvl w:ilvl="1">
      <w:lvlJc w:val="left"/>
      <w:lvlText w:val="(%2)"/>
      <w:numFmt w:val="lowerRoman"/>
      <w:start w:val="1"/>
    </w:lvl>
    <w:lvl w:ilvl="2">
      <w:lvlJc w:val="left"/>
      <w:lvlText w:val="%3"/>
      <w:numFmt w:val="decimal"/>
      <w:start w:val="1"/>
    </w:lvl>
  </w:abstractNum>
  <w:abstractNum w:abstractNumId="35">
    <w:nsid w:val="3855585C"/>
    <w:multiLevelType w:val="hybridMultilevel"/>
    <w:lvl w:ilvl="0">
      <w:lvlJc w:val="left"/>
      <w:lvlText w:val="%1"/>
      <w:numFmt w:val="lowerLetter"/>
      <w:start w:val="1"/>
    </w:lvl>
    <w:lvl w:ilvl="1">
      <w:lvlJc w:val="left"/>
      <w:lvlText w:val="(%2)"/>
      <w:numFmt w:val="lowerRoman"/>
      <w:start w:val="3"/>
    </w:lvl>
  </w:abstractNum>
  <w:abstractNum w:abstractNumId="36">
    <w:nsid w:val="70A64E2A"/>
    <w:multiLevelType w:val="hybridMultilevel"/>
    <w:lvl w:ilvl="0">
      <w:lvlJc w:val="left"/>
      <w:lvlText w:val="(%1)"/>
      <w:numFmt w:val="lowerLetter"/>
      <w:start w:val="8"/>
    </w:lvl>
    <w:lvl w:ilvl="1">
      <w:lvlJc w:val="left"/>
      <w:lvlText w:val="(%2)"/>
      <w:numFmt w:val="lowerRoman"/>
      <w:start w:val="1"/>
    </w:lvl>
  </w:abstractNum>
  <w:abstractNum w:abstractNumId="37">
    <w:nsid w:val="6A2342EC"/>
    <w:multiLevelType w:val="hybridMultilevel"/>
    <w:lvl w:ilvl="0">
      <w:lvlJc w:val="left"/>
      <w:lvlText w:val="%1"/>
      <w:numFmt w:val="lowerLetter"/>
      <w:start w:val="1"/>
    </w:lvl>
    <w:lvl w:ilvl="1">
      <w:lvlJc w:val="left"/>
      <w:lvlText w:val="(%2)"/>
      <w:numFmt w:val="lowerRoman"/>
      <w:start w:val="4"/>
    </w:lvl>
  </w:abstractNum>
  <w:abstractNum w:abstractNumId="38">
    <w:nsid w:val="2A487CB0"/>
    <w:multiLevelType w:val="hybridMultilevel"/>
    <w:lvl w:ilvl="0">
      <w:lvlJc w:val="left"/>
      <w:lvlText w:val="(%1)"/>
      <w:numFmt w:val="lowerLetter"/>
      <w:start w:val="10"/>
    </w:lvl>
    <w:lvl w:ilvl="1">
      <w:lvlJc w:val="left"/>
      <w:lvlText w:val="(%2)"/>
      <w:numFmt w:val="lowerRoman"/>
      <w:start w:val="1"/>
    </w:lvl>
  </w:abstractNum>
  <w:abstractNum w:abstractNumId="39">
    <w:nsid w:val="1D4ED43B"/>
    <w:multiLevelType w:val="hybridMultilevel"/>
    <w:lvl w:ilvl="0">
      <w:lvlJc w:val="left"/>
      <w:lvlText w:val="(%1)"/>
      <w:numFmt w:val="lowerLetter"/>
      <w:start w:val="11"/>
    </w:lvl>
  </w:abstractNum>
  <w:abstractNum w:abstractNumId="40">
    <w:nsid w:val="725A06FB"/>
    <w:multiLevelType w:val="hybridMultilevel"/>
    <w:lvl w:ilvl="0">
      <w:lvlJc w:val="left"/>
      <w:lvlText w:val="(%1)"/>
      <w:numFmt w:val="lowerLetter"/>
      <w:start w:val="1"/>
    </w:lvl>
    <w:lvl w:ilvl="1">
      <w:lvlJc w:val="left"/>
      <w:lvlText w:val="(%2)"/>
      <w:numFmt w:val="lowerRoman"/>
      <w:start w:val="1"/>
    </w:lvl>
  </w:abstractNum>
  <w:abstractNum w:abstractNumId="41">
    <w:nsid w:val="2CD89A32"/>
    <w:multiLevelType w:val="hybridMultilevel"/>
    <w:lvl w:ilvl="0">
      <w:lvlJc w:val="left"/>
      <w:lvlText w:val="(%1)"/>
      <w:numFmt w:val="lowerRoman"/>
      <w:start w:val="2"/>
    </w:lvl>
  </w:abstractNum>
  <w:abstractNum w:abstractNumId="42">
    <w:nsid w:val="57E4CCAF"/>
    <w:multiLevelType w:val="hybridMultilevel"/>
    <w:lvl w:ilvl="0">
      <w:lvlJc w:val="left"/>
      <w:lvlText w:val="(%1)"/>
      <w:numFmt w:val="lowerLetter"/>
      <w:start w:val="1"/>
    </w:lvl>
  </w:abstractNum>
  <w:abstractNum w:abstractNumId="43">
    <w:nsid w:val="7A6D8D3C"/>
    <w:multiLevelType w:val="hybridMultilevel"/>
    <w:lvl w:ilvl="0">
      <w:lvlJc w:val="left"/>
      <w:lvlText w:val="%1."/>
      <w:numFmt w:val="decimal"/>
      <w:start w:val="1"/>
    </w:lvl>
    <w:lvl w:ilvl="1">
      <w:lvlJc w:val="left"/>
      <w:lvlText w:val="%2)"/>
      <w:numFmt w:val="lowerLetter"/>
      <w:start w:val="1"/>
    </w:lvl>
  </w:abstractNum>
  <w:abstractNum w:abstractNumId="44">
    <w:nsid w:val="4B588F54"/>
    <w:multiLevelType w:val="hybridMultilevel"/>
    <w:lvl w:ilvl="0">
      <w:lvlJc w:val="left"/>
      <w:lvlText w:val="%1."/>
      <w:numFmt w:val="decimal"/>
      <w:start w:val="1"/>
    </w:lvl>
    <w:lvl w:ilvl="1">
      <w:lvlJc w:val="left"/>
      <w:lvlText w:val="%2)"/>
      <w:numFmt w:val="lowerLetter"/>
      <w:start w:val="1"/>
    </w:lvl>
  </w:abstractNum>
  <w:abstractNum w:abstractNumId="45">
    <w:nsid w:val="542289EC"/>
    <w:multiLevelType w:val="hybridMultilevel"/>
    <w:lvl w:ilvl="0">
      <w:lvlJc w:val="left"/>
      <w:lvlText w:val="(%1)"/>
      <w:numFmt w:val="decimal"/>
      <w:start w:val="1"/>
    </w:lvl>
  </w:abstractNum>
  <w:abstractNum w:abstractNumId="46">
    <w:nsid w:val="6DE91B1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8" Type="http://schemas.openxmlformats.org/officeDocument/2006/relationships/image" Target="media/image39.png"/><Relationship Id="rId49" Type="http://schemas.openxmlformats.org/officeDocument/2006/relationships/image" Target="media/image40.png"/><Relationship Id="rId50" Type="http://schemas.openxmlformats.org/officeDocument/2006/relationships/image" Target="media/image41.png"/><Relationship Id="rId51" Type="http://schemas.openxmlformats.org/officeDocument/2006/relationships/image" Target="media/image42.png"/><Relationship Id="rId52" Type="http://schemas.openxmlformats.org/officeDocument/2006/relationships/image" Target="media/image43.png"/><Relationship Id="rId53" Type="http://schemas.openxmlformats.org/officeDocument/2006/relationships/image" Target="media/image44.png"/><Relationship Id="rId54" Type="http://schemas.openxmlformats.org/officeDocument/2006/relationships/image" Target="media/image45.png"/><Relationship Id="rId55" Type="http://schemas.openxmlformats.org/officeDocument/2006/relationships/image" Target="media/image46.png"/><Relationship Id="rId56" Type="http://schemas.openxmlformats.org/officeDocument/2006/relationships/image" Target="media/image47.png"/><Relationship Id="rId57" Type="http://schemas.openxmlformats.org/officeDocument/2006/relationships/image" Target="media/image48.png"/><Relationship Id="rId58" Type="http://schemas.openxmlformats.org/officeDocument/2006/relationships/image" Target="media/image49.png"/><Relationship Id="rId59" Type="http://schemas.openxmlformats.org/officeDocument/2006/relationships/image" Target="media/image50.png"/><Relationship Id="rId60" Type="http://schemas.openxmlformats.org/officeDocument/2006/relationships/image" Target="media/image51.png"/><Relationship Id="rId61" Type="http://schemas.openxmlformats.org/officeDocument/2006/relationships/image" Target="media/image52.png"/><Relationship Id="rId62" Type="http://schemas.openxmlformats.org/officeDocument/2006/relationships/image" Target="media/image53.png"/><Relationship Id="rId63" Type="http://schemas.openxmlformats.org/officeDocument/2006/relationships/image" Target="media/image54.png"/><Relationship Id="rId64" Type="http://schemas.openxmlformats.org/officeDocument/2006/relationships/image" Target="media/image55.png"/><Relationship Id="rId65" Type="http://schemas.openxmlformats.org/officeDocument/2006/relationships/image" Target="media/image56.png"/><Relationship Id="rId66" Type="http://schemas.openxmlformats.org/officeDocument/2006/relationships/image" Target="media/image57.png"/><Relationship Id="rId67" Type="http://schemas.openxmlformats.org/officeDocument/2006/relationships/image" Target="media/image58.png"/><Relationship Id="rId68" Type="http://schemas.openxmlformats.org/officeDocument/2006/relationships/image" Target="media/image59.png"/><Relationship Id="rId69" Type="http://schemas.openxmlformats.org/officeDocument/2006/relationships/image" Target="media/image60.png"/><Relationship Id="rId70" Type="http://schemas.openxmlformats.org/officeDocument/2006/relationships/image" Target="media/image61.png"/><Relationship Id="rId71" Type="http://schemas.openxmlformats.org/officeDocument/2006/relationships/image" Target="media/image62.png"/><Relationship Id="rId72" Type="http://schemas.openxmlformats.org/officeDocument/2006/relationships/image" Target="media/image63.png"/><Relationship Id="rId73" Type="http://schemas.openxmlformats.org/officeDocument/2006/relationships/image" Target="media/image64.png"/><Relationship Id="rId74" Type="http://schemas.openxmlformats.org/officeDocument/2006/relationships/image" Target="media/image65.png"/><Relationship Id="rId75" Type="http://schemas.openxmlformats.org/officeDocument/2006/relationships/image" Target="media/image66.png"/><Relationship Id="rId76" Type="http://schemas.openxmlformats.org/officeDocument/2006/relationships/image" Target="media/image67.png"/><Relationship Id="rId77" Type="http://schemas.openxmlformats.org/officeDocument/2006/relationships/image" Target="media/image68.png"/><Relationship Id="rId78" Type="http://schemas.openxmlformats.org/officeDocument/2006/relationships/image" Target="media/image69.png"/><Relationship Id="rId79" Type="http://schemas.openxmlformats.org/officeDocument/2006/relationships/image" Target="media/image70.png"/><Relationship Id="rId80" Type="http://schemas.openxmlformats.org/officeDocument/2006/relationships/image" Target="media/image71.png"/><Relationship Id="rId81" Type="http://schemas.openxmlformats.org/officeDocument/2006/relationships/image" Target="media/image72.png"/><Relationship Id="rId82" Type="http://schemas.openxmlformats.org/officeDocument/2006/relationships/image" Target="media/image73.png"/><Relationship Id="rId83" Type="http://schemas.openxmlformats.org/officeDocument/2006/relationships/image" Target="media/image74.png"/><Relationship Id="rId84" Type="http://schemas.openxmlformats.org/officeDocument/2006/relationships/image" Target="media/image75.png"/><Relationship Id="rId46" Type="http://schemas.openxmlformats.org/officeDocument/2006/relationships/hyperlink" Target="http://www.sec.gov/Archives/edgar/data/773840/000093041318001563/c91119_ex10-1.htm" TargetMode="External"/><Relationship Id="rId47" Type="http://schemas.openxmlformats.org/officeDocument/2006/relationships/hyperlink" Target="http://www.sec.gov/Archives/edgar/data/773840/000093041318001563/c91119_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2020-01-13T18:41:30Z</dcterms:created>
  <dcterms:modified xsi:type="dcterms:W3CDTF">2020-01-13T18:41:30Z</dcterms:modified>
</cp:coreProperties>
</file>