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117" w:lineRule="exact"/>
        <w:rPr>
          <w:sz w:val="24"/>
          <w:szCs w:val="24"/>
          <w:color w:val="auto"/>
        </w:rPr>
      </w:pPr>
    </w:p>
    <w:p>
      <w:pPr>
        <w:ind w:left="3180" w:hanging="215"/>
        <w:spacing w:after="0"/>
        <w:tabs>
          <w:tab w:leader="none" w:pos="3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117"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3180" w:hanging="218"/>
        <w:spacing w:after="0"/>
        <w:tabs>
          <w:tab w:leader="none" w:pos="31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117" w:lineRule="exact"/>
        <w:rPr>
          <w:rFonts w:ascii="MS PGothic" w:cs="MS PGothic" w:eastAsia="MS PGothic" w:hAnsi="MS PGothic"/>
          <w:sz w:val="18"/>
          <w:szCs w:val="18"/>
          <w:color w:val="auto"/>
        </w:rPr>
      </w:pPr>
    </w:p>
    <w:p>
      <w:pPr>
        <w:jc w:val="center"/>
        <w:ind w:left="3760" w:right="3620" w:hanging="149"/>
        <w:spacing w:after="0" w:line="397" w:lineRule="auto"/>
        <w:rPr>
          <w:rFonts w:ascii="MS PGothic" w:cs="MS PGothic" w:eastAsia="MS PGothic" w:hAnsi="MS PGothic"/>
          <w:sz w:val="18"/>
          <w:szCs w:val="18"/>
          <w:color w:val="auto"/>
        </w:rPr>
      </w:pPr>
      <w:r>
        <w:rPr>
          <w:rFonts w:ascii="Arial" w:cs="Arial" w:eastAsia="Arial" w:hAnsi="Arial"/>
          <w:sz w:val="17"/>
          <w:szCs w:val="17"/>
          <w:color w:val="auto"/>
        </w:rPr>
        <w:t>OF THE SECURITIES EXCHANGE ACT OF 1934 For the transition period from ______ to 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1" w:lineRule="exact"/>
        <w:rPr>
          <w:sz w:val="24"/>
          <w:szCs w:val="24"/>
          <w:color w:val="auto"/>
        </w:rPr>
      </w:pPr>
    </w:p>
    <w:tbl>
      <w:tblPr>
        <w:tblLayout w:type="fixed"/>
        <w:tblInd w:w="1200" w:type="dxa"/>
        <w:tblCellMar>
          <w:top w:w="0" w:type="dxa"/>
          <w:left w:w="0" w:type="dxa"/>
          <w:bottom w:w="0" w:type="dxa"/>
          <w:right w:w="0" w:type="dxa"/>
        </w:tblCellMar>
      </w:tblP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4540" w:type="dxa"/>
            <w:vAlign w:val="bottom"/>
            <w:gridSpan w:val="2"/>
          </w:tcPr>
          <w:p>
            <w:pPr>
              <w:jc w:val="right"/>
              <w:ind w:right="1650"/>
              <w:spacing w:after="0"/>
              <w:rPr>
                <w:sz w:val="20"/>
                <w:szCs w:val="20"/>
                <w:color w:val="auto"/>
              </w:rPr>
            </w:pPr>
            <w:r>
              <w:rPr>
                <w:rFonts w:ascii="Arial" w:cs="Arial" w:eastAsia="Arial" w:hAnsi="Arial"/>
                <w:sz w:val="18"/>
                <w:szCs w:val="18"/>
                <w:color w:val="auto"/>
              </w:rPr>
              <w:t>22-2640650</w:t>
            </w:r>
          </w:p>
        </w:tc>
      </w:tr>
      <w:tr>
        <w:trPr>
          <w:trHeight w:val="229"/>
        </w:trPr>
        <w:tc>
          <w:tcPr>
            <w:tcW w:w="4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(State or other jurisdiction of</w:t>
            </w:r>
          </w:p>
        </w:tc>
        <w:tc>
          <w:tcPr>
            <w:tcW w:w="10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4320" w:type="dxa"/>
            <w:vAlign w:val="bottom"/>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1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391"/>
        </w:trPr>
        <w:tc>
          <w:tcPr>
            <w:tcW w:w="4320" w:type="dxa"/>
            <w:vAlign w:val="bottom"/>
          </w:tcPr>
          <w:p>
            <w:pPr>
              <w:jc w:val="center"/>
              <w:spacing w:after="0"/>
              <w:rPr>
                <w:sz w:val="20"/>
                <w:szCs w:val="20"/>
                <w:color w:val="auto"/>
              </w:rPr>
            </w:pPr>
            <w:r>
              <w:rPr>
                <w:rFonts w:ascii="Arial" w:cs="Arial" w:eastAsia="Arial" w:hAnsi="Arial"/>
                <w:sz w:val="18"/>
                <w:szCs w:val="18"/>
                <w:color w:val="auto"/>
                <w:w w:val="99"/>
              </w:rPr>
              <w:t>300 South Tryon Street</w:t>
            </w: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77"/>
        </w:trPr>
        <w:tc>
          <w:tcPr>
            <w:tcW w:w="4320" w:type="dxa"/>
            <w:vAlign w:val="bottom"/>
          </w:tcPr>
          <w:p>
            <w:pPr>
              <w:ind w:left="1560"/>
              <w:spacing w:after="0"/>
              <w:rPr>
                <w:sz w:val="20"/>
                <w:szCs w:val="20"/>
                <w:color w:val="auto"/>
              </w:rPr>
            </w:pPr>
            <w:r>
              <w:rPr>
                <w:rFonts w:ascii="Arial" w:cs="Arial" w:eastAsia="Arial" w:hAnsi="Arial"/>
                <w:sz w:val="18"/>
                <w:szCs w:val="18"/>
                <w:color w:val="auto"/>
              </w:rPr>
              <w:t>Charlotte, NC</w:t>
            </w:r>
          </w:p>
        </w:tc>
        <w:tc>
          <w:tcPr>
            <w:tcW w:w="4540" w:type="dxa"/>
            <w:vAlign w:val="bottom"/>
            <w:gridSpan w:val="2"/>
          </w:tcPr>
          <w:p>
            <w:pPr>
              <w:jc w:val="right"/>
              <w:ind w:right="1890"/>
              <w:spacing w:after="0"/>
              <w:rPr>
                <w:sz w:val="20"/>
                <w:szCs w:val="20"/>
                <w:color w:val="auto"/>
              </w:rPr>
            </w:pPr>
            <w:r>
              <w:rPr>
                <w:rFonts w:ascii="Arial" w:cs="Arial" w:eastAsia="Arial" w:hAnsi="Arial"/>
                <w:sz w:val="18"/>
                <w:szCs w:val="18"/>
                <w:color w:val="auto"/>
              </w:rPr>
              <w:t>28202</w:t>
            </w:r>
          </w:p>
        </w:tc>
      </w:tr>
      <w:tr>
        <w:trPr>
          <w:trHeight w:val="243"/>
        </w:trPr>
        <w:tc>
          <w:tcPr>
            <w:tcW w:w="4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00" w:type="dxa"/>
            <w:vAlign w:val="bottom"/>
          </w:tcPr>
          <w:p>
            <w:pPr>
              <w:spacing w:after="0"/>
              <w:rPr>
                <w:sz w:val="21"/>
                <w:szCs w:val="21"/>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88" w:lineRule="exact"/>
        <w:rPr>
          <w:sz w:val="24"/>
          <w:szCs w:val="24"/>
          <w:color w:val="auto"/>
        </w:rPr>
      </w:pPr>
    </w:p>
    <w:p>
      <w:pPr>
        <w:ind w:left="5320"/>
        <w:spacing w:after="0"/>
        <w:rPr>
          <w:sz w:val="20"/>
          <w:szCs w:val="20"/>
          <w:color w:val="auto"/>
        </w:rPr>
      </w:pPr>
      <w:r>
        <w:rPr>
          <w:rFonts w:ascii="Arial" w:cs="Arial" w:eastAsia="Arial" w:hAnsi="Arial"/>
          <w:sz w:val="18"/>
          <w:szCs w:val="18"/>
          <w:color w:val="auto"/>
        </w:rPr>
        <w:t>704 627-6200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48431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4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4843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3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(Former name, former address and former fiscal year,</w:t>
      </w:r>
    </w:p>
    <w:p>
      <w:pPr>
        <w:ind w:left="4520"/>
        <w:spacing w:after="0"/>
        <w:rPr>
          <w:sz w:val="20"/>
          <w:szCs w:val="20"/>
          <w:color w:val="auto"/>
        </w:rPr>
      </w:pPr>
      <w:r>
        <w:rPr>
          <w:rFonts w:ascii="Arial" w:cs="Arial" w:eastAsia="Arial" w:hAnsi="Arial"/>
          <w:sz w:val="18"/>
          <w:szCs w:val="18"/>
          <w:color w:val="auto"/>
        </w:rPr>
        <w:t>if changed since last report)</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Trading</w:t>
            </w:r>
          </w:p>
        </w:tc>
        <w:tc>
          <w:tcPr>
            <w:tcW w:w="5280" w:type="dxa"/>
            <w:vAlign w:val="bottom"/>
          </w:tcPr>
          <w:p>
            <w:pPr>
              <w:spacing w:after="0"/>
              <w:rPr>
                <w:sz w:val="18"/>
                <w:szCs w:val="18"/>
                <w:color w:val="auto"/>
              </w:rPr>
            </w:pPr>
          </w:p>
        </w:tc>
      </w:tr>
      <w:tr>
        <w:trPr>
          <w:trHeight w:val="22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Symbol(s)</w:t>
            </w:r>
          </w:p>
        </w:tc>
        <w:tc>
          <w:tcPr>
            <w:tcW w:w="100" w:type="dxa"/>
            <w:vAlign w:val="bottom"/>
          </w:tcPr>
          <w:p>
            <w:pPr>
              <w:spacing w:after="0"/>
              <w:rPr>
                <w:sz w:val="19"/>
                <w:szCs w:val="19"/>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43"/>
        </w:trPr>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$1 per share*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HON</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70"/>
        </w:trPr>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1.300% Senior Notes due 2023</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HON 23A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70"/>
        </w:trPr>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0.000% Senior Notes due 2024</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HON 24A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70"/>
        </w:trPr>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2.250% Senior Notes due 2028</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HON 28A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70"/>
        </w:trPr>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0.750% Senior Notes due 2032</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HON 32</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bl>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 The common stock is also listed on the London Stock Exchange</w:t>
      </w:r>
    </w:p>
    <w:p>
      <w:pPr>
        <w:spacing w:after="0" w:line="117"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pacing w:after="0" w:line="102"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60" w:type="dxa"/>
            <w:vAlign w:val="bottom"/>
          </w:tcPr>
          <w:p>
            <w:pPr>
              <w:ind w:left="260"/>
              <w:spacing w:after="0"/>
              <w:rPr>
                <w:sz w:val="20"/>
                <w:szCs w:val="20"/>
                <w:color w:val="auto"/>
              </w:rPr>
            </w:pPr>
            <w:r>
              <w:rPr>
                <w:rFonts w:ascii="Arial" w:cs="Arial" w:eastAsia="Arial" w:hAnsi="Arial"/>
                <w:sz w:val="18"/>
                <w:szCs w:val="18"/>
                <w:color w:val="auto"/>
              </w:rPr>
              <w:t>x</w:t>
            </w:r>
          </w:p>
        </w:tc>
        <w:tc>
          <w:tcPr>
            <w:tcW w:w="39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18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20" w:type="dxa"/>
            <w:vAlign w:val="bottom"/>
          </w:tcPr>
          <w:p>
            <w:pPr>
              <w:ind w:left="14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0"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There were 701,847,786 shares of Common Stock outstanding at March 31, 2020.</w:t>
      </w:r>
    </w:p>
    <w:p>
      <w:pPr>
        <w:sectPr>
          <w:pgSz w:w="11900" w:h="16838" w:orient="portrait"/>
          <w:cols w:equalWidth="0" w:num="1">
            <w:col w:w="11240"/>
          </w:cols>
          <w:pgMar w:left="320" w:top="247" w:right="339" w:bottom="609"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8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7720" w:type="dxa"/>
            <w:vAlign w:val="bottom"/>
            <w:gridSpan w:val="6"/>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Page No.</w:t>
            </w:r>
          </w:p>
        </w:tc>
      </w:tr>
      <w:tr>
        <w:trPr>
          <w:trHeight w:val="291"/>
        </w:trPr>
        <w:tc>
          <w:tcPr>
            <w:tcW w:w="2480" w:type="dxa"/>
            <w:vAlign w:val="bottom"/>
          </w:tcPr>
          <w:p>
            <w:pPr>
              <w:ind w:left="1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720" w:type="dxa"/>
            <w:vAlign w:val="bottom"/>
            <w:gridSpan w:val="6"/>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780" w:type="dxa"/>
            <w:vAlign w:val="bottom"/>
          </w:tcPr>
          <w:p>
            <w:pPr>
              <w:spacing w:after="0"/>
              <w:rPr>
                <w:sz w:val="24"/>
                <w:szCs w:val="24"/>
                <w:color w:val="auto"/>
              </w:rPr>
            </w:pPr>
          </w:p>
        </w:tc>
      </w:tr>
      <w:tr>
        <w:trPr>
          <w:trHeight w:val="338"/>
        </w:trPr>
        <w:tc>
          <w:tcPr>
            <w:tcW w:w="2480" w:type="dxa"/>
            <w:vAlign w:val="bottom"/>
          </w:tcPr>
          <w:p>
            <w:pPr>
              <w:spacing w:after="0"/>
              <w:rPr>
                <w:sz w:val="24"/>
                <w:szCs w:val="24"/>
                <w:color w:val="auto"/>
              </w:rPr>
            </w:pPr>
          </w:p>
        </w:tc>
        <w:tc>
          <w:tcPr>
            <w:tcW w:w="720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 of Operations (unaudited) – Three Months Ended March 31, 2020</w:t>
              </w:r>
            </w:hyperlink>
          </w:p>
        </w:tc>
        <w:tc>
          <w:tcPr>
            <w:tcW w:w="52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2480" w:type="dxa"/>
            <w:vAlign w:val="bottom"/>
          </w:tcPr>
          <w:p>
            <w:pPr>
              <w:spacing w:after="0"/>
              <w:rPr>
                <w:sz w:val="15"/>
                <w:szCs w:val="15"/>
                <w:color w:val="auto"/>
              </w:rPr>
            </w:pPr>
          </w:p>
        </w:tc>
        <w:tc>
          <w:tcPr>
            <w:tcW w:w="7720" w:type="dxa"/>
            <w:vAlign w:val="bottom"/>
            <w:gridSpan w:val="6"/>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and 2019</w:t>
              </w:r>
            </w:hyperlink>
          </w:p>
        </w:tc>
        <w:tc>
          <w:tcPr>
            <w:tcW w:w="780" w:type="dxa"/>
            <w:vAlign w:val="bottom"/>
          </w:tcPr>
          <w:p>
            <w:pPr>
              <w:jc w:val="center"/>
              <w:spacing w:after="0" w:line="182"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r>
      <w:tr>
        <w:trPr>
          <w:trHeight w:val="20"/>
        </w:trPr>
        <w:tc>
          <w:tcPr>
            <w:tcW w:w="24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2480" w:type="dxa"/>
            <w:vAlign w:val="bottom"/>
          </w:tcPr>
          <w:p>
            <w:pPr>
              <w:spacing w:after="0"/>
              <w:rPr>
                <w:sz w:val="24"/>
                <w:szCs w:val="24"/>
                <w:color w:val="auto"/>
              </w:rPr>
            </w:pPr>
          </w:p>
        </w:tc>
        <w:tc>
          <w:tcPr>
            <w:tcW w:w="77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 Three Months Ended March</w:t>
              </w:r>
            </w:hyperlink>
          </w:p>
        </w:tc>
        <w:tc>
          <w:tcPr>
            <w:tcW w:w="780" w:type="dxa"/>
            <w:vAlign w:val="bottom"/>
          </w:tcPr>
          <w:p>
            <w:pPr>
              <w:spacing w:after="0"/>
              <w:rPr>
                <w:sz w:val="24"/>
                <w:szCs w:val="24"/>
                <w:color w:val="auto"/>
              </w:rPr>
            </w:pPr>
          </w:p>
        </w:tc>
      </w:tr>
      <w:tr>
        <w:trPr>
          <w:trHeight w:val="183"/>
        </w:trPr>
        <w:tc>
          <w:tcPr>
            <w:tcW w:w="248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31, 2020 and 2019</w:t>
              </w:r>
            </w:hyperlink>
          </w:p>
        </w:tc>
        <w:tc>
          <w:tcPr>
            <w:tcW w:w="5960" w:type="dxa"/>
            <w:vAlign w:val="bottom"/>
            <w:tcBorders>
              <w:top w:val="single" w:sz="8" w:color="0000EE"/>
            </w:tcBorders>
            <w:gridSpan w:val="3"/>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center"/>
              <w:spacing w:after="0" w:line="182" w:lineRule="exact"/>
              <w:rPr>
                <w:rFonts w:ascii="Arial" w:cs="Arial" w:eastAsia="Arial" w:hAnsi="Arial"/>
                <w:sz w:val="18"/>
                <w:szCs w:val="18"/>
                <w:color w:val="auto"/>
                <w:w w:val="99"/>
              </w:rPr>
            </w:pPr>
            <w:hyperlink w:anchor="page4">
              <w:r>
                <w:rPr>
                  <w:rFonts w:ascii="Arial" w:cs="Arial" w:eastAsia="Arial" w:hAnsi="Arial"/>
                  <w:sz w:val="18"/>
                  <w:szCs w:val="18"/>
                  <w:color w:val="auto"/>
                  <w:w w:val="99"/>
                </w:rPr>
                <w:t>4</w:t>
              </w:r>
            </w:hyperlink>
          </w:p>
        </w:tc>
      </w:tr>
      <w:tr>
        <w:trPr>
          <w:trHeight w:val="412"/>
        </w:trPr>
        <w:tc>
          <w:tcPr>
            <w:tcW w:w="2480" w:type="dxa"/>
            <w:vAlign w:val="bottom"/>
          </w:tcPr>
          <w:p>
            <w:pPr>
              <w:spacing w:after="0"/>
              <w:rPr>
                <w:sz w:val="24"/>
                <w:szCs w:val="24"/>
                <w:color w:val="auto"/>
              </w:rPr>
            </w:pPr>
          </w:p>
        </w:tc>
        <w:tc>
          <w:tcPr>
            <w:tcW w:w="7720" w:type="dxa"/>
            <w:vAlign w:val="bottom"/>
            <w:gridSpan w:val="6"/>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 (unaudited) – March 31, 2020 and December 31, 2019</w:t>
              </w:r>
            </w:hyperlink>
          </w:p>
        </w:tc>
        <w:tc>
          <w:tcPr>
            <w:tcW w:w="78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r>
      <w:tr>
        <w:trPr>
          <w:trHeight w:val="337"/>
        </w:trPr>
        <w:tc>
          <w:tcPr>
            <w:tcW w:w="2480" w:type="dxa"/>
            <w:vAlign w:val="bottom"/>
          </w:tcPr>
          <w:p>
            <w:pPr>
              <w:spacing w:after="0"/>
              <w:rPr>
                <w:sz w:val="24"/>
                <w:szCs w:val="24"/>
                <w:color w:val="auto"/>
              </w:rPr>
            </w:pPr>
          </w:p>
        </w:tc>
        <w:tc>
          <w:tcPr>
            <w:tcW w:w="726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 of Cash Flows (unaudited) – Three Months Ended March 31, 2020</w:t>
              </w:r>
            </w:hyperlink>
          </w:p>
        </w:tc>
        <w:tc>
          <w:tcPr>
            <w:tcW w:w="4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2480" w:type="dxa"/>
            <w:vAlign w:val="bottom"/>
          </w:tcPr>
          <w:p>
            <w:pPr>
              <w:spacing w:after="0"/>
              <w:rPr>
                <w:sz w:val="15"/>
                <w:szCs w:val="15"/>
                <w:color w:val="auto"/>
              </w:rPr>
            </w:pPr>
          </w:p>
        </w:tc>
        <w:tc>
          <w:tcPr>
            <w:tcW w:w="7720" w:type="dxa"/>
            <w:vAlign w:val="bottom"/>
            <w:gridSpan w:val="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and 2019</w:t>
              </w:r>
            </w:hyperlink>
          </w:p>
        </w:tc>
        <w:tc>
          <w:tcPr>
            <w:tcW w:w="780" w:type="dxa"/>
            <w:vAlign w:val="bottom"/>
          </w:tcPr>
          <w:p>
            <w:pPr>
              <w:jc w:val="center"/>
              <w:spacing w:after="0" w:line="182" w:lineRule="exact"/>
              <w:rPr>
                <w:rFonts w:ascii="Arial" w:cs="Arial" w:eastAsia="Arial" w:hAnsi="Arial"/>
                <w:sz w:val="18"/>
                <w:szCs w:val="18"/>
                <w:color w:val="auto"/>
                <w:w w:val="99"/>
              </w:rPr>
            </w:pPr>
            <w:hyperlink w:anchor="page6">
              <w:r>
                <w:rPr>
                  <w:rFonts w:ascii="Arial" w:cs="Arial" w:eastAsia="Arial" w:hAnsi="Arial"/>
                  <w:sz w:val="18"/>
                  <w:szCs w:val="18"/>
                  <w:color w:val="auto"/>
                  <w:w w:val="99"/>
                </w:rPr>
                <w:t>6</w:t>
              </w:r>
            </w:hyperlink>
          </w:p>
        </w:tc>
      </w:tr>
      <w:tr>
        <w:trPr>
          <w:trHeight w:val="20"/>
        </w:trPr>
        <w:tc>
          <w:tcPr>
            <w:tcW w:w="24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2480" w:type="dxa"/>
            <w:vAlign w:val="bottom"/>
          </w:tcPr>
          <w:p>
            <w:pPr>
              <w:spacing w:after="0"/>
              <w:rPr>
                <w:sz w:val="24"/>
                <w:szCs w:val="24"/>
                <w:color w:val="auto"/>
              </w:rPr>
            </w:pPr>
          </w:p>
        </w:tc>
        <w:tc>
          <w:tcPr>
            <w:tcW w:w="772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 of Shareowners' Equity (unaudited) – Three Months Ended March</w:t>
              </w:r>
            </w:hyperlink>
          </w:p>
        </w:tc>
        <w:tc>
          <w:tcPr>
            <w:tcW w:w="780" w:type="dxa"/>
            <w:vAlign w:val="bottom"/>
          </w:tcPr>
          <w:p>
            <w:pPr>
              <w:spacing w:after="0"/>
              <w:rPr>
                <w:sz w:val="24"/>
                <w:szCs w:val="24"/>
                <w:color w:val="auto"/>
              </w:rPr>
            </w:pPr>
          </w:p>
        </w:tc>
      </w:tr>
      <w:tr>
        <w:trPr>
          <w:trHeight w:val="183"/>
        </w:trPr>
        <w:tc>
          <w:tcPr>
            <w:tcW w:w="248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31, 2020 and 2019</w:t>
              </w:r>
            </w:hyperlink>
          </w:p>
        </w:tc>
        <w:tc>
          <w:tcPr>
            <w:tcW w:w="5700" w:type="dxa"/>
            <w:vAlign w:val="bottom"/>
            <w:tcBorders>
              <w:top w:val="single" w:sz="8" w:color="0000EE"/>
            </w:tcBorders>
          </w:tcPr>
          <w:p>
            <w:pPr>
              <w:spacing w:after="0"/>
              <w:rPr>
                <w:sz w:val="15"/>
                <w:szCs w:val="15"/>
                <w:color w:val="auto"/>
              </w:rPr>
            </w:pPr>
          </w:p>
        </w:tc>
        <w:tc>
          <w:tcPr>
            <w:tcW w:w="520" w:type="dxa"/>
            <w:vAlign w:val="bottom"/>
            <w:gridSpan w:val="3"/>
          </w:tcPr>
          <w:p>
            <w:pPr>
              <w:spacing w:after="0"/>
              <w:rPr>
                <w:sz w:val="15"/>
                <w:szCs w:val="15"/>
                <w:color w:val="auto"/>
              </w:rPr>
            </w:pPr>
          </w:p>
        </w:tc>
        <w:tc>
          <w:tcPr>
            <w:tcW w:w="780" w:type="dxa"/>
            <w:vAlign w:val="bottom"/>
          </w:tcPr>
          <w:p>
            <w:pPr>
              <w:jc w:val="center"/>
              <w:spacing w:after="0" w:line="182" w:lineRule="exact"/>
              <w:rPr>
                <w:rFonts w:ascii="Arial" w:cs="Arial" w:eastAsia="Arial" w:hAnsi="Arial"/>
                <w:sz w:val="18"/>
                <w:szCs w:val="18"/>
                <w:color w:val="auto"/>
                <w:w w:val="99"/>
              </w:rPr>
            </w:pPr>
            <w:hyperlink w:anchor="page7">
              <w:r>
                <w:rPr>
                  <w:rFonts w:ascii="Arial" w:cs="Arial" w:eastAsia="Arial" w:hAnsi="Arial"/>
                  <w:sz w:val="18"/>
                  <w:szCs w:val="18"/>
                  <w:color w:val="auto"/>
                  <w:w w:val="99"/>
                </w:rPr>
                <w:t>7</w:t>
              </w:r>
            </w:hyperlink>
          </w:p>
        </w:tc>
      </w:tr>
      <w:tr>
        <w:trPr>
          <w:trHeight w:val="412"/>
        </w:trPr>
        <w:tc>
          <w:tcPr>
            <w:tcW w:w="2480" w:type="dxa"/>
            <w:vAlign w:val="bottom"/>
          </w:tcPr>
          <w:p>
            <w:pPr>
              <w:spacing w:after="0"/>
              <w:rPr>
                <w:sz w:val="24"/>
                <w:szCs w:val="24"/>
                <w:color w:val="auto"/>
              </w:rPr>
            </w:pPr>
          </w:p>
        </w:tc>
        <w:tc>
          <w:tcPr>
            <w:tcW w:w="7720" w:type="dxa"/>
            <w:vAlign w:val="bottom"/>
            <w:gridSpan w:val="6"/>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 (unaudited)</w:t>
              </w:r>
            </w:hyperlink>
          </w:p>
        </w:tc>
        <w:tc>
          <w:tcPr>
            <w:tcW w:w="780" w:type="dxa"/>
            <w:vAlign w:val="bottom"/>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8</w:t>
              </w:r>
            </w:hyperlink>
          </w:p>
        </w:tc>
      </w:tr>
      <w:tr>
        <w:trPr>
          <w:trHeight w:val="391"/>
        </w:trPr>
        <w:tc>
          <w:tcPr>
            <w:tcW w:w="2480" w:type="dxa"/>
            <w:vAlign w:val="bottom"/>
          </w:tcPr>
          <w:p>
            <w:pPr>
              <w:ind w:left="12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2.</w:t>
              </w:r>
            </w:hyperlink>
          </w:p>
        </w:tc>
        <w:tc>
          <w:tcPr>
            <w:tcW w:w="7720" w:type="dxa"/>
            <w:vAlign w:val="bottom"/>
            <w:gridSpan w:val="6"/>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center"/>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30</w:t>
              </w:r>
            </w:hyperlink>
          </w:p>
        </w:tc>
      </w:tr>
      <w:tr>
        <w:trPr>
          <w:trHeight w:val="392"/>
        </w:trPr>
        <w:tc>
          <w:tcPr>
            <w:tcW w:w="2480" w:type="dxa"/>
            <w:vAlign w:val="bottom"/>
          </w:tcPr>
          <w:p>
            <w:pPr>
              <w:ind w:left="12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3.</w:t>
              </w:r>
            </w:hyperlink>
          </w:p>
        </w:tc>
        <w:tc>
          <w:tcPr>
            <w:tcW w:w="7720" w:type="dxa"/>
            <w:vAlign w:val="bottom"/>
            <w:gridSpan w:val="6"/>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Quantitative and Qualitative Disclosures About Market Risks</w:t>
              </w:r>
            </w:hyperlink>
          </w:p>
        </w:tc>
        <w:tc>
          <w:tcPr>
            <w:tcW w:w="780" w:type="dxa"/>
            <w:vAlign w:val="bottom"/>
          </w:tcPr>
          <w:p>
            <w:pPr>
              <w:jc w:val="center"/>
              <w:spacing w:after="0"/>
              <w:rPr>
                <w:rFonts w:ascii="Arial" w:cs="Arial" w:eastAsia="Arial" w:hAnsi="Arial"/>
                <w:sz w:val="18"/>
                <w:szCs w:val="18"/>
                <w:color w:val="auto"/>
                <w:w w:val="99"/>
              </w:rPr>
            </w:pPr>
            <w:hyperlink w:anchor="page42">
              <w:r>
                <w:rPr>
                  <w:rFonts w:ascii="Arial" w:cs="Arial" w:eastAsia="Arial" w:hAnsi="Arial"/>
                  <w:sz w:val="18"/>
                  <w:szCs w:val="18"/>
                  <w:color w:val="auto"/>
                  <w:w w:val="99"/>
                </w:rPr>
                <w:t>41</w:t>
              </w:r>
            </w:hyperlink>
          </w:p>
        </w:tc>
      </w:tr>
      <w:tr>
        <w:trPr>
          <w:trHeight w:val="392"/>
        </w:trPr>
        <w:tc>
          <w:tcPr>
            <w:tcW w:w="2480" w:type="dxa"/>
            <w:vAlign w:val="bottom"/>
          </w:tcPr>
          <w:p>
            <w:pPr>
              <w:ind w:left="12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4.</w:t>
              </w:r>
            </w:hyperlink>
          </w:p>
        </w:tc>
        <w:tc>
          <w:tcPr>
            <w:tcW w:w="7720" w:type="dxa"/>
            <w:vAlign w:val="bottom"/>
            <w:gridSpan w:val="6"/>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Controls and Procedures</w:t>
              </w:r>
            </w:hyperlink>
          </w:p>
        </w:tc>
        <w:tc>
          <w:tcPr>
            <w:tcW w:w="780" w:type="dxa"/>
            <w:vAlign w:val="bottom"/>
          </w:tcPr>
          <w:p>
            <w:pPr>
              <w:jc w:val="center"/>
              <w:spacing w:after="0"/>
              <w:rPr>
                <w:rFonts w:ascii="Arial" w:cs="Arial" w:eastAsia="Arial" w:hAnsi="Arial"/>
                <w:sz w:val="18"/>
                <w:szCs w:val="18"/>
                <w:color w:val="auto"/>
                <w:w w:val="99"/>
              </w:rPr>
            </w:pPr>
            <w:hyperlink w:anchor="page42">
              <w:r>
                <w:rPr>
                  <w:rFonts w:ascii="Arial" w:cs="Arial" w:eastAsia="Arial" w:hAnsi="Arial"/>
                  <w:sz w:val="18"/>
                  <w:szCs w:val="18"/>
                  <w:color w:val="auto"/>
                  <w:w w:val="99"/>
                </w:rPr>
                <w:t>41</w:t>
              </w:r>
            </w:hyperlink>
          </w:p>
        </w:tc>
      </w:tr>
      <w:tr>
        <w:trPr>
          <w:trHeight w:val="392"/>
        </w:trPr>
        <w:tc>
          <w:tcPr>
            <w:tcW w:w="248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w:t>
              </w:r>
            </w:hyperlink>
          </w:p>
        </w:tc>
        <w:tc>
          <w:tcPr>
            <w:tcW w:w="7720" w:type="dxa"/>
            <w:vAlign w:val="bottom"/>
            <w:gridSpan w:val="6"/>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Other Information</w:t>
              </w:r>
            </w:hyperlink>
          </w:p>
        </w:tc>
        <w:tc>
          <w:tcPr>
            <w:tcW w:w="780" w:type="dxa"/>
            <w:vAlign w:val="bottom"/>
          </w:tcPr>
          <w:p>
            <w:pPr>
              <w:spacing w:after="0"/>
              <w:rPr>
                <w:sz w:val="24"/>
                <w:szCs w:val="24"/>
                <w:color w:val="auto"/>
              </w:rPr>
            </w:pPr>
          </w:p>
        </w:tc>
      </w:tr>
      <w:tr>
        <w:trPr>
          <w:trHeight w:val="391"/>
        </w:trPr>
        <w:tc>
          <w:tcPr>
            <w:tcW w:w="2480" w:type="dxa"/>
            <w:vAlign w:val="bottom"/>
          </w:tcPr>
          <w:p>
            <w:pPr>
              <w:ind w:left="12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w:t>
              </w:r>
            </w:hyperlink>
          </w:p>
        </w:tc>
        <w:tc>
          <w:tcPr>
            <w:tcW w:w="7720" w:type="dxa"/>
            <w:vAlign w:val="bottom"/>
            <w:gridSpan w:val="6"/>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Proceedings</w:t>
              </w:r>
            </w:hyperlink>
          </w:p>
        </w:tc>
        <w:tc>
          <w:tcPr>
            <w:tcW w:w="780" w:type="dxa"/>
            <w:vAlign w:val="bottom"/>
          </w:tcPr>
          <w:p>
            <w:pPr>
              <w:jc w:val="center"/>
              <w:spacing w:after="0"/>
              <w:rPr>
                <w:rFonts w:ascii="Arial" w:cs="Arial" w:eastAsia="Arial" w:hAnsi="Arial"/>
                <w:sz w:val="18"/>
                <w:szCs w:val="18"/>
                <w:color w:val="auto"/>
                <w:w w:val="99"/>
              </w:rPr>
            </w:pPr>
            <w:hyperlink w:anchor="page43">
              <w:r>
                <w:rPr>
                  <w:rFonts w:ascii="Arial" w:cs="Arial" w:eastAsia="Arial" w:hAnsi="Arial"/>
                  <w:sz w:val="18"/>
                  <w:szCs w:val="18"/>
                  <w:color w:val="auto"/>
                  <w:w w:val="99"/>
                </w:rPr>
                <w:t>42</w:t>
              </w:r>
            </w:hyperlink>
          </w:p>
        </w:tc>
      </w:tr>
      <w:tr>
        <w:trPr>
          <w:trHeight w:val="391"/>
        </w:trPr>
        <w:tc>
          <w:tcPr>
            <w:tcW w:w="2480" w:type="dxa"/>
            <w:vAlign w:val="bottom"/>
          </w:tcPr>
          <w:p>
            <w:pPr>
              <w:ind w:left="12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1A.</w:t>
              </w:r>
            </w:hyperlink>
          </w:p>
        </w:tc>
        <w:tc>
          <w:tcPr>
            <w:tcW w:w="7720" w:type="dxa"/>
            <w:vAlign w:val="bottom"/>
            <w:gridSpan w:val="6"/>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Risk Factors</w:t>
              </w:r>
            </w:hyperlink>
          </w:p>
        </w:tc>
        <w:tc>
          <w:tcPr>
            <w:tcW w:w="780" w:type="dxa"/>
            <w:vAlign w:val="bottom"/>
          </w:tcPr>
          <w:p>
            <w:pPr>
              <w:jc w:val="center"/>
              <w:spacing w:after="0"/>
              <w:rPr>
                <w:rFonts w:ascii="Arial" w:cs="Arial" w:eastAsia="Arial" w:hAnsi="Arial"/>
                <w:sz w:val="18"/>
                <w:szCs w:val="18"/>
                <w:color w:val="auto"/>
                <w:w w:val="99"/>
              </w:rPr>
            </w:pPr>
            <w:hyperlink w:anchor="page43">
              <w:r>
                <w:rPr>
                  <w:rFonts w:ascii="Arial" w:cs="Arial" w:eastAsia="Arial" w:hAnsi="Arial"/>
                  <w:sz w:val="18"/>
                  <w:szCs w:val="18"/>
                  <w:color w:val="auto"/>
                  <w:w w:val="99"/>
                </w:rPr>
                <w:t>42</w:t>
              </w:r>
            </w:hyperlink>
          </w:p>
        </w:tc>
      </w:tr>
      <w:tr>
        <w:trPr>
          <w:trHeight w:val="392"/>
        </w:trPr>
        <w:tc>
          <w:tcPr>
            <w:tcW w:w="2480" w:type="dxa"/>
            <w:vAlign w:val="bottom"/>
          </w:tcPr>
          <w:p>
            <w:pPr>
              <w:ind w:left="12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2.</w:t>
              </w:r>
            </w:hyperlink>
          </w:p>
        </w:tc>
        <w:tc>
          <w:tcPr>
            <w:tcW w:w="7720" w:type="dxa"/>
            <w:vAlign w:val="bottom"/>
            <w:gridSpan w:val="6"/>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center"/>
              <w:spacing w:after="0"/>
              <w:rPr>
                <w:rFonts w:ascii="Arial" w:cs="Arial" w:eastAsia="Arial" w:hAnsi="Arial"/>
                <w:sz w:val="18"/>
                <w:szCs w:val="18"/>
                <w:color w:val="auto"/>
                <w:w w:val="99"/>
              </w:rPr>
            </w:pPr>
            <w:hyperlink w:anchor="page44">
              <w:r>
                <w:rPr>
                  <w:rFonts w:ascii="Arial" w:cs="Arial" w:eastAsia="Arial" w:hAnsi="Arial"/>
                  <w:sz w:val="18"/>
                  <w:szCs w:val="18"/>
                  <w:color w:val="auto"/>
                  <w:w w:val="99"/>
                </w:rPr>
                <w:t>43</w:t>
              </w:r>
            </w:hyperlink>
          </w:p>
        </w:tc>
      </w:tr>
      <w:tr>
        <w:trPr>
          <w:trHeight w:val="391"/>
        </w:trPr>
        <w:tc>
          <w:tcPr>
            <w:tcW w:w="2480" w:type="dxa"/>
            <w:vAlign w:val="bottom"/>
          </w:tcPr>
          <w:p>
            <w:pPr>
              <w:ind w:left="12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w:t>
              </w:r>
            </w:hyperlink>
          </w:p>
        </w:tc>
        <w:tc>
          <w:tcPr>
            <w:tcW w:w="7720" w:type="dxa"/>
            <w:vAlign w:val="bottom"/>
            <w:gridSpan w:val="6"/>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Mine Safety Disclosures</w:t>
              </w:r>
            </w:hyperlink>
          </w:p>
        </w:tc>
        <w:tc>
          <w:tcPr>
            <w:tcW w:w="780" w:type="dxa"/>
            <w:vAlign w:val="bottom"/>
          </w:tcPr>
          <w:p>
            <w:pPr>
              <w:jc w:val="center"/>
              <w:spacing w:after="0"/>
              <w:rPr>
                <w:rFonts w:ascii="Arial" w:cs="Arial" w:eastAsia="Arial" w:hAnsi="Arial"/>
                <w:sz w:val="18"/>
                <w:szCs w:val="18"/>
                <w:color w:val="auto"/>
                <w:w w:val="99"/>
              </w:rPr>
            </w:pPr>
            <w:hyperlink w:anchor="page44">
              <w:r>
                <w:rPr>
                  <w:rFonts w:ascii="Arial" w:cs="Arial" w:eastAsia="Arial" w:hAnsi="Arial"/>
                  <w:sz w:val="18"/>
                  <w:szCs w:val="18"/>
                  <w:color w:val="auto"/>
                  <w:w w:val="99"/>
                </w:rPr>
                <w:t>43</w:t>
              </w:r>
            </w:hyperlink>
          </w:p>
        </w:tc>
      </w:tr>
      <w:tr>
        <w:trPr>
          <w:trHeight w:val="392"/>
        </w:trPr>
        <w:tc>
          <w:tcPr>
            <w:tcW w:w="2480" w:type="dxa"/>
            <w:vAlign w:val="bottom"/>
          </w:tcPr>
          <w:p>
            <w:pPr>
              <w:ind w:left="12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5.</w:t>
              </w:r>
            </w:hyperlink>
          </w:p>
        </w:tc>
        <w:tc>
          <w:tcPr>
            <w:tcW w:w="7720" w:type="dxa"/>
            <w:vAlign w:val="bottom"/>
            <w:gridSpan w:val="6"/>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Information</w:t>
              </w:r>
            </w:hyperlink>
          </w:p>
        </w:tc>
        <w:tc>
          <w:tcPr>
            <w:tcW w:w="780" w:type="dxa"/>
            <w:vAlign w:val="bottom"/>
          </w:tcPr>
          <w:p>
            <w:pPr>
              <w:jc w:val="center"/>
              <w:spacing w:after="0"/>
              <w:rPr>
                <w:rFonts w:ascii="Arial" w:cs="Arial" w:eastAsia="Arial" w:hAnsi="Arial"/>
                <w:sz w:val="18"/>
                <w:szCs w:val="18"/>
                <w:color w:val="auto"/>
                <w:w w:val="99"/>
              </w:rPr>
            </w:pPr>
            <w:hyperlink w:anchor="page44">
              <w:r>
                <w:rPr>
                  <w:rFonts w:ascii="Arial" w:cs="Arial" w:eastAsia="Arial" w:hAnsi="Arial"/>
                  <w:sz w:val="18"/>
                  <w:szCs w:val="18"/>
                  <w:color w:val="auto"/>
                  <w:w w:val="99"/>
                </w:rPr>
                <w:t>43</w:t>
              </w:r>
            </w:hyperlink>
          </w:p>
        </w:tc>
      </w:tr>
      <w:tr>
        <w:trPr>
          <w:trHeight w:val="391"/>
        </w:trPr>
        <w:tc>
          <w:tcPr>
            <w:tcW w:w="2480" w:type="dxa"/>
            <w:vAlign w:val="bottom"/>
          </w:tcPr>
          <w:p>
            <w:pPr>
              <w:ind w:left="12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6.</w:t>
              </w:r>
            </w:hyperlink>
          </w:p>
        </w:tc>
        <w:tc>
          <w:tcPr>
            <w:tcW w:w="7720" w:type="dxa"/>
            <w:vAlign w:val="bottom"/>
            <w:gridSpan w:val="6"/>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Exhibits</w:t>
              </w:r>
            </w:hyperlink>
          </w:p>
        </w:tc>
        <w:tc>
          <w:tcPr>
            <w:tcW w:w="780" w:type="dxa"/>
            <w:vAlign w:val="bottom"/>
          </w:tcPr>
          <w:p>
            <w:pPr>
              <w:jc w:val="center"/>
              <w:spacing w:after="0"/>
              <w:rPr>
                <w:rFonts w:ascii="Arial" w:cs="Arial" w:eastAsia="Arial" w:hAnsi="Arial"/>
                <w:sz w:val="18"/>
                <w:szCs w:val="18"/>
                <w:color w:val="auto"/>
                <w:w w:val="99"/>
              </w:rPr>
            </w:pPr>
            <w:hyperlink w:anchor="page45">
              <w:r>
                <w:rPr>
                  <w:rFonts w:ascii="Arial" w:cs="Arial" w:eastAsia="Arial" w:hAnsi="Arial"/>
                  <w:sz w:val="18"/>
                  <w:szCs w:val="18"/>
                  <w:color w:val="auto"/>
                  <w:w w:val="99"/>
                </w:rPr>
                <w:t>44</w:t>
              </w:r>
            </w:hyperlink>
          </w:p>
        </w:tc>
      </w:tr>
      <w:tr>
        <w:trPr>
          <w:trHeight w:val="392"/>
        </w:trPr>
        <w:tc>
          <w:tcPr>
            <w:tcW w:w="24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Signatures</w:t>
              </w:r>
            </w:hyperlink>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99"/>
              </w:rPr>
            </w:pPr>
            <w:hyperlink w:anchor="page46">
              <w:r>
                <w:rPr>
                  <w:rFonts w:ascii="Arial" w:cs="Arial" w:eastAsia="Arial" w:hAnsi="Arial"/>
                  <w:sz w:val="18"/>
                  <w:szCs w:val="18"/>
                  <w:color w:val="auto"/>
                  <w:w w:val="99"/>
                </w:rPr>
                <w:t>45</w:t>
              </w:r>
            </w:hyperlink>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including the impact of the coronavirus pandemic (COVID-19), which can affect our performance and financial results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this report and our 2019 Annual Report on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 financial statements and related footnotes as of March 31, 2020 should be read in conjunction with the financial statements for the year ended December 31, 2019 contained in our 2019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9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10"/>
        </w:trPr>
        <w:tc>
          <w:tcPr>
            <w:tcW w:w="7980" w:type="dxa"/>
            <w:vAlign w:val="bottom"/>
          </w:tcPr>
          <w:p>
            <w:pPr>
              <w:spacing w:after="0"/>
              <w:rPr>
                <w:sz w:val="18"/>
                <w:szCs w:val="18"/>
                <w:color w:val="auto"/>
              </w:rPr>
            </w:pPr>
          </w:p>
        </w:tc>
        <w:tc>
          <w:tcPr>
            <w:tcW w:w="3260" w:type="dxa"/>
            <w:vAlign w:val="bottom"/>
            <w:gridSpan w:val="5"/>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6,713</w:t>
            </w: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Service sales</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2,171</w:t>
            </w: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8,463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8,884</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Costs, expenses and other</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products sold</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4,622</w:t>
            </w:r>
          </w:p>
        </w:tc>
      </w:tr>
      <w:tr>
        <w:trPr>
          <w:trHeight w:val="263"/>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1,257</w:t>
            </w:r>
          </w:p>
        </w:tc>
      </w:tr>
      <w:tr>
        <w:trPr>
          <w:trHeight w:val="257"/>
        </w:trPr>
        <w:tc>
          <w:tcPr>
            <w:tcW w:w="7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5,879</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1,363</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63"/>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Interest and other financial charges</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r>
      <w:tr>
        <w:trPr>
          <w:trHeight w:val="250"/>
        </w:trPr>
        <w:tc>
          <w:tcPr>
            <w:tcW w:w="79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6,528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7,042</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1,842</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 (benefit)</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1,436</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the noncontrolling interest</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96"/>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Honeywell</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1,416</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Earnings per share of common stock - assuming dilution</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8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r>
      <w:tr>
        <w:trPr>
          <w:trHeight w:val="263"/>
        </w:trPr>
        <w:tc>
          <w:tcPr>
            <w:tcW w:w="79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r>
      <w:tr>
        <w:trPr>
          <w:trHeight w:val="210"/>
        </w:trPr>
        <w:tc>
          <w:tcPr>
            <w:tcW w:w="7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Pr>
          <w:p>
            <w:pPr>
              <w:spacing w:after="0"/>
              <w:rPr>
                <w:sz w:val="18"/>
                <w:szCs w:val="18"/>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1,436</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7"/>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exchange translation adjustment</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63"/>
        </w:trPr>
        <w:tc>
          <w:tcPr>
            <w:tcW w:w="79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Prior service (credit) cost recognized</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Pension and other postretirement benefits adjustments</w:t>
            </w: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7980" w:type="dxa"/>
            <w:vAlign w:val="bottom"/>
          </w:tcPr>
          <w:p>
            <w:pPr>
              <w:ind w:left="720"/>
              <w:spacing w:after="0"/>
              <w:rPr>
                <w:sz w:val="20"/>
                <w:szCs w:val="20"/>
                <w:color w:val="auto"/>
              </w:rPr>
            </w:pPr>
            <w:r>
              <w:rPr>
                <w:rFonts w:ascii="Arial" w:cs="Arial" w:eastAsia="Arial" w:hAnsi="Arial"/>
                <w:sz w:val="18"/>
                <w:szCs w:val="18"/>
                <w:color w:val="auto"/>
              </w:rPr>
              <w:t>Cash flow hedges recognized in other comprehensive income (loss)</w:t>
            </w:r>
          </w:p>
        </w:tc>
        <w:tc>
          <w:tcPr>
            <w:tcW w:w="96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7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9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50"/>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Changes in fair value of cash flow hedges</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6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1,628</w:t>
            </w:r>
          </w:p>
        </w:tc>
      </w:tr>
      <w:tr>
        <w:trPr>
          <w:trHeight w:val="270"/>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9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6"/>
        </w:trPr>
        <w:tc>
          <w:tcPr>
            <w:tcW w:w="7980" w:type="dxa"/>
            <w:vAlign w:val="bottom"/>
          </w:tcPr>
          <w:p>
            <w:pPr>
              <w:ind w:left="40"/>
              <w:spacing w:after="0"/>
              <w:rPr>
                <w:sz w:val="20"/>
                <w:szCs w:val="20"/>
                <w:color w:val="auto"/>
              </w:rPr>
            </w:pPr>
            <w:r>
              <w:rPr>
                <w:rFonts w:ascii="Arial" w:cs="Arial" w:eastAsia="Arial" w:hAnsi="Arial"/>
                <w:sz w:val="18"/>
                <w:szCs w:val="18"/>
                <w:color w:val="auto"/>
              </w:rPr>
              <w:t>Comprehensive income attributable to Honeywell</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1,604</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ind w:left="600"/>
              <w:spacing w:after="0"/>
              <w:rPr>
                <w:sz w:val="20"/>
                <w:szCs w:val="20"/>
                <w:color w:val="auto"/>
              </w:rPr>
            </w:pPr>
            <w:r>
              <w:rPr>
                <w:rFonts w:ascii="Arial" w:cs="Arial" w:eastAsia="Arial" w:hAnsi="Arial"/>
                <w:sz w:val="14"/>
                <w:szCs w:val="14"/>
                <w:b w:val="1"/>
                <w:bCs w:val="1"/>
                <w:color w:val="auto"/>
              </w:rPr>
              <w:t>(Dollars in millions)</w:t>
            </w:r>
          </w:p>
        </w:tc>
        <w:tc>
          <w:tcPr>
            <w:tcW w:w="720" w:type="dxa"/>
            <w:vAlign w:val="bottom"/>
          </w:tcPr>
          <w:p>
            <w:pPr>
              <w:spacing w:after="0"/>
              <w:rPr>
                <w:sz w:val="18"/>
                <w:szCs w:val="18"/>
                <w:color w:val="auto"/>
              </w:rPr>
            </w:pPr>
          </w:p>
        </w:tc>
      </w:tr>
      <w:tr>
        <w:trPr>
          <w:trHeight w:val="27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7"/>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7,721</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9,067</w:t>
            </w: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1,349</w:t>
            </w:r>
          </w:p>
        </w:tc>
      </w:tr>
      <w:tr>
        <w:trPr>
          <w:trHeight w:val="277"/>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 net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7,452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7,493</w:t>
            </w: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4,584</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4,421</w:t>
            </w:r>
          </w:p>
        </w:tc>
      </w:tr>
      <w:tr>
        <w:trPr>
          <w:trHeight w:val="270"/>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1,973</w:t>
            </w:r>
          </w:p>
        </w:tc>
      </w:tr>
      <w:tr>
        <w:trPr>
          <w:trHeight w:val="250"/>
        </w:trPr>
        <w:tc>
          <w:tcPr>
            <w:tcW w:w="84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22,613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24,303</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and long-term receivables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5,214</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5,325</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15,282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15,563</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Other intangible assets - net</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3,734</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recoveries for asbestos related liabilities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9,666</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8,688</w:t>
            </w:r>
          </w:p>
        </w:tc>
      </w:tr>
      <w:tr>
        <w:trPr>
          <w:trHeight w:val="297"/>
        </w:trPr>
        <w:tc>
          <w:tcPr>
            <w:tcW w:w="84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57,422</w:t>
            </w: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58,679</w:t>
            </w:r>
          </w:p>
        </w:tc>
      </w:tr>
      <w:tr>
        <w:trPr>
          <w:trHeight w:val="25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7"/>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5,676</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5,730</w:t>
            </w: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Commercial paper and other short-term borrowings</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3,516</w:t>
            </w:r>
          </w:p>
        </w:tc>
      </w:tr>
      <w:tr>
        <w:trPr>
          <w:trHeight w:val="277"/>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r>
      <w:tr>
        <w:trPr>
          <w:trHeight w:val="263"/>
        </w:trPr>
        <w:tc>
          <w:tcPr>
            <w:tcW w:w="84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7,131</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7,476</w:t>
            </w:r>
          </w:p>
        </w:tc>
      </w:tr>
      <w:tr>
        <w:trPr>
          <w:trHeight w:val="257"/>
        </w:trPr>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17,377</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18,098</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11,542</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11,110</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1,670</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Postretirement benefit obligations other than pensions</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Asbestos related liabilities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1,996</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6,699</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6,766</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SHAREOWNERS’ EQUITY</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 common stock issued</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r>
      <w:tr>
        <w:trPr>
          <w:trHeight w:val="263"/>
        </w:trPr>
        <w:tc>
          <w:tcPr>
            <w:tcW w:w="8400" w:type="dxa"/>
            <w:vAlign w:val="bottom"/>
          </w:tcPr>
          <w:p>
            <w:pPr>
              <w:ind w:left="720"/>
              <w:spacing w:after="0"/>
              <w:rPr>
                <w:sz w:val="20"/>
                <w:szCs w:val="20"/>
                <w:color w:val="auto"/>
              </w:rPr>
            </w:pPr>
            <w:r>
              <w:rPr>
                <w:rFonts w:ascii="Arial" w:cs="Arial" w:eastAsia="Arial" w:hAnsi="Arial"/>
                <w:sz w:val="18"/>
                <w:szCs w:val="18"/>
                <w:color w:val="auto"/>
              </w:rPr>
              <w:t>- additional paid-in capital</w:t>
            </w: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7,047</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6,876</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held in treasury, at cost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(23,836)</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(3,197)</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38,635</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37,693</w:t>
            </w:r>
          </w:p>
        </w:tc>
      </w:tr>
      <w:tr>
        <w:trPr>
          <w:trHeight w:val="250"/>
        </w:trPr>
        <w:tc>
          <w:tcPr>
            <w:tcW w:w="8400" w:type="dxa"/>
            <w:vAlign w:val="bottom"/>
          </w:tcPr>
          <w:p>
            <w:pPr>
              <w:ind w:left="280"/>
              <w:spacing w:after="0"/>
              <w:rPr>
                <w:sz w:val="20"/>
                <w:szCs w:val="20"/>
                <w:color w:val="auto"/>
              </w:rPr>
            </w:pPr>
            <w:r>
              <w:rPr>
                <w:rFonts w:ascii="Arial" w:cs="Arial" w:eastAsia="Arial" w:hAnsi="Arial"/>
                <w:sz w:val="18"/>
                <w:szCs w:val="18"/>
                <w:color w:val="auto"/>
              </w:rPr>
              <w:t>Total Honeywell shareowners’ equity</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17,644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18,494</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50"/>
        </w:trPr>
        <w:tc>
          <w:tcPr>
            <w:tcW w:w="84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shareowners’ equity</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17,865</w:t>
            </w: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18,706</w:t>
            </w:r>
          </w:p>
        </w:tc>
      </w:tr>
      <w:tr>
        <w:trPr>
          <w:trHeight w:val="256"/>
        </w:trPr>
        <w:tc>
          <w:tcPr>
            <w:tcW w:w="8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57,422</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58,679</w:t>
            </w: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769"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2019</w:t>
            </w:r>
          </w:p>
        </w:tc>
      </w:tr>
      <w:tr>
        <w:trPr>
          <w:trHeight w:val="210"/>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650"/>
              <w:spacing w:after="0"/>
              <w:rPr>
                <w:sz w:val="20"/>
                <w:szCs w:val="20"/>
                <w:color w:val="auto"/>
              </w:rPr>
            </w:pPr>
            <w:r>
              <w:rPr>
                <w:rFonts w:ascii="Arial" w:cs="Arial" w:eastAsia="Arial" w:hAnsi="Arial"/>
                <w:sz w:val="14"/>
                <w:szCs w:val="14"/>
                <w:b w:val="1"/>
                <w:bCs w:val="1"/>
                <w:color w:val="auto"/>
              </w:rPr>
              <w:t>(Dollars in millions)</w:t>
            </w:r>
          </w:p>
        </w:tc>
      </w:tr>
      <w:tr>
        <w:trPr>
          <w:trHeight w:val="27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1,436</w:t>
            </w:r>
          </w:p>
        </w:tc>
      </w:tr>
      <w:tr>
        <w:trPr>
          <w:trHeight w:val="270"/>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the noncontrolling interest</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50"/>
        </w:trPr>
        <w:tc>
          <w:tcPr>
            <w:tcW w:w="8400" w:type="dxa"/>
            <w:vAlign w:val="bottom"/>
          </w:tcPr>
          <w:p>
            <w:pPr>
              <w:ind w:left="280"/>
              <w:spacing w:after="0"/>
              <w:rPr>
                <w:sz w:val="20"/>
                <w:szCs w:val="20"/>
                <w:color w:val="auto"/>
              </w:rPr>
            </w:pPr>
            <w:r>
              <w:rPr>
                <w:rFonts w:ascii="Arial" w:cs="Arial" w:eastAsia="Arial" w:hAnsi="Arial"/>
                <w:sz w:val="18"/>
                <w:szCs w:val="18"/>
                <w:color w:val="auto"/>
              </w:rPr>
              <w:t>Net income attributable to Honeywell</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1,416</w:t>
            </w:r>
          </w:p>
        </w:tc>
      </w:tr>
      <w:tr>
        <w:trPr>
          <w:trHeight w:val="235"/>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63"/>
        </w:trPr>
        <w:tc>
          <w:tcPr>
            <w:tcW w:w="840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7"/>
        </w:trPr>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63"/>
        </w:trPr>
        <w:tc>
          <w:tcPr>
            <w:tcW w:w="8400" w:type="dxa"/>
            <w:vAlign w:val="bottom"/>
          </w:tcPr>
          <w:p>
            <w:pPr>
              <w:ind w:left="500"/>
              <w:spacing w:after="0"/>
              <w:rPr>
                <w:sz w:val="20"/>
                <w:szCs w:val="20"/>
                <w:color w:val="auto"/>
              </w:rPr>
            </w:pPr>
            <w:r>
              <w:rPr>
                <w:rFonts w:ascii="Arial" w:cs="Arial" w:eastAsia="Arial" w:hAnsi="Arial"/>
                <w:sz w:val="18"/>
                <w:szCs w:val="18"/>
                <w:color w:val="auto"/>
              </w:rPr>
              <w:t>Repositioning and other charges</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7"/>
        </w:trPr>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payments for repositioning and other charges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8400" w:type="dxa"/>
            <w:vAlign w:val="bottom"/>
          </w:tcPr>
          <w:p>
            <w:pPr>
              <w:ind w:left="500"/>
              <w:spacing w:after="0"/>
              <w:rPr>
                <w:sz w:val="20"/>
                <w:szCs w:val="20"/>
                <w:color w:val="auto"/>
              </w:rPr>
            </w:pPr>
            <w:r>
              <w:rPr>
                <w:rFonts w:ascii="Arial" w:cs="Arial" w:eastAsia="Arial" w:hAnsi="Arial"/>
                <w:sz w:val="18"/>
                <w:szCs w:val="18"/>
                <w:color w:val="auto"/>
              </w:rPr>
              <w:t>Pension and other postretirement income</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7"/>
        </w:trPr>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Pension and other postretirement benefit payments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8400" w:type="dxa"/>
            <w:vAlign w:val="bottom"/>
          </w:tcPr>
          <w:p>
            <w:pPr>
              <w:ind w:left="500"/>
              <w:spacing w:after="0"/>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7"/>
        </w:trPr>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63"/>
        </w:trPr>
        <w:tc>
          <w:tcPr>
            <w:tcW w:w="8400" w:type="dxa"/>
            <w:vAlign w:val="bottom"/>
          </w:tcPr>
          <w:p>
            <w:pPr>
              <w:ind w:left="5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3"/>
        </w:trPr>
        <w:tc>
          <w:tcPr>
            <w:tcW w:w="84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7"/>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63"/>
        </w:trPr>
        <w:tc>
          <w:tcPr>
            <w:tcW w:w="840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7"/>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84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56"/>
        </w:trPr>
        <w:tc>
          <w:tcPr>
            <w:tcW w:w="8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Net cash provided by (used for)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r>
      <w:tr>
        <w:trPr>
          <w:trHeight w:val="25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Proceeds from disposals of property, plant and equipment</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investments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Decrease in investments</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796</w:t>
            </w:r>
          </w:p>
        </w:tc>
      </w:tr>
      <w:tr>
        <w:trPr>
          <w:trHeight w:val="270"/>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Receipts (payments) from settlements of derivative contracts</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0"/>
        </w:trPr>
        <w:tc>
          <w:tcPr>
            <w:tcW w:w="840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Net cash provided by (used for) investing activities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Proceeds from issuance of commercial paper and other short-term borrowings</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3,318</w:t>
            </w:r>
          </w:p>
        </w:tc>
      </w:tr>
      <w:tr>
        <w:trPr>
          <w:trHeight w:val="277"/>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of commercial paper and other short-term borrowings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7"/>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7"/>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0"/>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840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25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50"/>
        </w:trPr>
        <w:tc>
          <w:tcPr>
            <w:tcW w:w="84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9,067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9,287</w:t>
            </w:r>
          </w:p>
        </w:tc>
      </w:tr>
      <w:tr>
        <w:trPr>
          <w:trHeight w:val="256"/>
        </w:trPr>
        <w:tc>
          <w:tcPr>
            <w:tcW w:w="84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7,721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8,625</w:t>
            </w: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769"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Shareowners'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7"/>
                <w:szCs w:val="17"/>
                <w:color w:val="auto"/>
              </w:rPr>
            </w:pPr>
          </w:p>
        </w:tc>
      </w:tr>
      <w:tr>
        <w:trPr>
          <w:trHeight w:val="263"/>
        </w:trPr>
        <w:tc>
          <w:tcPr>
            <w:tcW w:w="6860" w:type="dxa"/>
            <w:vAlign w:val="bottom"/>
          </w:tcPr>
          <w:p>
            <w:pPr>
              <w:spacing w:after="0"/>
              <w:rPr>
                <w:sz w:val="22"/>
                <w:szCs w:val="22"/>
                <w:color w:val="auto"/>
              </w:rPr>
            </w:pPr>
          </w:p>
        </w:tc>
        <w:tc>
          <w:tcPr>
            <w:tcW w:w="13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22"/>
                <w:szCs w:val="22"/>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22"/>
                <w:szCs w:val="22"/>
                <w:color w:val="auto"/>
              </w:rPr>
            </w:pPr>
          </w:p>
        </w:tc>
      </w:tr>
      <w:tr>
        <w:trPr>
          <w:trHeight w:val="264"/>
        </w:trPr>
        <w:tc>
          <w:tcPr>
            <w:tcW w:w="6860" w:type="dxa"/>
            <w:vAlign w:val="bottom"/>
          </w:tcPr>
          <w:p>
            <w:pPr>
              <w:spacing w:after="0"/>
              <w:rPr>
                <w:sz w:val="22"/>
                <w:szCs w:val="22"/>
                <w:color w:val="auto"/>
              </w:rPr>
            </w:pPr>
          </w:p>
        </w:tc>
        <w:tc>
          <w:tcPr>
            <w:tcW w:w="1340" w:type="dxa"/>
            <w:vAlign w:val="bottom"/>
            <w:tcBorders>
              <w:top w:val="single" w:sz="8" w:color="auto"/>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r>
      <w:tr>
        <w:trPr>
          <w:trHeight w:val="236"/>
        </w:trPr>
        <w:tc>
          <w:tcPr>
            <w:tcW w:w="6860" w:type="dxa"/>
            <w:vAlign w:val="bottom"/>
          </w:tcPr>
          <w:p>
            <w:pPr>
              <w:spacing w:after="0"/>
              <w:rPr>
                <w:sz w:val="20"/>
                <w:szCs w:val="20"/>
                <w:color w:val="auto"/>
              </w:rPr>
            </w:pPr>
          </w:p>
        </w:tc>
        <w:tc>
          <w:tcPr>
            <w:tcW w:w="4380" w:type="dxa"/>
            <w:vAlign w:val="bottom"/>
            <w:gridSpan w:val="9"/>
          </w:tcPr>
          <w:p>
            <w:pPr>
              <w:jc w:val="right"/>
              <w:ind w:right="491"/>
              <w:spacing w:after="0"/>
              <w:rPr>
                <w:sz w:val="20"/>
                <w:szCs w:val="20"/>
                <w:color w:val="auto"/>
              </w:rPr>
            </w:pPr>
            <w:r>
              <w:rPr>
                <w:rFonts w:ascii="Arial" w:cs="Arial" w:eastAsia="Arial" w:hAnsi="Arial"/>
                <w:sz w:val="14"/>
                <w:szCs w:val="14"/>
                <w:b w:val="1"/>
                <w:bCs w:val="1"/>
                <w:color w:val="auto"/>
              </w:rPr>
              <w:t>(Dollars in millions, except per share amounts)</w:t>
            </w:r>
          </w:p>
        </w:tc>
      </w:tr>
      <w:tr>
        <w:trPr>
          <w:trHeight w:val="27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 par value</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957.6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11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957.6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7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6,452</w:t>
            </w:r>
          </w:p>
        </w:tc>
      </w:tr>
      <w:tr>
        <w:trPr>
          <w:trHeight w:val="263"/>
        </w:trPr>
        <w:tc>
          <w:tcPr>
            <w:tcW w:w="6860" w:type="dxa"/>
            <w:vAlign w:val="bottom"/>
          </w:tcPr>
          <w:p>
            <w:pPr>
              <w:ind w:left="320"/>
              <w:spacing w:after="0"/>
              <w:rPr>
                <w:sz w:val="20"/>
                <w:szCs w:val="20"/>
                <w:color w:val="auto"/>
              </w:rPr>
            </w:pPr>
            <w:r>
              <w:rPr>
                <w:rFonts w:ascii="Arial" w:cs="Arial" w:eastAsia="Arial" w:hAnsi="Arial"/>
                <w:sz w:val="18"/>
                <w:szCs w:val="18"/>
                <w:color w:val="auto"/>
              </w:rPr>
              <w:t>Issued for employee savings and option plans</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0"/>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5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7,047</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6,652</w:t>
            </w: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w:t>
            </w: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86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(19,771)</w:t>
            </w:r>
          </w:p>
        </w:tc>
      </w:tr>
      <w:tr>
        <w:trPr>
          <w:trHeight w:val="277"/>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Reacquired stock or repurchases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63"/>
        </w:trPr>
        <w:tc>
          <w:tcPr>
            <w:tcW w:w="6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Issued for employee savings and option plans</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w:t>
            </w: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(20,392)</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7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37,693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33,978</w:t>
            </w:r>
          </w:p>
        </w:tc>
      </w:tr>
      <w:tr>
        <w:trPr>
          <w:trHeight w:val="263"/>
        </w:trPr>
        <w:tc>
          <w:tcPr>
            <w:tcW w:w="6860" w:type="dxa"/>
            <w:vAlign w:val="bottom"/>
          </w:tcPr>
          <w:p>
            <w:pPr>
              <w:ind w:left="320"/>
              <w:spacing w:after="0"/>
              <w:rPr>
                <w:sz w:val="20"/>
                <w:szCs w:val="20"/>
                <w:color w:val="auto"/>
              </w:rPr>
            </w:pPr>
            <w:r>
              <w:rPr>
                <w:rFonts w:ascii="Arial" w:cs="Arial" w:eastAsia="Arial" w:hAnsi="Arial"/>
                <w:sz w:val="18"/>
                <w:szCs w:val="18"/>
                <w:color w:val="auto"/>
              </w:rPr>
              <w:t>Net income attributable to Honeywell</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1,416</w:t>
            </w:r>
          </w:p>
        </w:tc>
      </w:tr>
      <w:tr>
        <w:trPr>
          <w:trHeight w:val="270"/>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on common stock</w:t>
            </w: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5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38,635</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34,794</w:t>
            </w: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86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77"/>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exchange translation adjustment</w:t>
            </w: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63"/>
        </w:trPr>
        <w:tc>
          <w:tcPr>
            <w:tcW w:w="6860" w:type="dxa"/>
            <w:vAlign w:val="bottom"/>
          </w:tcPr>
          <w:p>
            <w:pPr>
              <w:ind w:left="320"/>
              <w:spacing w:after="0"/>
              <w:rPr>
                <w:sz w:val="20"/>
                <w:szCs w:val="20"/>
                <w:color w:val="auto"/>
              </w:rPr>
            </w:pPr>
            <w:r>
              <w:rPr>
                <w:rFonts w:ascii="Arial" w:cs="Arial" w:eastAsia="Arial" w:hAnsi="Arial"/>
                <w:sz w:val="18"/>
                <w:szCs w:val="18"/>
                <w:color w:val="auto"/>
              </w:rPr>
              <w:t>Pensions and other postretirement benefit adjustments</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fair value of cash flow hedges</w:t>
            </w: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5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w:t>
            </w: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Noncontrolling interest</w:t>
            </w: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86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178</w:t>
            </w:r>
          </w:p>
        </w:tc>
      </w:tr>
      <w:tr>
        <w:trPr>
          <w:trHeight w:val="277"/>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Acquisitions, divestitures, and other</w:t>
            </w: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6860" w:type="dxa"/>
            <w:vAlign w:val="bottom"/>
          </w:tcPr>
          <w:p>
            <w:pPr>
              <w:ind w:left="320"/>
              <w:spacing w:after="0"/>
              <w:rPr>
                <w:sz w:val="20"/>
                <w:szCs w:val="20"/>
                <w:color w:val="auto"/>
              </w:rPr>
            </w:pPr>
            <w:r>
              <w:rPr>
                <w:rFonts w:ascii="Arial" w:cs="Arial" w:eastAsia="Arial" w:hAnsi="Arial"/>
                <w:sz w:val="18"/>
                <w:szCs w:val="18"/>
                <w:color w:val="auto"/>
              </w:rPr>
              <w:t>Net income attributable to noncontrolling interest</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7"/>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exchange translation adjustment</w:t>
            </w: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63"/>
        </w:trPr>
        <w:tc>
          <w:tcPr>
            <w:tcW w:w="6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Dividends paid</w:t>
            </w:r>
          </w:p>
        </w:tc>
        <w:tc>
          <w:tcPr>
            <w:tcW w:w="1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r>
      <w:tr>
        <w:trPr>
          <w:trHeight w:val="29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shareowners' equity</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701.8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17,865</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727.7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18,956</w:t>
            </w:r>
          </w:p>
        </w:tc>
      </w:tr>
      <w:tr>
        <w:trPr>
          <w:trHeight w:val="23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per share of common stock</w:t>
            </w:r>
          </w:p>
        </w:tc>
        <w:tc>
          <w:tcPr>
            <w:tcW w:w="13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0.900</w:t>
            </w:r>
          </w:p>
        </w:tc>
        <w:tc>
          <w:tcPr>
            <w:tcW w:w="1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0.820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are an integral part of this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March 31, 2020 and December 31, 2019, the cash flows for the three months ended March 31, 2020 and 2019 and the results of operations for the three months ended March 31, 2020 and 2019. The results of operations for the three months ended March 31, 2020 and cash flows for the three months ended March 31, 2020 should not necessarily be taken as indicative of the entire year.</w:t>
      </w:r>
    </w:p>
    <w:p>
      <w:pPr>
        <w:spacing w:after="0" w:line="2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months ended March 31, 2020 and 2019 were March 28, 2020 and March 30,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4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accounting policies of the Company are set forth in Note 1 to Consolidated Financial Statements contained in the Company’s 2019 Annual Report on Form 10-K. We include herein certain updates to those policies.</w:t>
      </w:r>
    </w:p>
    <w:p>
      <w:pPr>
        <w:spacing w:after="0" w:line="1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—The Company considers the applicability and impact of all Accounting Standards Updates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(ASUs) issued by the Financial Accounting Standards Board (FASB). ASUs not listed below were assessed and determined to be either not applicable or are expected to have minimal impact on our consolidated results of operations, financial position and cash flows (Consolidated Financial Statements).</w:t>
      </w:r>
    </w:p>
    <w:p>
      <w:pPr>
        <w:spacing w:after="0" w:line="1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December 2019, the FASB issued an accounting standard update to simplify the accounting for income taxes. The standard's amendments include changes in various subtopics of accounting for income taxes including, but not limited to, accounting for "hybrid" tax regimes, tax basis step-up in goodwill obtained in a transaction that is not a business combination, intraperiod tax allocation exception to incremental approach, ownership changes in investments, interim-period accounting for enacted changes in tax law, and year-to-date loss limitation in interim-period tax accounting. The guidance is effective for fiscal years beginning after December 15, 2020 with early adoption permitted, including the interim periods within those years. We are currently evaluating impacts of these amendments on our Consolidated Financial Statements, and related notes to the Financial Statements. We do not expect the adoption of this standard to have a material impact on our Consolidated Financial Statements.</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2016, the FASB issued an accounting standard that requires companies to utilize an impairment model (current expected credit loss, or CECL) for most financial assets measured at amortized cost and certain other financial instruments, which include, but are not limited to, trade and other receivables. This accounting standard replaced the incurred loss model with a model that reflects expected credit losses and requires consideration of a broader range of reasonable and supportable information to estimate those losses. Effective January 1, 2020, the Company adopted this standard. The adoption of this standard did not have a material impact on our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7"/>
                <w:szCs w:val="17"/>
                <w:color w:val="auto"/>
              </w:rPr>
            </w:pPr>
          </w:p>
        </w:tc>
      </w:tr>
      <w:tr>
        <w:trPr>
          <w:trHeight w:val="263"/>
        </w:trPr>
        <w:tc>
          <w:tcPr>
            <w:tcW w:w="84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r>
      <w:tr>
        <w:trPr>
          <w:trHeight w:val="25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31</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92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11</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Exit costs</w:t>
            </w: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w:t>
            </w:r>
          </w:p>
        </w:tc>
      </w:tr>
      <w:tr>
        <w:trPr>
          <w:trHeight w:val="263"/>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Reserve adjustments</w:t>
            </w: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repositioning charge</w:t>
            </w:r>
          </w:p>
        </w:tc>
        <w:tc>
          <w:tcPr>
            <w:tcW w:w="9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58</w:t>
            </w:r>
          </w:p>
        </w:tc>
      </w:tr>
      <w:tr>
        <w:trPr>
          <w:trHeight w:val="250"/>
        </w:trPr>
        <w:tc>
          <w:tcPr>
            <w:tcW w:w="8400" w:type="dxa"/>
            <w:vAlign w:val="bottom"/>
          </w:tcPr>
          <w:p>
            <w:pPr>
              <w:ind w:left="40"/>
              <w:spacing w:after="0"/>
              <w:rPr>
                <w:sz w:val="20"/>
                <w:szCs w:val="20"/>
                <w:color w:val="auto"/>
              </w:rPr>
            </w:pPr>
            <w:r>
              <w:rPr>
                <w:rFonts w:ascii="Arial" w:cs="Arial" w:eastAsia="Arial" w:hAnsi="Arial"/>
                <w:sz w:val="18"/>
                <w:szCs w:val="18"/>
                <w:color w:val="auto"/>
              </w:rPr>
              <w:t>Asbestos related litigation charges, net of insurance and reimbursements</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11</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Probable and reasonably estimable environmental liabilities, net of reimbursements</w:t>
            </w: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w:t>
            </w:r>
          </w:p>
        </w:tc>
      </w:tr>
      <w:tr>
        <w:trPr>
          <w:trHeight w:val="263"/>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92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84</w:t>
            </w:r>
          </w:p>
        </w:tc>
      </w:tr>
      <w:tr>
        <w:trPr>
          <w:trHeight w:val="20"/>
        </w:trPr>
        <w:tc>
          <w:tcPr>
            <w:tcW w:w="8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classification: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7"/>
                <w:szCs w:val="17"/>
                <w:color w:val="auto"/>
              </w:rPr>
            </w:pPr>
          </w:p>
        </w:tc>
      </w:tr>
      <w:tr>
        <w:trPr>
          <w:trHeight w:val="264"/>
        </w:trPr>
        <w:tc>
          <w:tcPr>
            <w:tcW w:w="8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r>
      <w:tr>
        <w:trPr>
          <w:trHeight w:val="25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products and services sold</w:t>
            </w: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55</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29</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4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84</w:t>
            </w:r>
          </w:p>
        </w:tc>
      </w:tr>
      <w:tr>
        <w:trPr>
          <w:trHeight w:val="20"/>
        </w:trPr>
        <w:tc>
          <w:tcPr>
            <w:tcW w:w="8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7"/>
                <w:szCs w:val="17"/>
                <w:color w:val="auto"/>
              </w:rPr>
            </w:pPr>
          </w:p>
        </w:tc>
      </w:tr>
      <w:tr>
        <w:trPr>
          <w:trHeight w:val="263"/>
        </w:trPr>
        <w:tc>
          <w:tcPr>
            <w:tcW w:w="8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r>
      <w:tr>
        <w:trPr>
          <w:trHeight w:val="25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16</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Honeywell Building Technologies</w:t>
            </w:r>
          </w:p>
        </w:tc>
        <w:tc>
          <w:tcPr>
            <w:tcW w:w="96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Safety and Productivity Solutions</w:t>
            </w:r>
          </w:p>
        </w:tc>
        <w:tc>
          <w:tcPr>
            <w:tcW w:w="96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56</w:t>
            </w:r>
          </w:p>
        </w:tc>
      </w:tr>
      <w:tr>
        <w:trPr>
          <w:trHeight w:val="250"/>
        </w:trPr>
        <w:tc>
          <w:tcPr>
            <w:tcW w:w="8400" w:type="dxa"/>
            <w:vAlign w:val="bottom"/>
          </w:tcPr>
          <w:p>
            <w:pPr>
              <w:spacing w:after="0"/>
              <w:rPr>
                <w:sz w:val="21"/>
                <w:szCs w:val="21"/>
                <w:color w:val="auto"/>
              </w:rPr>
            </w:pPr>
          </w:p>
        </w:tc>
        <w:tc>
          <w:tcPr>
            <w:tcW w:w="96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84</w:t>
            </w:r>
          </w:p>
        </w:tc>
      </w:tr>
      <w:tr>
        <w:trPr>
          <w:trHeight w:val="20"/>
        </w:trPr>
        <w:tc>
          <w:tcPr>
            <w:tcW w:w="8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quarter ended March 31, 2020, we recognized gross repositioning charges totaling $ 83 million including severance costs of $66 million related to workforce reductions of 2,124 manufacturing and administrative positions across our segments. The workforce reductions were primarily related to our productivity and ongoing functional transformation initiatives.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quarter ended March 31, 2019, we recognized gross repositioning charges totaling $ 60 million including severance costs of $31 million related to workforce reductions of 1,047 manufacturing and administrative positions mainly in Corporate, Aerospace and Honeywell Building Technologies. The workforce reductions were primarily related to our productivity and ongoing functional transformation initiatives and to site transitions in Aerospace to more cost-effective locations.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r>
      <w:tr>
        <w:trPr>
          <w:trHeight w:val="263"/>
        </w:trPr>
        <w:tc>
          <w:tcPr>
            <w:tcW w:w="5460" w:type="dxa"/>
            <w:vAlign w:val="bottom"/>
          </w:tcPr>
          <w:p>
            <w:pPr>
              <w:ind w:left="18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w:t>
            </w: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Usage - cash</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63"/>
        </w:trPr>
        <w:tc>
          <w:tcPr>
            <w:tcW w:w="5460" w:type="dxa"/>
            <w:vAlign w:val="bottom"/>
          </w:tcPr>
          <w:p>
            <w:pPr>
              <w:ind w:left="180"/>
              <w:spacing w:after="0"/>
              <w:rPr>
                <w:sz w:val="20"/>
                <w:szCs w:val="20"/>
                <w:color w:val="auto"/>
              </w:rPr>
            </w:pPr>
            <w:r>
              <w:rPr>
                <w:rFonts w:ascii="Arial" w:cs="Arial" w:eastAsia="Arial" w:hAnsi="Arial"/>
                <w:sz w:val="18"/>
                <w:szCs w:val="18"/>
                <w:color w:val="auto"/>
              </w:rPr>
              <w:t>Usage - noncash</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705"/>
        <w:spacing w:after="0" w:line="261" w:lineRule="auto"/>
        <w:rPr>
          <w:sz w:val="20"/>
          <w:szCs w:val="20"/>
          <w:color w:val="auto"/>
        </w:rPr>
      </w:pPr>
      <w:r>
        <w:rPr>
          <w:rFonts w:ascii="Arial" w:cs="Arial" w:eastAsia="Arial" w:hAnsi="Arial"/>
          <w:sz w:val="18"/>
          <w:szCs w:val="18"/>
          <w:color w:val="auto"/>
        </w:rPr>
        <w:t>Certain repositioning projects will recognize exit costs in future periods when the actual liability is incurred. Such exit costs incurred in the quarters ended March 31, 2020 and 2019 were $11 million and $3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(Income) Expense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284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5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Pension ongoing income – non-service</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postretirement income – non-service</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Equity income of affiliated companies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8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0"/>
        </w:trPr>
        <w:tc>
          <w:tcPr>
            <w:tcW w:w="8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effective tax rate decreased for the three months ended March 31, 2020 compared to the three months ended March 31, 2019 primarily from tax law changes in India and the resolution of certain U.S. tax matters, partially offset by decreased tax benefits for employee share-based compensation.</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effective tax rate for the three months ended March 31, 2020 was lower than the U.S. federal statutory rate of 21% primarily from foreign earnings taxed at lower foreign tax rates, tax law changes in India and the resolution of certain U.S. tax matters, partially offset by incremental tax reserves and state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r>
      <w:tr>
        <w:trPr>
          <w:trHeight w:val="229"/>
        </w:trPr>
        <w:tc>
          <w:tcPr>
            <w:tcW w:w="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Basic</w:t>
            </w:r>
          </w:p>
        </w:tc>
        <w:tc>
          <w:tcPr>
            <w:tcW w:w="3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Honeywell</w:t>
            </w:r>
          </w:p>
        </w:tc>
        <w:tc>
          <w:tcPr>
            <w:tcW w:w="4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1,416</w:t>
            </w:r>
          </w:p>
        </w:tc>
      </w:tr>
      <w:tr>
        <w:trPr>
          <w:trHeight w:val="263"/>
        </w:trPr>
        <w:tc>
          <w:tcPr>
            <w:tcW w:w="40" w:type="dxa"/>
            <w:vAlign w:val="bottom"/>
          </w:tcPr>
          <w:p>
            <w:pPr>
              <w:spacing w:after="0"/>
              <w:rPr>
                <w:sz w:val="22"/>
                <w:szCs w:val="22"/>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3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709.6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729.7</w:t>
            </w:r>
          </w:p>
        </w:tc>
      </w:tr>
      <w:tr>
        <w:trPr>
          <w:trHeight w:val="277"/>
        </w:trPr>
        <w:tc>
          <w:tcPr>
            <w:tcW w:w="40" w:type="dxa"/>
            <w:vAlign w:val="bottom"/>
            <w:shd w:val="clear" w:color="auto" w:fill="CCEEFF"/>
          </w:tcPr>
          <w:p>
            <w:pPr>
              <w:spacing w:after="0"/>
              <w:rPr>
                <w:sz w:val="24"/>
                <w:szCs w:val="24"/>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4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1.94</w:t>
            </w:r>
          </w:p>
        </w:tc>
      </w:tr>
      <w:tr>
        <w:trPr>
          <w:trHeight w:val="86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680" w:type="dxa"/>
            <w:vAlign w:val="bottom"/>
          </w:tcPr>
          <w:p>
            <w:pPr>
              <w:jc w:val="right"/>
              <w:ind w:right="217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r>
      <w:tr>
        <w:trPr>
          <w:trHeight w:val="229"/>
        </w:trPr>
        <w:tc>
          <w:tcPr>
            <w:tcW w:w="4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Arial" w:cs="Arial" w:eastAsia="Arial" w:hAnsi="Arial"/>
                <w:sz w:val="14"/>
                <w:szCs w:val="14"/>
                <w:b w:val="1"/>
                <w:bCs w:val="1"/>
                <w:color w:val="auto"/>
              </w:rPr>
              <w:t>Assuming Dilution</w:t>
            </w:r>
          </w:p>
        </w:tc>
        <w:tc>
          <w:tcPr>
            <w:tcW w:w="340" w:type="dxa"/>
            <w:vAlign w:val="bottom"/>
          </w:tcPr>
          <w:p>
            <w:pPr>
              <w:spacing w:after="0"/>
              <w:rPr>
                <w:sz w:val="19"/>
                <w:szCs w:val="19"/>
                <w:color w:val="auto"/>
              </w:rPr>
            </w:pPr>
          </w:p>
        </w:tc>
        <w:tc>
          <w:tcPr>
            <w:tcW w:w="12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Honeywell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1,416</w:t>
            </w:r>
          </w:p>
        </w:tc>
      </w:tr>
      <w:tr>
        <w:trPr>
          <w:trHeight w:val="229"/>
        </w:trPr>
        <w:tc>
          <w:tcPr>
            <w:tcW w:w="4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Arial" w:cs="Arial" w:eastAsia="Arial" w:hAnsi="Arial"/>
                <w:sz w:val="14"/>
                <w:szCs w:val="14"/>
                <w:b w:val="1"/>
                <w:bCs w:val="1"/>
                <w:color w:val="auto"/>
              </w:rPr>
              <w:t>Average Shares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709.6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729.7</w:t>
            </w:r>
          </w:p>
        </w:tc>
      </w:tr>
      <w:tr>
        <w:trPr>
          <w:trHeight w:val="263"/>
        </w:trPr>
        <w:tc>
          <w:tcPr>
            <w:tcW w:w="40" w:type="dxa"/>
            <w:vAlign w:val="bottom"/>
            <w:tcBorders>
              <w:bottom w:val="single" w:sz="8" w:color="CCEEFF"/>
            </w:tcBorders>
          </w:tcPr>
          <w:p>
            <w:pPr>
              <w:spacing w:after="0"/>
              <w:rPr>
                <w:sz w:val="22"/>
                <w:szCs w:val="22"/>
                <w:color w:val="auto"/>
              </w:rPr>
            </w:pPr>
          </w:p>
        </w:tc>
        <w:tc>
          <w:tcPr>
            <w:tcW w:w="79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Dilutive securities issuable - stock plans</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weighted average shares outstanding</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717.0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738.8</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Earnings per share of common stock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1.92</w:t>
            </w: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months ended March 31, 2020 and 2019, the weighted average number of stock options excluded from the computations were 4.3 million and 3.7 million. These stock options were outstanding at the end of each of the respective periods.</w:t>
      </w:r>
    </w:p>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March 31, 2020 and 2019, total shares outstanding were 701.8 million and 727.7 million and as of March 31, 2020 and 2019, total shares issued were 957.6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 and Contracts with Customers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Honeywell has a comprehensive offering of products and services, including software and technologies, that are sold to a variety of customers in multiple end markets. See the following table and related discussions by operating segment for details.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7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Aerospace</w:t>
            </w:r>
          </w:p>
        </w:tc>
        <w:tc>
          <w:tcPr>
            <w:tcW w:w="7500" w:type="dxa"/>
            <w:vAlign w:val="bottom"/>
            <w:tcBorders>
              <w:bottom w:val="single" w:sz="8" w:color="CCEEFF"/>
            </w:tcBorders>
            <w:gridSpan w:val="3"/>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Commercial Aviation Original Equipment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759</w:t>
            </w: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Aviation Aftermarket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r>
      <w:tr>
        <w:trPr>
          <w:trHeight w:val="264"/>
        </w:trPr>
        <w:tc>
          <w:tcPr>
            <w:tcW w:w="4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Defense and Space</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1,221</w:t>
            </w:r>
          </w:p>
        </w:tc>
      </w:tr>
      <w:tr>
        <w:trPr>
          <w:trHeight w:val="256"/>
        </w:trPr>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5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3,341</w:t>
            </w:r>
          </w:p>
        </w:tc>
      </w:tr>
      <w:tr>
        <w:trPr>
          <w:trHeight w:val="210"/>
        </w:trPr>
        <w:tc>
          <w:tcPr>
            <w:tcW w:w="4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Honeywell Building Technologies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Products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r>
      <w:tr>
        <w:trPr>
          <w:trHeight w:val="264"/>
        </w:trPr>
        <w:tc>
          <w:tcPr>
            <w:tcW w:w="4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Building Solutions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579</w:t>
            </w:r>
          </w:p>
        </w:tc>
      </w:tr>
      <w:tr>
        <w:trPr>
          <w:trHeight w:val="256"/>
        </w:trPr>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5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1,389</w:t>
            </w:r>
          </w:p>
        </w:tc>
      </w:tr>
      <w:tr>
        <w:trPr>
          <w:trHeight w:val="210"/>
        </w:trPr>
        <w:tc>
          <w:tcPr>
            <w:tcW w:w="4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Performance Materials and Technologies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UOP</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r>
      <w:tr>
        <w:trPr>
          <w:trHeight w:val="263"/>
        </w:trPr>
        <w:tc>
          <w:tcPr>
            <w:tcW w:w="40" w:type="dxa"/>
            <w:vAlign w:val="bottom"/>
          </w:tcPr>
          <w:p>
            <w:pPr>
              <w:spacing w:after="0"/>
              <w:rPr>
                <w:sz w:val="22"/>
                <w:szCs w:val="22"/>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Process Solutions</w:t>
            </w: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1,246</w:t>
            </w: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Specialty Products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r>
      <w:tr>
        <w:trPr>
          <w:trHeight w:val="263"/>
        </w:trPr>
        <w:tc>
          <w:tcPr>
            <w:tcW w:w="4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Fluorine Products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447</w:t>
            </w:r>
          </w:p>
        </w:tc>
      </w:tr>
      <w:tr>
        <w:trPr>
          <w:trHeight w:val="256"/>
        </w:trPr>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5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2,572</w:t>
            </w:r>
          </w:p>
        </w:tc>
      </w:tr>
      <w:tr>
        <w:trPr>
          <w:trHeight w:val="210"/>
        </w:trPr>
        <w:tc>
          <w:tcPr>
            <w:tcW w:w="4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Safety and Productivity Solutions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Safety and Retail</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r>
      <w:tr>
        <w:trPr>
          <w:trHeight w:val="263"/>
        </w:trPr>
        <w:tc>
          <w:tcPr>
            <w:tcW w:w="40" w:type="dxa"/>
            <w:vAlign w:val="bottom"/>
          </w:tcPr>
          <w:p>
            <w:pPr>
              <w:spacing w:after="0"/>
              <w:rPr>
                <w:sz w:val="22"/>
                <w:szCs w:val="22"/>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Productivity Products</w:t>
            </w: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Warehouse and Workflow Solutions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r>
      <w:tr>
        <w:trPr>
          <w:trHeight w:val="264"/>
        </w:trPr>
        <w:tc>
          <w:tcPr>
            <w:tcW w:w="4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Sensing &amp; Internet-of-Things (IoT)</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215</w:t>
            </w:r>
          </w:p>
        </w:tc>
      </w:tr>
      <w:tr>
        <w:trPr>
          <w:trHeight w:val="250"/>
        </w:trPr>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r>
      <w:tr>
        <w:trPr>
          <w:trHeight w:val="256"/>
        </w:trPr>
        <w:tc>
          <w:tcPr>
            <w:tcW w:w="40" w:type="dxa"/>
            <w:vAlign w:val="bottom"/>
          </w:tcPr>
          <w:p>
            <w:pPr>
              <w:spacing w:after="0"/>
              <w:rPr>
                <w:sz w:val="22"/>
                <w:szCs w:val="22"/>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8,463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8,884</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18"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A global supplier of products, software and services for aircrafts that it sells to original equipment manufacturers (OEM)</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designed to identify and resolve problems faster, making fleet management and flight operations more efficient.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Honeywell Building Technologies </w:t>
      </w:r>
      <w:r>
        <w:rPr>
          <w:rFonts w:ascii="Arial" w:cs="Arial" w:eastAsia="Arial" w:hAnsi="Arial"/>
          <w:sz w:val="18"/>
          <w:szCs w:val="18"/>
          <w:color w:val="auto"/>
        </w:rPr>
        <w:t>– A global provider of products, software, solutions and technologies that enable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owners and 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remote patient monitoring systems; and installation, maintenance and upgrades of systems. Honeywell Forge solutions are designed to digitally manage buildings to use space intelligently, cut operating expenses and reduce maintenance.</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Performance Materials and Technologies </w:t>
      </w:r>
      <w:r>
        <w:rPr>
          <w:rFonts w:ascii="Arial" w:cs="Arial" w:eastAsia="Arial" w:hAnsi="Arial"/>
          <w:sz w:val="18"/>
          <w:szCs w:val="18"/>
          <w:color w:val="auto"/>
        </w:rPr>
        <w:t>– A global provider in developing and manufacturing high-quality performance chemicals</w:t>
      </w:r>
      <w:r>
        <w:rPr>
          <w:rFonts w:ascii="Arial" w:cs="Arial" w:eastAsia="Arial" w:hAnsi="Arial"/>
          <w:sz w:val="18"/>
          <w:szCs w:val="18"/>
          <w:b w:val="1"/>
          <w:bCs w:val="1"/>
          <w:color w:val="auto"/>
        </w:rPr>
        <w:t xml:space="preserve"> </w:t>
      </w:r>
      <w:r>
        <w:rPr>
          <w:rFonts w:ascii="Arial" w:cs="Arial" w:eastAsia="Arial" w:hAnsi="Arial"/>
          <w:sz w:val="18"/>
          <w:szCs w:val="18"/>
          <w:color w:val="auto"/>
        </w:rPr>
        <w:t>and materials, process technologies and automation solutions, including Honeywell Forge connected solutions. The segment comprises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(GWP)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Safety and Productivity Solutions </w:t>
      </w:r>
      <w:r>
        <w:rPr>
          <w:rFonts w:ascii="Arial" w:cs="Arial" w:eastAsia="Arial" w:hAnsi="Arial"/>
          <w:sz w:val="18"/>
          <w:szCs w:val="18"/>
          <w:color w:val="auto"/>
        </w:rPr>
        <w:t>– A global provider of products and software that improve productivity, workplace safety and</w:t>
      </w:r>
      <w:r>
        <w:rPr>
          <w:rFonts w:ascii="Arial" w:cs="Arial" w:eastAsia="Arial" w:hAnsi="Arial"/>
          <w:sz w:val="18"/>
          <w:szCs w:val="18"/>
          <w:b w:val="1"/>
          <w:bCs w:val="1"/>
          <w:color w:val="auto"/>
        </w:rPr>
        <w:t xml:space="preserve"> </w:t>
      </w:r>
      <w:r>
        <w:rPr>
          <w:rFonts w:ascii="Arial" w:cs="Arial" w:eastAsia="Arial" w:hAnsi="Arial"/>
          <w:sz w:val="18"/>
          <w:szCs w:val="18"/>
          <w:color w:val="auto"/>
        </w:rPr>
        <w:t>asset performance to customers around the globe. Safety products include personal protection equipment, apparel, gear, and footwear designed for work, play and outdoor activities;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For a summary by disaggregated product and services sales for each segment, refer to Note 14 </w:t>
      </w:r>
      <w:r>
        <w:rPr>
          <w:rFonts w:ascii="Arial" w:cs="Arial" w:eastAsia="Arial" w:hAnsi="Arial"/>
          <w:sz w:val="18"/>
          <w:szCs w:val="18"/>
          <w:i w:val="1"/>
          <w:iCs w:val="1"/>
          <w:color w:val="auto"/>
        </w:rPr>
        <w:t>Segment Financial Data</w:t>
      </w:r>
      <w:r>
        <w:rPr>
          <w:rFonts w:ascii="Arial" w:cs="Arial" w:eastAsia="Arial" w:hAnsi="Arial"/>
          <w:sz w:val="18"/>
          <w:szCs w:val="18"/>
          <w:color w:val="auto"/>
        </w:rPr>
        <w:t xml:space="preserve"> of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recognizes revenue arising from performance obligations outlined in contracts with its customers that are satisfied at a point in time and over time. The disaggregation of our revenue based off timing of recognition is as follows:</w:t>
      </w:r>
    </w:p>
    <w:p>
      <w:pPr>
        <w:spacing w:after="0" w:line="185"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26035</wp:posOffset>
            </wp:positionV>
            <wp:extent cx="18599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6"/>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Products, transferred point in time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63"/>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Products, transferred over time</w:t>
            </w:r>
          </w:p>
        </w:tc>
        <w:tc>
          <w:tcPr>
            <w:tcW w:w="8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r>
      <w:tr>
        <w:trPr>
          <w:trHeight w:val="257"/>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76</w:t>
            </w:r>
          </w:p>
        </w:tc>
      </w:tr>
      <w:tr>
        <w:trPr>
          <w:trHeight w:val="26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Services, transferred point in time</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9</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8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r>
      <w:tr>
        <w:trPr>
          <w:trHeight w:val="250"/>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service sales</w:t>
            </w:r>
          </w:p>
        </w:tc>
        <w:tc>
          <w:tcPr>
            <w:tcW w:w="8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w:t>
            </w:r>
          </w:p>
        </w:tc>
      </w:tr>
      <w:tr>
        <w:trPr>
          <w:trHeight w:val="257"/>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Progress on satisfying performance obligations under contracts with customers and the related billings and cash collections are recorded on the Consolidated Balance Sheet in Accounts receivable - 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contract assets and liabilities balances: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assets - January 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1,602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1,548</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Contract assets - March 31</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1,699</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1,700</w:t>
            </w: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contract assets - increase (decrease)</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8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 - January 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r>
      <w:tr>
        <w:trPr>
          <w:trHeight w:val="263"/>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Contract liabilities - March 31</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(3,506)</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contract liabilities - decrease (increase)</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8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net change for the three months ended March 31, 2020 and 2019 was primarily driven by the recognition of revenue as performance obligations were satisfied prior to billing exceeding receipt of advance payments from customers.</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the three months ended March 31, 2020 and 2019, we recognized revenue of $888 million and $720 million that was previously included in the beginning balance of contract liabilities.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8" w:right="339" w:bottom="1440" w:gutter="0" w:footer="0" w:header="0"/>
        </w:sectPr>
      </w:pPr>
    </w:p>
    <w:bookmarkStart w:id="13" w:name="page14"/>
    <w:bookmarkEnd w:id="1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When contracts are modified to account for changes in contract specifications and requirements, we consider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Company's remaining performance obligations disaggregated by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March 31, 2020</w:t>
            </w:r>
          </w:p>
        </w:tc>
      </w:tr>
      <w:tr>
        <w:trPr>
          <w:trHeight w:val="256"/>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10,849</w:t>
            </w:r>
          </w:p>
        </w:tc>
      </w:tr>
      <w:tr>
        <w:trPr>
          <w:trHeight w:val="250"/>
        </w:trPr>
        <w:tc>
          <w:tcPr>
            <w:tcW w:w="9880" w:type="dxa"/>
            <w:vAlign w:val="bottom"/>
          </w:tcPr>
          <w:p>
            <w:pPr>
              <w:ind w:left="40"/>
              <w:spacing w:after="0"/>
              <w:rPr>
                <w:sz w:val="20"/>
                <w:szCs w:val="20"/>
                <w:color w:val="auto"/>
              </w:rPr>
            </w:pPr>
            <w:r>
              <w:rPr>
                <w:rFonts w:ascii="Arial" w:cs="Arial" w:eastAsia="Arial" w:hAnsi="Arial"/>
                <w:sz w:val="18"/>
                <w:szCs w:val="18"/>
                <w:color w:val="auto"/>
              </w:rPr>
              <w:t>Honeywell Building Technologies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5,146</w:t>
            </w:r>
          </w:p>
        </w:tc>
      </w:tr>
      <w:tr>
        <w:trPr>
          <w:trHeight w:val="263"/>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6,686</w:t>
            </w:r>
          </w:p>
        </w:tc>
      </w:tr>
      <w:tr>
        <w:trPr>
          <w:trHeight w:val="250"/>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Safety and Productivity Solutions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2,603</w:t>
            </w:r>
          </w:p>
        </w:tc>
      </w:tr>
      <w:tr>
        <w:trPr>
          <w:trHeight w:val="250"/>
        </w:trPr>
        <w:tc>
          <w:tcPr>
            <w:tcW w:w="9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25,284</w:t>
            </w:r>
          </w:p>
        </w:tc>
      </w:tr>
      <w:tr>
        <w:trPr>
          <w:trHeight w:val="20"/>
        </w:trPr>
        <w:tc>
          <w:tcPr>
            <w:tcW w:w="9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obligations recognized as of March 31, 2020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58% and 42%, respectively.</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timing of satisfaction of the Company's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has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Receivable - Net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8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7,600</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7,639</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 Allowance for doubtful accounts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50"/>
        </w:trPr>
        <w:tc>
          <w:tcPr>
            <w:tcW w:w="8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7,493</w:t>
            </w: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Trade receivables include $1,660 million and $1,586 million of unbilled balances under long-term contracts as of March 31, 2020 and December 31, 2019. These amounts are billed in accordance with the terms of the customer contracts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8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1,079</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817</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2,593</w:t>
            </w:r>
          </w:p>
        </w:tc>
      </w:tr>
      <w:tr>
        <w:trPr>
          <w:trHeight w:val="250"/>
        </w:trPr>
        <w:tc>
          <w:tcPr>
            <w:tcW w:w="8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4,466</w:t>
            </w:r>
          </w:p>
        </w:tc>
      </w:tr>
      <w:tr>
        <w:trPr>
          <w:trHeight w:val="178"/>
        </w:trPr>
        <w:tc>
          <w:tcPr>
            <w:tcW w:w="8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bl>
    <w:p>
      <w:pPr>
        <w:sectPr>
          <w:pgSz w:w="11900" w:h="16900" w:orient="portrait"/>
          <w:cols w:equalWidth="0" w:num="1">
            <w:col w:w="11240"/>
          </w:cols>
          <w:pgMar w:left="320" w:top="118"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00" w:type="dxa"/>
            <w:vAlign w:val="bottom"/>
            <w:shd w:val="clear" w:color="auto" w:fill="CCEEFF"/>
          </w:tcPr>
          <w:p>
            <w:pPr>
              <w:jc w:val="right"/>
              <w:ind w:right="5970"/>
              <w:spacing w:after="0"/>
              <w:rPr>
                <w:sz w:val="20"/>
                <w:szCs w:val="20"/>
                <w:color w:val="auto"/>
              </w:rPr>
            </w:pPr>
            <w:r>
              <w:rPr>
                <w:rFonts w:ascii="Arial" w:cs="Arial" w:eastAsia="Arial" w:hAnsi="Arial"/>
                <w:sz w:val="18"/>
                <w:szCs w:val="18"/>
                <w:color w:val="auto"/>
              </w:rPr>
              <w:t>Reduction to LIFO cost basis</w:t>
            </w: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7"/>
        </w:trPr>
        <w:tc>
          <w:tcPr>
            <w:tcW w:w="8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4,584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0"/>
        </w:trPr>
        <w:tc>
          <w:tcPr>
            <w:tcW w:w="8400" w:type="dxa"/>
            <w:vAlign w:val="bottom"/>
            <w:vMerge w:val="restart"/>
          </w:tcPr>
          <w:p>
            <w:pPr>
              <w:jc w:val="right"/>
              <w:ind w:right="2590"/>
              <w:spacing w:after="0"/>
              <w:rPr>
                <w:sz w:val="20"/>
                <w:szCs w:val="20"/>
                <w:color w:val="auto"/>
              </w:rPr>
            </w:pPr>
            <w:r>
              <w:rPr>
                <w:rFonts w:ascii="Arial" w:cs="Arial" w:eastAsia="Arial" w:hAnsi="Arial"/>
                <w:sz w:val="18"/>
                <w:szCs w:val="18"/>
                <w:color w:val="auto"/>
              </w:rPr>
              <w:t>14</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8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2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The Company's operating and finance lease portfolio is described in Note 14,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of the Notes to the Consolidated Financial Statements in our 2019 Annual Report on Form 10-K.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13"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26035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9" w:lineRule="exact"/>
        <w:rPr>
          <w:sz w:val="20"/>
          <w:szCs w:val="20"/>
          <w:color w:val="auto"/>
        </w:rPr>
      </w:pPr>
    </w:p>
    <w:p>
      <w:pPr>
        <w:ind w:left="8940"/>
        <w:spacing w:after="0"/>
        <w:tabs>
          <w:tab w:leader="none" w:pos="103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26035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0" w:type="dxa"/>
            <w:vAlign w:val="bottom"/>
          </w:tcPr>
          <w:p>
            <w:pPr>
              <w:ind w:left="40"/>
              <w:spacing w:after="0"/>
              <w:rPr>
                <w:sz w:val="20"/>
                <w:szCs w:val="20"/>
                <w:color w:val="auto"/>
              </w:rPr>
            </w:pPr>
            <w:r>
              <w:rPr>
                <w:rFonts w:ascii="Arial" w:cs="Arial" w:eastAsia="Arial" w:hAnsi="Arial"/>
                <w:sz w:val="18"/>
                <w:szCs w:val="18"/>
                <w:b w:val="1"/>
                <w:bCs w:val="1"/>
                <w:color w:val="auto"/>
              </w:rPr>
              <w:t>Net right-of-use assets obtained in exchange for lease obligations:</w:t>
            </w:r>
          </w:p>
        </w:tc>
        <w:tc>
          <w:tcPr>
            <w:tcW w:w="2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25"/>
        </w:trPr>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2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405"/>
        </w:trPr>
        <w:tc>
          <w:tcPr>
            <w:tcW w:w="7600" w:type="dxa"/>
            <w:vAlign w:val="bottom"/>
          </w:tcPr>
          <w:p>
            <w:pPr>
              <w:ind w:left="280"/>
              <w:spacing w:after="0"/>
              <w:rPr>
                <w:sz w:val="20"/>
                <w:szCs w:val="20"/>
                <w:color w:val="auto"/>
              </w:rPr>
            </w:pPr>
            <w:r>
              <w:rPr>
                <w:rFonts w:ascii="Arial" w:cs="Arial" w:eastAsia="Arial" w:hAnsi="Arial"/>
                <w:sz w:val="18"/>
                <w:szCs w:val="18"/>
                <w:color w:val="auto"/>
              </w:rPr>
              <w:t>Finance leases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w:t>
            </w: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70"/>
        </w:trPr>
        <w:tc>
          <w:tcPr>
            <w:tcW w:w="4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40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2"/>
                <w:szCs w:val="22"/>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57"/>
        </w:trPr>
        <w:tc>
          <w:tcPr>
            <w:tcW w:w="43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40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63"/>
        </w:trPr>
        <w:tc>
          <w:tcPr>
            <w:tcW w:w="4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liabilities</w:t>
            </w:r>
          </w:p>
        </w:tc>
        <w:tc>
          <w:tcPr>
            <w:tcW w:w="40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4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Financing leases</w:t>
            </w:r>
          </w:p>
        </w:tc>
        <w:tc>
          <w:tcPr>
            <w:tcW w:w="40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77"/>
        </w:trPr>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4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63"/>
        </w:trPr>
        <w:tc>
          <w:tcPr>
            <w:tcW w:w="4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Accumulated depreciation</w:t>
            </w:r>
          </w:p>
        </w:tc>
        <w:tc>
          <w:tcPr>
            <w:tcW w:w="40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50"/>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4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50"/>
        </w:trPr>
        <w:tc>
          <w:tcPr>
            <w:tcW w:w="432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40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40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50"/>
        </w:trPr>
        <w:tc>
          <w:tcPr>
            <w:tcW w:w="4320" w:type="dxa"/>
            <w:vAlign w:val="bottom"/>
          </w:tcPr>
          <w:p>
            <w:pPr>
              <w:ind w:left="40"/>
              <w:spacing w:after="0"/>
              <w:rPr>
                <w:sz w:val="20"/>
                <w:szCs w:val="20"/>
                <w:color w:val="auto"/>
              </w:rPr>
            </w:pPr>
            <w:r>
              <w:rPr>
                <w:rFonts w:ascii="Arial" w:cs="Arial" w:eastAsia="Arial" w:hAnsi="Arial"/>
                <w:sz w:val="18"/>
                <w:szCs w:val="18"/>
                <w:color w:val="auto"/>
              </w:rPr>
              <w:t>Total financing lease liabilities</w:t>
            </w:r>
          </w:p>
        </w:tc>
        <w:tc>
          <w:tcPr>
            <w:tcW w:w="4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864"/>
        </w:trPr>
        <w:tc>
          <w:tcPr>
            <w:tcW w:w="4320" w:type="dxa"/>
            <w:vAlign w:val="bottom"/>
          </w:tcPr>
          <w:p>
            <w:pPr>
              <w:spacing w:after="0"/>
              <w:rPr>
                <w:sz w:val="24"/>
                <w:szCs w:val="24"/>
                <w:color w:val="auto"/>
              </w:rPr>
            </w:pPr>
          </w:p>
        </w:tc>
        <w:tc>
          <w:tcPr>
            <w:tcW w:w="4080" w:type="dxa"/>
            <w:vAlign w:val="bottom"/>
          </w:tcPr>
          <w:p>
            <w:pPr>
              <w:jc w:val="right"/>
              <w:ind w:right="259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Debt and Credit Agreements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0.65% Euro notes due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4.25% notes due 2021</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1.85% notes due 2021</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2.15% notes due 2022</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Floating rate notes due 2022</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1.30% Euro notes due 2023</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1,404</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3.35% notes due 2023</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0.00% Euro notes due 2024</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2.30% notes due 2024</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2.50% notes due 2026</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2.25% Euro notes due 2028</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2.70% notes due 2029</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0.75% Euro notes due 2032</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5.70% notes due 2036</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441</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5.70% notes due 2037</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5.375% notes due 2041</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3.812% notes due 2047</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6.625% debentures due 2028</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9.065% debentures due 2033</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35"/>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(including capitalized leases and debt issuance costs), 7.0% weighted average maturing at various</w:t>
            </w: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4"/>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dates through 2025</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50"/>
        </w:trPr>
        <w:tc>
          <w:tcPr>
            <w:tcW w:w="84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12,584</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12,486</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50"/>
        </w:trPr>
        <w:tc>
          <w:tcPr>
            <w:tcW w:w="8560" w:type="dxa"/>
            <w:vAlign w:val="bottom"/>
            <w:gridSpan w:val="2"/>
          </w:tcPr>
          <w:p>
            <w:pPr>
              <w:ind w:left="84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11,542</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11,110</w:t>
            </w:r>
          </w:p>
        </w:tc>
      </w:tr>
      <w:tr>
        <w:trPr>
          <w:trHeight w:val="20"/>
        </w:trPr>
        <w:tc>
          <w:tcPr>
            <w:tcW w:w="8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10, 2020, the Company issued €500 million 0.00% Senior Notes due 2024 and €500 million 0.75% Senior Notes due 2032 (collectively, the "2020 Euro Notes"). The 2020 Euro Notes are senior unsecured and unsubordinated obligations of Honeywell and rank equally with all of Honeywell's existing and future senior unsecured debt and senior to all of Honeywell's subordinated debt. The offering resulted in gross proceeds of $1,136 million, offset by $9 million in discount and closing costs related to the offering.</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August 8, 2019, the Company issued $600 million 2.15% Senior Notes due 2022, $600 million Floating Rate Senior Notes due 2022, $750 million 2.30% Senior Notes due 2024 and $750 million 2.70% Senior Notes due 2029 (collectively, the "2019 Notes"). The 2019 Notes are senior unsecured and unsubordinated obligations of Honeywell and rank equally with all of Honeywell's existing and future senior unsecured debt and senior to all of Honeywell's subordinated debt. The offering resulted in gross proceeds of $2,700 million, offset by $18 million in discount and closing costs related to the offering.</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issuances described above, unless otherwise noted, all debt issuance costs are deferred and recognized as a direct deduction to the related debt liability and are amortized to interest expense over the debt term.</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21, 2020, the Company paid its 0.65% Euro notes due 2020.</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October 30, 2019, the Company paid its 1.40% notes due 2019, Three year floating-rate notes due 2019, Two year floating rate notes due 2019 and 1.80% notes due 2019.</w:t>
      </w:r>
    </w:p>
    <w:p>
      <w:pPr>
        <w:sectPr>
          <w:pgSz w:w="11900" w:h="16838" w:orient="portrait"/>
          <w:cols w:equalWidth="0" w:num="1">
            <w:col w:w="11240"/>
          </w:cols>
          <w:pgMar w:left="320" w:top="118"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18"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April 10, 2020, the Company entered into a $1.5 billion 364-Day Credit Agreement (the "364-Day Credit Agreement") with a syndicate of banks. This 364-Day Credit Agreement is maintained for general corporate purposes. The 364-Day Credit Agreement replaces the previously reported 364-day credit agreement dated as of April 26, 2019, which was terminated on April 10, 2020.</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March 26, 2020, the Company entered into a Delayed Draw Term Loan Agreement (the “Term Loan Agreement”) with a syndicate of banks. The Term Loan Agreement provides for a two-year, delayed draw term loan facility in the aggregate principal amount of up to $6.0 billion and is maintained for general corporate purposes. Commitments under the Term Loan Agreement can be increased pursuant to the terms of the Term Loan Agreement by an aggregate amount not to exceed $2.0 billion. Advances may be made on up to three different business days during the period from March 26, 2020 to the date that is the earlier of (a) June 26, 2020 and (b) such date on which the Term Loan Agreement is terminated pursuant to its terms (the earlier of such date). The amounts borrowed under the Term Loan Agreement are required to be repaid no later than March 26, 2022, unless the Term Loan Agreement is terminated earlier pursuant to its terms and may not be reborrowed.</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April 26, 2019, the Company entered into a $4.0 billion Amended and Restated Five Year Credit Agreement (the “5-Year Credit Agreement”) with a syndicate of banks. The 5-Year Credit Agreement is maintained for general corporate purposes. Commitments under the 5-Year Credit Agreement can be increased pursuant to the terms of the 5-Year Credit Agreement to an aggregate amount not to exceed $4.5 billion. The 5-Year Credit Agreement amends and restates the previously reported $4.0 billion amended and restated five-year credit agreement dated as of April 27, 2018 (the "Prior Agreement"). The 5-Year Credit Agreement has substantially the same material terms and conditions of the Prior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there are no outstanding borrowings under any of our credit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Our credit, market, foreign currency and interest rate risk management policies are described in Note 15, </w:t>
      </w:r>
      <w:r>
        <w:rPr>
          <w:rFonts w:ascii="Arial" w:cs="Arial" w:eastAsia="Arial" w:hAnsi="Arial"/>
          <w:sz w:val="18"/>
          <w:szCs w:val="18"/>
          <w:i w:val="1"/>
          <w:iCs w:val="1"/>
          <w:color w:val="auto"/>
        </w:rPr>
        <w:t>Financial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Measures </w:t>
      </w:r>
      <w:r>
        <w:rPr>
          <w:rFonts w:ascii="Arial" w:cs="Arial" w:eastAsia="Arial" w:hAnsi="Arial"/>
          <w:sz w:val="18"/>
          <w:szCs w:val="18"/>
          <w:color w:val="auto"/>
        </w:rPr>
        <w:t>of Notes to Consolidated Financial Statements in our 2019 Annual Report on Form 10-K.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8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Available for sale investments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Cross currency swap agreements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57"/>
        </w:trPr>
        <w:tc>
          <w:tcPr>
            <w:tcW w:w="840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carrying value of cash and cash equivalents, trade accounts and notes receivables, payables, commercial paper (of which $3,119 million and $3,513 million was Euro denominated as of March 31, 2020 and December 31, 2019) and short-term borrowings contained in the Consolidated Balance Sheet approximates fair value.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not carried at fair value: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4"/>
                <w:szCs w:val="14"/>
                <w:b w:val="1"/>
                <w:bCs w:val="1"/>
                <w:color w:val="auto"/>
              </w:rPr>
              <w:t>March 31, 2020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5"/>
                <w:szCs w:val="15"/>
                <w:color w:val="auto"/>
              </w:rPr>
            </w:pPr>
          </w:p>
        </w:tc>
        <w:tc>
          <w:tcPr>
            <w:tcW w:w="9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Fair</w:t>
            </w:r>
          </w:p>
        </w:tc>
      </w:tr>
      <w:tr>
        <w:trPr>
          <w:trHeight w:val="196"/>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7"/>
                <w:szCs w:val="17"/>
                <w:color w:val="auto"/>
              </w:rPr>
            </w:pPr>
          </w:p>
        </w:tc>
        <w:tc>
          <w:tcPr>
            <w:tcW w:w="9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Value</w:t>
            </w:r>
          </w:p>
        </w:tc>
      </w:tr>
      <w:tr>
        <w:trPr>
          <w:trHeight w:val="256"/>
        </w:trPr>
        <w:tc>
          <w:tcPr>
            <w:tcW w:w="54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6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Long-term receivables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127</w:t>
            </w:r>
          </w:p>
        </w:tc>
      </w:tr>
      <w:tr>
        <w:trPr>
          <w:trHeight w:val="277"/>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57"/>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Long-term debt and related current maturities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12,584</w:t>
            </w:r>
          </w:p>
        </w:tc>
        <w:tc>
          <w:tcPr>
            <w:tcW w:w="12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13,238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
              <w:spacing w:after="0"/>
              <w:rPr>
                <w:sz w:val="20"/>
                <w:szCs w:val="20"/>
                <w:color w:val="auto"/>
              </w:rPr>
            </w:pPr>
            <w:r>
              <w:rPr>
                <w:rFonts w:ascii="Arial" w:cs="Arial" w:eastAsia="Arial" w:hAnsi="Arial"/>
                <w:sz w:val="18"/>
                <w:szCs w:val="18"/>
                <w:color w:val="auto"/>
              </w:rPr>
              <w:t>12,486</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13,578</w:t>
            </w:r>
          </w:p>
        </w:tc>
      </w:tr>
      <w:tr>
        <w:trPr>
          <w:trHeight w:val="701"/>
        </w:trPr>
        <w:tc>
          <w:tcPr>
            <w:tcW w:w="11240" w:type="dxa"/>
            <w:vAlign w:val="bottom"/>
            <w:gridSpan w:val="13"/>
          </w:tcPr>
          <w:p>
            <w:pPr>
              <w:ind w:left="660"/>
              <w:spacing w:after="0"/>
              <w:rPr>
                <w:sz w:val="20"/>
                <w:szCs w:val="20"/>
                <w:color w:val="auto"/>
              </w:rPr>
            </w:pPr>
            <w:r>
              <w:rPr>
                <w:rFonts w:ascii="Arial" w:cs="Arial" w:eastAsia="Arial" w:hAnsi="Arial"/>
                <w:sz w:val="18"/>
                <w:szCs w:val="18"/>
                <w:color w:val="auto"/>
              </w:rPr>
              <w:t>The following table sets forth the amounts on the Consolidated Balance Sheet related to cumulative basis adjustments for fair value</w:t>
            </w:r>
          </w:p>
        </w:tc>
      </w:tr>
      <w:tr>
        <w:trPr>
          <w:trHeight w:val="217"/>
        </w:trPr>
        <w:tc>
          <w:tcPr>
            <w:tcW w:w="5460" w:type="dxa"/>
            <w:vAlign w:val="bottom"/>
            <w:gridSpan w:val="2"/>
          </w:tcPr>
          <w:p>
            <w:pPr>
              <w:spacing w:after="0"/>
              <w:rPr>
                <w:sz w:val="20"/>
                <w:szCs w:val="20"/>
                <w:color w:val="auto"/>
              </w:rPr>
            </w:pPr>
            <w:r>
              <w:rPr>
                <w:rFonts w:ascii="Arial" w:cs="Arial" w:eastAsia="Arial" w:hAnsi="Arial"/>
                <w:sz w:val="18"/>
                <w:szCs w:val="18"/>
                <w:color w:val="auto"/>
              </w:rPr>
              <w:t>hedges: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11"/>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Cumulative Amount of Fair Value</w:t>
            </w: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Hedging Adjustment Included in the</w:t>
            </w:r>
          </w:p>
        </w:tc>
      </w:tr>
      <w:tr>
        <w:trPr>
          <w:trHeight w:val="196"/>
        </w:trPr>
        <w:tc>
          <w:tcPr>
            <w:tcW w:w="5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Carrying Amount of the Hedged Item</w:t>
            </w: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Carrying Amount of the Hedged Item</w:t>
            </w:r>
          </w:p>
        </w:tc>
      </w:tr>
      <w:tr>
        <w:trPr>
          <w:trHeight w:val="263"/>
        </w:trPr>
        <w:tc>
          <w:tcPr>
            <w:tcW w:w="5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Line in the Consolidated Balance Sheet of Hedged Item</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March 31, 2020</w:t>
            </w: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4,180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determined the fair value of the long-term receivables by utilizing transactions in the listed markets for identical or similar assets.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months ended March 31, 2020, we recognized $ 205 million of gains in earnings on interest rate swap agreements. For the three months ended March 31, 2019, we recognized $24 million of gains in earnings on interest rate swap agreements. Gains and losses are fully offset by losses and gains on the underlying debt being hedged.</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economically hedges its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For the three months ended March 31, 2020, we recognized $284 million of income in Other (income) expense. For the three months ended March 31, 2019, we recognized $47 million of expense in Other (income) expense. As of March 31, 2020, cash collateral received that has not been offset against our derivatives of $591 million was recorded in Accrued liabilities and Other Assets.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following tables summarize the location and impact to the Consolidated Statement of Operations related to fair value and cash flow hedging relationships:</w:t>
      </w:r>
    </w:p>
    <w:p>
      <w:pPr>
        <w:spacing w:after="0" w:line="200" w:lineRule="exact"/>
        <w:rPr>
          <w:sz w:val="20"/>
          <w:szCs w:val="20"/>
          <w:color w:val="auto"/>
        </w:rPr>
      </w:pPr>
    </w:p>
    <w:p>
      <w:pPr>
        <w:spacing w:after="0" w:line="201"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26035</wp:posOffset>
            </wp:positionV>
            <wp:extent cx="3531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ind w:left="39"/>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r>
      <w:tr>
        <w:trPr>
          <w:trHeight w:val="162"/>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6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Sold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98"/>
              </w:rPr>
              <w:t>SG&amp;A</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Charges</w:t>
            </w:r>
          </w:p>
        </w:tc>
      </w:tr>
      <w:tr>
        <w:trPr>
          <w:trHeight w:val="256"/>
        </w:trPr>
        <w:tc>
          <w:tcPr>
            <w:tcW w:w="5840" w:type="dxa"/>
            <w:vAlign w:val="bottom"/>
            <w:gridSpan w:val="2"/>
            <w:shd w:val="clear" w:color="auto" w:fill="CCEEFF"/>
          </w:tcPr>
          <w:p>
            <w:pPr>
              <w:ind w:left="5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73</w:t>
            </w:r>
          </w:p>
        </w:tc>
      </w:tr>
      <w:tr>
        <w:trPr>
          <w:trHeight w:val="263"/>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 or (loss) on cash flow hedges: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Contracts: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9"/>
        </w:trPr>
        <w:tc>
          <w:tcPr>
            <w:tcW w:w="5840" w:type="dxa"/>
            <w:vAlign w:val="bottom"/>
            <w:gridSpan w:val="2"/>
          </w:tcPr>
          <w:p>
            <w:pPr>
              <w:ind w:left="500"/>
              <w:spacing w:after="0"/>
              <w:rPr>
                <w:sz w:val="20"/>
                <w:szCs w:val="20"/>
                <w:color w:val="auto"/>
              </w:rPr>
            </w:pPr>
            <w:r>
              <w:rPr>
                <w:rFonts w:ascii="Arial" w:cs="Arial" w:eastAsia="Arial" w:hAnsi="Arial"/>
                <w:sz w:val="18"/>
                <w:szCs w:val="18"/>
                <w:color w:val="auto"/>
              </w:rPr>
              <w:t>Amount reclassified from accumulated other comprehensive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840" w:type="dxa"/>
            <w:vAlign w:val="bottom"/>
            <w:gridSpan w:val="2"/>
          </w:tcPr>
          <w:p>
            <w:pPr>
              <w:ind w:left="500"/>
              <w:spacing w:after="0"/>
              <w:rPr>
                <w:sz w:val="20"/>
                <w:szCs w:val="20"/>
                <w:color w:val="auto"/>
              </w:rPr>
            </w:pPr>
            <w:r>
              <w:rPr>
                <w:rFonts w:ascii="Arial" w:cs="Arial" w:eastAsia="Arial" w:hAnsi="Arial"/>
                <w:sz w:val="18"/>
                <w:szCs w:val="18"/>
                <w:color w:val="auto"/>
              </w:rPr>
              <w:t>income into income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35"/>
        </w:trPr>
        <w:tc>
          <w:tcPr>
            <w:tcW w:w="5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Amount excluded from effectiveness testing recognized in</w:t>
            </w: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earnings using an amortization approach</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63"/>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 or (loss) on fair value hedges: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Interest Rate Swap Agreements: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5840" w:type="dxa"/>
            <w:vAlign w:val="bottom"/>
            <w:gridSpan w:val="2"/>
          </w:tcPr>
          <w:p>
            <w:pPr>
              <w:ind w:left="500"/>
              <w:spacing w:after="0"/>
              <w:rPr>
                <w:sz w:val="20"/>
                <w:szCs w:val="20"/>
                <w:color w:val="auto"/>
              </w:rPr>
            </w:pPr>
            <w:r>
              <w:rPr>
                <w:rFonts w:ascii="Arial" w:cs="Arial" w:eastAsia="Arial" w:hAnsi="Arial"/>
                <w:sz w:val="18"/>
                <w:szCs w:val="18"/>
                <w:color w:val="auto"/>
              </w:rPr>
              <w:t>Hedged items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7"/>
        </w:trPr>
        <w:tc>
          <w:tcPr>
            <w:tcW w:w="5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 designated as hedges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205</w:t>
            </w:r>
          </w:p>
        </w:tc>
      </w:tr>
      <w:tr>
        <w:trPr>
          <w:trHeight w:val="615"/>
        </w:trPr>
        <w:tc>
          <w:tcPr>
            <w:tcW w:w="5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jc w:val="center"/>
              <w:ind w:left="77"/>
              <w:spacing w:after="0"/>
              <w:rPr>
                <w:sz w:val="20"/>
                <w:szCs w:val="20"/>
                <w:color w:val="auto"/>
              </w:rPr>
            </w:pPr>
            <w:r>
              <w:rPr>
                <w:rFonts w:ascii="Arial" w:cs="Arial" w:eastAsia="Arial" w:hAnsi="Arial"/>
                <w:sz w:val="14"/>
                <w:szCs w:val="14"/>
                <w:b w:val="1"/>
                <w:bCs w:val="1"/>
                <w:color w:val="auto"/>
              </w:rPr>
              <w:t>Three Months Ended March 31, 2019</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5"/>
        </w:trPr>
        <w:tc>
          <w:tcPr>
            <w:tcW w:w="5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ind w:left="39"/>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r>
      <w:tr>
        <w:trPr>
          <w:trHeight w:val="162"/>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6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Sold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98"/>
              </w:rPr>
              <w:t>SG&amp;A</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Charges</w:t>
            </w:r>
          </w:p>
        </w:tc>
      </w:tr>
      <w:tr>
        <w:trPr>
          <w:trHeight w:val="256"/>
        </w:trPr>
        <w:tc>
          <w:tcPr>
            <w:tcW w:w="5840" w:type="dxa"/>
            <w:vAlign w:val="bottom"/>
            <w:gridSpan w:val="2"/>
            <w:shd w:val="clear" w:color="auto" w:fill="CCEEFF"/>
          </w:tcPr>
          <w:p>
            <w:pPr>
              <w:ind w:left="5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4,622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85</w:t>
            </w:r>
          </w:p>
        </w:tc>
      </w:tr>
      <w:tr>
        <w:trPr>
          <w:trHeight w:val="263"/>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 or (loss) on cash flow hedges: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Contracts: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9"/>
        </w:trPr>
        <w:tc>
          <w:tcPr>
            <w:tcW w:w="5840" w:type="dxa"/>
            <w:vAlign w:val="bottom"/>
            <w:gridSpan w:val="2"/>
          </w:tcPr>
          <w:p>
            <w:pPr>
              <w:ind w:left="500"/>
              <w:spacing w:after="0"/>
              <w:rPr>
                <w:sz w:val="20"/>
                <w:szCs w:val="20"/>
                <w:color w:val="auto"/>
              </w:rPr>
            </w:pPr>
            <w:r>
              <w:rPr>
                <w:rFonts w:ascii="Arial" w:cs="Arial" w:eastAsia="Arial" w:hAnsi="Arial"/>
                <w:sz w:val="18"/>
                <w:szCs w:val="18"/>
                <w:color w:val="auto"/>
              </w:rPr>
              <w:t>Amount reclassified from accumulated other comprehensive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840" w:type="dxa"/>
            <w:vAlign w:val="bottom"/>
            <w:gridSpan w:val="2"/>
          </w:tcPr>
          <w:p>
            <w:pPr>
              <w:ind w:left="500"/>
              <w:spacing w:after="0"/>
              <w:rPr>
                <w:sz w:val="20"/>
                <w:szCs w:val="20"/>
                <w:color w:val="auto"/>
              </w:rPr>
            </w:pPr>
            <w:r>
              <w:rPr>
                <w:rFonts w:ascii="Arial" w:cs="Arial" w:eastAsia="Arial" w:hAnsi="Arial"/>
                <w:sz w:val="18"/>
                <w:szCs w:val="18"/>
                <w:color w:val="auto"/>
              </w:rPr>
              <w:t>income into income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35"/>
        </w:trPr>
        <w:tc>
          <w:tcPr>
            <w:tcW w:w="5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Amount excluded from effectiveness testing recognized in</w:t>
            </w: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earnings using an amortization approach</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63"/>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 or (loss) on fair value hedges: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Interest Rate Swap Agreements: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5840" w:type="dxa"/>
            <w:vAlign w:val="bottom"/>
            <w:gridSpan w:val="2"/>
          </w:tcPr>
          <w:p>
            <w:pPr>
              <w:ind w:left="500"/>
              <w:spacing w:after="0"/>
              <w:rPr>
                <w:sz w:val="20"/>
                <w:szCs w:val="20"/>
                <w:color w:val="auto"/>
              </w:rPr>
            </w:pPr>
            <w:r>
              <w:rPr>
                <w:rFonts w:ascii="Arial" w:cs="Arial" w:eastAsia="Arial" w:hAnsi="Arial"/>
                <w:sz w:val="18"/>
                <w:szCs w:val="18"/>
                <w:color w:val="auto"/>
              </w:rPr>
              <w:t>Hedged items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5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 designated as hedges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r>
      <w:tr>
        <w:trPr>
          <w:trHeight w:val="431"/>
        </w:trPr>
        <w:tc>
          <w:tcPr>
            <w:tcW w:w="11240" w:type="dxa"/>
            <w:vAlign w:val="bottom"/>
            <w:gridSpan w:val="18"/>
          </w:tcPr>
          <w:p>
            <w:pPr>
              <w:ind w:left="660"/>
              <w:spacing w:after="0"/>
              <w:rPr>
                <w:sz w:val="20"/>
                <w:szCs w:val="20"/>
                <w:color w:val="auto"/>
              </w:rPr>
            </w:pPr>
            <w:r>
              <w:rPr>
                <w:rFonts w:ascii="Arial" w:cs="Arial" w:eastAsia="Arial" w:hAnsi="Arial"/>
                <w:sz w:val="18"/>
                <w:szCs w:val="18"/>
                <w:color w:val="auto"/>
              </w:rPr>
              <w:t>The following table summarizes the amounts of gain or (loss) on net investment hedges recognized in Accumulated other</w:t>
            </w:r>
          </w:p>
        </w:tc>
      </w:tr>
      <w:tr>
        <w:trPr>
          <w:trHeight w:val="217"/>
        </w:trPr>
        <w:tc>
          <w:tcPr>
            <w:tcW w:w="58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99"/>
        </w:trPr>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Borders>
              <w:bottom w:val="single" w:sz="8" w:color="auto"/>
            </w:tcBorders>
            <w:gridSpan w:val="9"/>
          </w:tcPr>
          <w:p>
            <w:pPr>
              <w:jc w:val="right"/>
              <w:ind w:right="25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6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Euro-denominated long-term debt</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59"/>
              <w:spacing w:after="0"/>
              <w:rPr>
                <w:sz w:val="20"/>
                <w:szCs w:val="20"/>
                <w:color w:val="auto"/>
              </w:rPr>
            </w:pPr>
            <w:r>
              <w:rPr>
                <w:rFonts w:ascii="Arial" w:cs="Arial" w:eastAsia="Arial" w:hAnsi="Arial"/>
                <w:sz w:val="18"/>
                <w:szCs w:val="18"/>
                <w:color w:val="auto"/>
              </w:rPr>
              <w:t>124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68</w:t>
            </w:r>
          </w:p>
        </w:tc>
      </w:tr>
      <w:tr>
        <w:trPr>
          <w:trHeight w:val="277"/>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Euro-denominated commercial paper</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w:t>
            </w:r>
          </w:p>
        </w:tc>
      </w:tr>
      <w:tr>
        <w:trPr>
          <w:trHeight w:val="26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Cross currency swap</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13</w:t>
            </w:r>
          </w:p>
        </w:tc>
      </w:tr>
      <w:tr>
        <w:trPr>
          <w:trHeight w:val="277"/>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r>
      <w:tr>
        <w:trPr>
          <w:trHeight w:val="864"/>
        </w:trPr>
        <w:tc>
          <w:tcPr>
            <w:tcW w:w="5840" w:type="dxa"/>
            <w:vAlign w:val="bottom"/>
            <w:gridSpan w:val="2"/>
          </w:tcPr>
          <w:p>
            <w:pPr>
              <w:ind w:left="5520"/>
              <w:spacing w:after="0"/>
              <w:rPr>
                <w:sz w:val="20"/>
                <w:szCs w:val="20"/>
                <w:color w:val="auto"/>
              </w:rPr>
            </w:pPr>
            <w:r>
              <w:rPr>
                <w:rFonts w:ascii="Arial" w:cs="Arial" w:eastAsia="Arial" w:hAnsi="Arial"/>
                <w:sz w:val="18"/>
                <w:szCs w:val="18"/>
                <w:color w:val="auto"/>
              </w:rPr>
              <w:t>19</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Changes in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Exchange</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 Cash Flow</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Hedges</w:t>
            </w:r>
          </w:p>
        </w:tc>
        <w:tc>
          <w:tcPr>
            <w:tcW w:w="360" w:type="dxa"/>
            <w:vAlign w:val="bottom"/>
          </w:tcPr>
          <w:p>
            <w:pPr>
              <w:spacing w:after="0"/>
              <w:rPr>
                <w:sz w:val="17"/>
                <w:szCs w:val="17"/>
                <w:color w:val="auto"/>
              </w:rPr>
            </w:pPr>
          </w:p>
        </w:tc>
        <w:tc>
          <w:tcPr>
            <w:tcW w:w="112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6"/>
        </w:trPr>
        <w:tc>
          <w:tcPr>
            <w:tcW w:w="5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5"/>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8"/>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Changes in</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Exchange</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Benefits</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Cash Flow</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Hedges</w:t>
            </w:r>
          </w:p>
        </w:tc>
        <w:tc>
          <w:tcPr>
            <w:tcW w:w="360" w:type="dxa"/>
            <w:vAlign w:val="bottom"/>
          </w:tcPr>
          <w:p>
            <w:pPr>
              <w:spacing w:after="0"/>
              <w:rPr>
                <w:sz w:val="17"/>
                <w:szCs w:val="17"/>
                <w:color w:val="auto"/>
              </w:rPr>
            </w:pPr>
          </w:p>
        </w:tc>
        <w:tc>
          <w:tcPr>
            <w:tcW w:w="112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6"/>
        </w:trPr>
        <w:tc>
          <w:tcPr>
            <w:tcW w:w="5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243</w:t>
            </w:r>
          </w:p>
        </w:tc>
      </w:tr>
      <w:tr>
        <w:trPr>
          <w:trHeight w:val="235"/>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0"/>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192</w:t>
            </w: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5"/>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69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7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02"/>
        </w:trPr>
        <w:tc>
          <w:tcPr>
            <w:tcW w:w="4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r>
        <w:trPr>
          <w:trHeight w:val="290"/>
        </w:trPr>
        <w:tc>
          <w:tcPr>
            <w:tcW w:w="40" w:type="dxa"/>
            <w:vAlign w:val="bottom"/>
          </w:tcPr>
          <w:p>
            <w:pPr>
              <w:spacing w:after="0"/>
              <w:rPr>
                <w:sz w:val="24"/>
                <w:szCs w:val="24"/>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Aerospace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r>
      <w:tr>
        <w:trPr>
          <w:trHeight w:val="263"/>
        </w:trPr>
        <w:tc>
          <w:tcPr>
            <w:tcW w:w="4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1,266</w:t>
            </w:r>
          </w:p>
        </w:tc>
      </w:tr>
      <w:tr>
        <w:trPr>
          <w:trHeight w:val="257"/>
        </w:trPr>
        <w:tc>
          <w:tcPr>
            <w:tcW w:w="40" w:type="dxa"/>
            <w:vAlign w:val="bottom"/>
            <w:shd w:val="clear" w:color="auto" w:fill="CCEEFF"/>
          </w:tcPr>
          <w:p>
            <w:pPr>
              <w:spacing w:after="0"/>
              <w:rPr>
                <w:sz w:val="22"/>
                <w:szCs w:val="22"/>
                <w:color w:val="auto"/>
              </w:rPr>
            </w:pPr>
          </w:p>
        </w:tc>
        <w:tc>
          <w:tcPr>
            <w:tcW w:w="8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3,341</w:t>
            </w:r>
          </w:p>
        </w:tc>
      </w:tr>
      <w:tr>
        <w:trPr>
          <w:trHeight w:val="263"/>
        </w:trPr>
        <w:tc>
          <w:tcPr>
            <w:tcW w:w="40" w:type="dxa"/>
            <w:vAlign w:val="bottom"/>
          </w:tcPr>
          <w:p>
            <w:pPr>
              <w:spacing w:after="0"/>
              <w:rPr>
                <w:sz w:val="22"/>
                <w:szCs w:val="22"/>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Honeywell Building Technologies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r>
      <w:tr>
        <w:trPr>
          <w:trHeight w:val="263"/>
        </w:trPr>
        <w:tc>
          <w:tcPr>
            <w:tcW w:w="4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316</w:t>
            </w:r>
          </w:p>
        </w:tc>
      </w:tr>
      <w:tr>
        <w:trPr>
          <w:trHeight w:val="257"/>
        </w:trPr>
        <w:tc>
          <w:tcPr>
            <w:tcW w:w="40" w:type="dxa"/>
            <w:vAlign w:val="bottom"/>
            <w:shd w:val="clear" w:color="auto" w:fill="CCEEFF"/>
          </w:tcPr>
          <w:p>
            <w:pPr>
              <w:spacing w:after="0"/>
              <w:rPr>
                <w:sz w:val="22"/>
                <w:szCs w:val="22"/>
                <w:color w:val="auto"/>
              </w:rPr>
            </w:pPr>
          </w:p>
        </w:tc>
        <w:tc>
          <w:tcPr>
            <w:tcW w:w="8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1,389</w:t>
            </w:r>
          </w:p>
        </w:tc>
      </w:tr>
      <w:tr>
        <w:trPr>
          <w:trHeight w:val="263"/>
        </w:trPr>
        <w:tc>
          <w:tcPr>
            <w:tcW w:w="40" w:type="dxa"/>
            <w:vAlign w:val="bottom"/>
          </w:tcPr>
          <w:p>
            <w:pPr>
              <w:spacing w:after="0"/>
              <w:rPr>
                <w:sz w:val="22"/>
                <w:szCs w:val="22"/>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Performance Materials and Technologies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2,070</w:t>
            </w:r>
          </w:p>
        </w:tc>
      </w:tr>
      <w:tr>
        <w:trPr>
          <w:trHeight w:val="263"/>
        </w:trPr>
        <w:tc>
          <w:tcPr>
            <w:tcW w:w="4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502</w:t>
            </w:r>
          </w:p>
        </w:tc>
      </w:tr>
      <w:tr>
        <w:trPr>
          <w:trHeight w:val="257"/>
        </w:trPr>
        <w:tc>
          <w:tcPr>
            <w:tcW w:w="40" w:type="dxa"/>
            <w:vAlign w:val="bottom"/>
            <w:shd w:val="clear" w:color="auto" w:fill="CCEEFF"/>
          </w:tcPr>
          <w:p>
            <w:pPr>
              <w:spacing w:after="0"/>
              <w:rPr>
                <w:sz w:val="22"/>
                <w:szCs w:val="22"/>
                <w:color w:val="auto"/>
              </w:rPr>
            </w:pPr>
          </w:p>
        </w:tc>
        <w:tc>
          <w:tcPr>
            <w:tcW w:w="8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2,572</w:t>
            </w:r>
          </w:p>
        </w:tc>
      </w:tr>
      <w:tr>
        <w:trPr>
          <w:trHeight w:val="263"/>
        </w:trPr>
        <w:tc>
          <w:tcPr>
            <w:tcW w:w="40" w:type="dxa"/>
            <w:vAlign w:val="bottom"/>
          </w:tcPr>
          <w:p>
            <w:pPr>
              <w:spacing w:after="0"/>
              <w:rPr>
                <w:sz w:val="22"/>
                <w:szCs w:val="22"/>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Safety and Productivity Solutions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1,495</w:t>
            </w:r>
          </w:p>
        </w:tc>
      </w:tr>
      <w:tr>
        <w:trPr>
          <w:trHeight w:val="263"/>
        </w:trPr>
        <w:tc>
          <w:tcPr>
            <w:tcW w:w="4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r>
      <w:tr>
        <w:trPr>
          <w:trHeight w:val="250"/>
        </w:trPr>
        <w:tc>
          <w:tcPr>
            <w:tcW w:w="40" w:type="dxa"/>
            <w:vAlign w:val="bottom"/>
            <w:shd w:val="clear" w:color="auto" w:fill="CCEEFF"/>
          </w:tcPr>
          <w:p>
            <w:pPr>
              <w:spacing w:after="0"/>
              <w:rPr>
                <w:sz w:val="21"/>
                <w:szCs w:val="21"/>
                <w:color w:val="auto"/>
              </w:rPr>
            </w:pPr>
          </w:p>
        </w:tc>
        <w:tc>
          <w:tcPr>
            <w:tcW w:w="8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r>
      <w:tr>
        <w:trPr>
          <w:trHeight w:val="303"/>
        </w:trPr>
        <w:tc>
          <w:tcPr>
            <w:tcW w:w="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8,463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8,884</w:t>
            </w:r>
          </w:p>
        </w:tc>
      </w:tr>
      <w:tr>
        <w:trPr>
          <w:trHeight w:val="237"/>
        </w:trPr>
        <w:tc>
          <w:tcPr>
            <w:tcW w:w="40" w:type="dxa"/>
            <w:vAlign w:val="bottom"/>
            <w:shd w:val="clear" w:color="auto" w:fill="CCEEFF"/>
          </w:tcPr>
          <w:p>
            <w:pPr>
              <w:spacing w:after="0"/>
              <w:rPr>
                <w:sz w:val="20"/>
                <w:szCs w:val="20"/>
                <w:color w:val="auto"/>
              </w:rPr>
            </w:pPr>
          </w:p>
        </w:tc>
        <w:tc>
          <w:tcPr>
            <w:tcW w:w="83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Segment profit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63"/>
        </w:trPr>
        <w:tc>
          <w:tcPr>
            <w:tcW w:w="40" w:type="dxa"/>
            <w:vAlign w:val="bottom"/>
            <w:tcBorders>
              <w:top w:val="single" w:sz="8" w:color="CCEEFF"/>
            </w:tcBorders>
          </w:tcPr>
          <w:p>
            <w:pPr>
              <w:spacing w:after="0"/>
              <w:rPr>
                <w:sz w:val="22"/>
                <w:szCs w:val="22"/>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Aerospace</w:t>
            </w:r>
          </w:p>
        </w:tc>
        <w:tc>
          <w:tcPr>
            <w:tcW w:w="72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937</w:t>
            </w:r>
          </w:p>
        </w:tc>
        <w:tc>
          <w:tcPr>
            <w:tcW w:w="12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838</w:t>
            </w: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Honeywell Building Technologies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r>
      <w:tr>
        <w:trPr>
          <w:trHeight w:val="263"/>
        </w:trPr>
        <w:tc>
          <w:tcPr>
            <w:tcW w:w="40" w:type="dxa"/>
            <w:vAlign w:val="bottom"/>
          </w:tcPr>
          <w:p>
            <w:pPr>
              <w:spacing w:after="0"/>
              <w:rPr>
                <w:sz w:val="22"/>
                <w:szCs w:val="22"/>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Performance Materials and Technologies</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564</w:t>
            </w: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 and Productivity Solutions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63"/>
        </w:trPr>
        <w:tc>
          <w:tcPr>
            <w:tcW w:w="4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50"/>
        </w:trPr>
        <w:tc>
          <w:tcPr>
            <w:tcW w:w="40" w:type="dxa"/>
            <w:vAlign w:val="bottom"/>
            <w:shd w:val="clear" w:color="auto" w:fill="CCEEFF"/>
          </w:tcPr>
          <w:p>
            <w:pPr>
              <w:spacing w:after="0"/>
              <w:rPr>
                <w:sz w:val="21"/>
                <w:szCs w:val="21"/>
                <w:color w:val="auto"/>
              </w:rPr>
            </w:pPr>
          </w:p>
        </w:tc>
        <w:tc>
          <w:tcPr>
            <w:tcW w:w="8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segment profit</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1,809</w:t>
            </w:r>
          </w:p>
        </w:tc>
      </w:tr>
      <w:tr>
        <w:trPr>
          <w:trHeight w:val="250"/>
        </w:trPr>
        <w:tc>
          <w:tcPr>
            <w:tcW w:w="40" w:type="dxa"/>
            <w:vAlign w:val="bottom"/>
          </w:tcPr>
          <w:p>
            <w:pPr>
              <w:spacing w:after="0"/>
              <w:rPr>
                <w:sz w:val="21"/>
                <w:szCs w:val="21"/>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Interest and other financial charges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compensation expense</w:t>
            </w:r>
            <w:r>
              <w:rPr>
                <w:rFonts w:ascii="Arial" w:cs="Arial" w:eastAsia="Arial" w:hAnsi="Arial"/>
                <w:sz w:val="14"/>
                <w:szCs w:val="14"/>
                <w:color w:val="auto"/>
              </w:rPr>
              <w:t>(a)</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63"/>
        </w:trPr>
        <w:tc>
          <w:tcPr>
            <w:tcW w:w="40" w:type="dxa"/>
            <w:vAlign w:val="bottom"/>
          </w:tcPr>
          <w:p>
            <w:pPr>
              <w:spacing w:after="0"/>
              <w:rPr>
                <w:sz w:val="22"/>
                <w:szCs w:val="22"/>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Pension ongoing income</w:t>
            </w: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7"/>
        </w:trPr>
        <w:tc>
          <w:tcPr>
            <w:tcW w:w="40" w:type="dxa"/>
            <w:vAlign w:val="bottom"/>
            <w:shd w:val="clear" w:color="auto" w:fill="CCEEFF"/>
          </w:tcPr>
          <w:p>
            <w:pPr>
              <w:spacing w:after="0"/>
              <w:rPr>
                <w:sz w:val="24"/>
                <w:szCs w:val="24"/>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postretirement income</w:t>
            </w:r>
            <w:r>
              <w:rPr>
                <w:rFonts w:ascii="Arial" w:cs="Arial" w:eastAsia="Arial" w:hAnsi="Arial"/>
                <w:sz w:val="14"/>
                <w:szCs w:val="14"/>
                <w:color w:val="auto"/>
              </w:rPr>
              <w:t>(b)</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63"/>
        </w:trPr>
        <w:tc>
          <w:tcPr>
            <w:tcW w:w="40" w:type="dxa"/>
            <w:vAlign w:val="bottom"/>
          </w:tcPr>
          <w:p>
            <w:pPr>
              <w:spacing w:after="0"/>
              <w:rPr>
                <w:sz w:val="22"/>
                <w:szCs w:val="22"/>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Repositioning and other charges</w:t>
            </w:r>
            <w:r>
              <w:rPr>
                <w:rFonts w:ascii="Arial" w:cs="Arial" w:eastAsia="Arial" w:hAnsi="Arial"/>
                <w:sz w:val="14"/>
                <w:szCs w:val="14"/>
                <w:color w:val="auto"/>
              </w:rPr>
              <w:t>(c)</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4"/>
                <w:szCs w:val="14"/>
                <w:color w:val="auto"/>
              </w:rPr>
              <w:t>(d)</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56"/>
        </w:trPr>
        <w:tc>
          <w:tcPr>
            <w:tcW w:w="40" w:type="dxa"/>
            <w:vAlign w:val="bottom"/>
          </w:tcPr>
          <w:p>
            <w:pPr>
              <w:spacing w:after="0"/>
              <w:rPr>
                <w:sz w:val="22"/>
                <w:szCs w:val="22"/>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Income before taxes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1,842</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Selling, general and administrative expenses.</w:t>
      </w:r>
    </w:p>
    <w:p>
      <w:pPr>
        <w:spacing w:after="0" w:line="9" w:lineRule="exact"/>
        <w:rPr>
          <w:rFonts w:ascii="Arial" w:cs="Arial" w:eastAsia="Arial" w:hAnsi="Arial"/>
          <w:sz w:val="18"/>
          <w:szCs w:val="18"/>
          <w:color w:val="auto"/>
        </w:rPr>
      </w:pPr>
    </w:p>
    <w:p>
      <w:pPr>
        <w:ind w:left="260" w:right="520" w:hanging="252"/>
        <w:spacing w:after="0" w:line="261" w:lineRule="auto"/>
        <w:tabs>
          <w:tab w:leader="none" w:pos="287"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(service costs) and Other income/expense (non-service cost components).</w:t>
      </w:r>
    </w:p>
    <w:p>
      <w:pPr>
        <w:sectPr>
          <w:pgSz w:w="11900" w:h="16838" w:orient="portrait"/>
          <w:cols w:equalWidth="0" w:num="1">
            <w:col w:w="11240"/>
          </w:cols>
          <w:pgMar w:left="320" w:top="118"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18"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Selling, general and administrative expenses, and Other income/expense.</w:t>
      </w:r>
    </w:p>
    <w:p>
      <w:pPr>
        <w:spacing w:after="0" w:line="9" w:lineRule="exact"/>
        <w:rPr>
          <w:rFonts w:ascii="Arial" w:cs="Arial" w:eastAsia="Arial" w:hAnsi="Arial"/>
          <w:sz w:val="18"/>
          <w:szCs w:val="18"/>
          <w:color w:val="auto"/>
        </w:rPr>
      </w:pPr>
    </w:p>
    <w:p>
      <w:pPr>
        <w:ind w:left="260" w:right="700" w:hanging="252"/>
        <w:spacing w:after="0" w:line="261" w:lineRule="auto"/>
        <w:tabs>
          <w:tab w:leader="none" w:pos="287"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 the other components of Other income/expense not included within other categories in this reconciliation. Equity income/loss of affiliated companies is included in segment profit.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 Benefits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our significant defined benefit plans include the following components:</w:t>
      </w:r>
    </w:p>
    <w:p>
      <w:pPr>
        <w:spacing w:after="0" w:line="375"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26035</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89"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26035</wp:posOffset>
            </wp:positionV>
            <wp:extent cx="1800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return on plan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Amortization of prior service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480"/>
        <w:spacing w:after="0"/>
        <w:tabs>
          <w:tab w:leader="none" w:pos="19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81" w:lineRule="exact"/>
        <w:rPr>
          <w:sz w:val="20"/>
          <w:szCs w:val="20"/>
          <w:color w:val="auto"/>
        </w:rPr>
      </w:pPr>
    </w:p>
    <w:p>
      <w:pPr>
        <w:spacing w:after="0"/>
        <w:tabs>
          <w:tab w:leader="none" w:pos="1000" w:val="left"/>
          <w:tab w:leader="none" w:pos="1440" w:val="left"/>
          <w:tab w:leader="none" w:pos="2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w:t>
        <w:tab/>
        <w:t>$</w:t>
      </w:r>
      <w:r>
        <w:rPr>
          <w:sz w:val="20"/>
          <w:szCs w:val="20"/>
          <w:color w:val="auto"/>
        </w:rPr>
        <w:tab/>
      </w:r>
      <w:r>
        <w:rPr>
          <w:rFonts w:ascii="Arial" w:cs="Arial" w:eastAsia="Arial" w:hAnsi="Arial"/>
          <w:sz w:val="17"/>
          <w:szCs w:val="17"/>
          <w:color w:val="auto"/>
        </w:rPr>
        <w:t>21</w:t>
      </w:r>
    </w:p>
    <w:p>
      <w:pPr>
        <w:spacing w:after="0" w:line="63" w:lineRule="exact"/>
        <w:rPr>
          <w:sz w:val="20"/>
          <w:szCs w:val="20"/>
          <w:color w:val="auto"/>
        </w:rPr>
      </w:pPr>
    </w:p>
    <w:p>
      <w:pPr>
        <w:ind w:left="920"/>
        <w:spacing w:after="0"/>
        <w:tabs>
          <w:tab w:leader="none" w:pos="23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153</w:t>
      </w:r>
    </w:p>
    <w:p>
      <w:pPr>
        <w:spacing w:after="0" w:line="63" w:lineRule="exact"/>
        <w:rPr>
          <w:sz w:val="20"/>
          <w:szCs w:val="20"/>
          <w:color w:val="auto"/>
        </w:rPr>
      </w:pPr>
    </w:p>
    <w:p>
      <w:pPr>
        <w:ind w:left="2340" w:hanging="1480"/>
        <w:spacing w:after="0"/>
        <w:tabs>
          <w:tab w:leader="none" w:pos="2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(279)</w:t>
      </w:r>
    </w:p>
    <w:p>
      <w:pPr>
        <w:spacing w:after="0" w:line="75" w:lineRule="exact"/>
        <w:rPr>
          <w:sz w:val="20"/>
          <w:szCs w:val="20"/>
          <w:color w:val="auto"/>
        </w:rPr>
      </w:pPr>
    </w:p>
    <w:p>
      <w:pPr>
        <w:ind w:left="2440" w:hanging="1479"/>
        <w:spacing w:after="0"/>
        <w:tabs>
          <w:tab w:leader="none" w:pos="2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(11)</w:t>
      </w:r>
    </w:p>
    <w:p>
      <w:pPr>
        <w:spacing w:after="0" w:line="75" w:lineRule="exact"/>
        <w:rPr>
          <w:sz w:val="20"/>
          <w:szCs w:val="20"/>
          <w:color w:val="auto"/>
        </w:rPr>
      </w:pPr>
    </w:p>
    <w:p>
      <w:pPr>
        <w:spacing w:after="0"/>
        <w:tabs>
          <w:tab w:leader="none" w:pos="840" w:val="left"/>
          <w:tab w:leader="none" w:pos="1440" w:val="left"/>
          <w:tab w:leader="none" w:pos="2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(155)</w:t>
        <w:tab/>
        <w:t>$</w:t>
      </w:r>
      <w:r>
        <w:rPr>
          <w:sz w:val="20"/>
          <w:szCs w:val="20"/>
          <w:color w:val="auto"/>
        </w:rPr>
        <w:tab/>
      </w: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1800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26035</wp:posOffset>
            </wp:positionV>
            <wp:extent cx="1800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26035</wp:posOffset>
            </wp:positionV>
            <wp:extent cx="1800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7720" w:space="720"/>
            <w:col w:w="28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4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5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840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92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84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8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three months ended March 31, 2020 and 2019, the Company repurchased $100 million and $100 million, respectively, of outstanding Honeywell shares from the Honeywell U.S. Pension Plan Master Trust.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Our environmental matters are described in Note 20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in our 2019 Annual Report on Form 10-K.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40" w:type="dxa"/>
            <w:vAlign w:val="bottom"/>
          </w:tcPr>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85"/>
        </w:trPr>
        <w:tc>
          <w:tcPr>
            <w:tcW w:w="984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709</w:t>
            </w:r>
          </w:p>
        </w:tc>
      </w:tr>
      <w:tr>
        <w:trPr>
          <w:trHeight w:val="263"/>
        </w:trPr>
        <w:tc>
          <w:tcPr>
            <w:tcW w:w="9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environmental matters deemed probable and reasonably estimable</w:t>
            </w:r>
          </w:p>
        </w:tc>
        <w:tc>
          <w:tcPr>
            <w:tcW w:w="5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50"/>
        </w:trPr>
        <w:tc>
          <w:tcPr>
            <w:tcW w:w="9840" w:type="dxa"/>
            <w:vAlign w:val="bottom"/>
          </w:tcPr>
          <w:p>
            <w:pPr>
              <w:ind w:left="180"/>
              <w:spacing w:after="0"/>
              <w:rPr>
                <w:sz w:val="20"/>
                <w:szCs w:val="20"/>
                <w:color w:val="auto"/>
              </w:rPr>
            </w:pPr>
            <w:r>
              <w:rPr>
                <w:rFonts w:ascii="Arial" w:cs="Arial" w:eastAsia="Arial" w:hAnsi="Arial"/>
                <w:sz w:val="18"/>
                <w:szCs w:val="18"/>
                <w:color w:val="auto"/>
              </w:rPr>
              <w:t>Environmental liability payments</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9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9840" w:type="dxa"/>
            <w:vAlign w:val="bottom"/>
          </w:tcPr>
          <w:p>
            <w:pPr>
              <w:ind w:left="40"/>
              <w:spacing w:after="0"/>
              <w:rPr>
                <w:sz w:val="20"/>
                <w:szCs w:val="20"/>
                <w:color w:val="auto"/>
              </w:rPr>
            </w:pPr>
            <w:r>
              <w:rPr>
                <w:rFonts w:ascii="Arial" w:cs="Arial" w:eastAsia="Arial" w:hAnsi="Arial"/>
                <w:sz w:val="18"/>
                <w:szCs w:val="18"/>
                <w:color w:val="auto"/>
              </w:rPr>
              <w:t>March 31, 2020</w:t>
            </w: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715</w:t>
            </w:r>
          </w:p>
        </w:tc>
      </w:tr>
      <w:tr>
        <w:trPr>
          <w:trHeight w:val="20"/>
        </w:trPr>
        <w:tc>
          <w:tcPr>
            <w:tcW w:w="9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8"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8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r>
      <w:tr>
        <w:trPr>
          <w:trHeight w:val="263"/>
        </w:trPr>
        <w:tc>
          <w:tcPr>
            <w:tcW w:w="8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w:t>
            </w:r>
          </w:p>
        </w:tc>
      </w:tr>
      <w:tr>
        <w:trPr>
          <w:trHeight w:val="250"/>
        </w:trPr>
        <w:tc>
          <w:tcPr>
            <w:tcW w:w="8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r>
      <w:tr>
        <w:trPr>
          <w:trHeight w:val="20"/>
        </w:trPr>
        <w:tc>
          <w:tcPr>
            <w:tcW w:w="8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percent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has been less than $ 25 million. Reimbursements associated with this agreement with a Resideo subsidiary were $35 million in the three months ended March 31, 2020 and offset operating cash outflows incurred by the Company. The Company agreed to extend the payment due date from April 30, 2020 to July 30, 2020 for the next reimbursement amount of $35 million while also agreeing to extend the payment due date from May 30, 2020 to July 30, 2020 for royalty payments of approximately $7 million owed to the Company under the Trademark License Agreement that the parties executed in connection with the spin-off. As the Company records the accruals for environmental matters deemed probable and reasonably estimable related to the sites covered by the indemnification and reimbursement agreement, a corresponding receivable from Resideo for 90 percent of such accruals is also recorded. This receivable amount recorded in the three months ended March 31, 2020 was $34 million. As of March 31, 2020, Other Current Assets and Other Assets includes $140 million and $444 million representing the short-term and long-term portion of the receivable amount due from Resideo under the indemnification and reimbursement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Honeywell is named in asbestos related personal injury claims related to North American Refractories Company (“NARCO”), which was sold in 1986, and Bendix Friction Materials (“Bendix”) business, which was sold in 2014.</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asbestos-related balances: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Asbestos-Related Liabilities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Bendix</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32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6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1,499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80" w:type="dxa"/>
            <w:vAlign w:val="bottom"/>
            <w:gridSpan w:val="2"/>
          </w:tcPr>
          <w:p>
            <w:pPr>
              <w:ind w:left="140"/>
              <w:spacing w:after="0"/>
              <w:rPr>
                <w:sz w:val="20"/>
                <w:szCs w:val="20"/>
                <w:color w:val="auto"/>
              </w:rPr>
            </w:pPr>
            <w:r>
              <w:rPr>
                <w:rFonts w:ascii="Arial" w:cs="Arial" w:eastAsia="Arial" w:hAnsi="Arial"/>
                <w:sz w:val="18"/>
                <w:szCs w:val="18"/>
                <w:color w:val="auto"/>
              </w:rPr>
              <w:t>Accrual for update to estimated liability</w:t>
            </w:r>
          </w:p>
        </w:tc>
        <w:tc>
          <w:tcPr>
            <w:tcW w:w="28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Asbestos related liability payments</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Insurance Recoveries for Asbestos-Related Liabilities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68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60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Bendix</w:t>
            </w:r>
          </w:p>
        </w:tc>
        <w:tc>
          <w:tcPr>
            <w:tcW w:w="26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320" w:type="dxa"/>
            <w:vAlign w:val="bottom"/>
          </w:tcPr>
          <w:p>
            <w:pPr>
              <w:spacing w:after="0"/>
              <w:rPr>
                <w:sz w:val="24"/>
                <w:szCs w:val="24"/>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6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80" w:type="dxa"/>
            <w:vAlign w:val="bottom"/>
            <w:gridSpan w:val="2"/>
          </w:tcPr>
          <w:p>
            <w:pPr>
              <w:ind w:left="140"/>
              <w:spacing w:after="0"/>
              <w:rPr>
                <w:sz w:val="20"/>
                <w:szCs w:val="20"/>
                <w:color w:val="auto"/>
              </w:rPr>
            </w:pPr>
            <w:r>
              <w:rPr>
                <w:rFonts w:ascii="Arial" w:cs="Arial" w:eastAsia="Arial" w:hAnsi="Arial"/>
                <w:sz w:val="18"/>
                <w:szCs w:val="18"/>
                <w:color w:val="auto"/>
              </w:rPr>
              <w:t>Insurance receipts for asbestos-related liabilities</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Insurance receivables settlements</w:t>
            </w:r>
          </w:p>
        </w:tc>
        <w:tc>
          <w:tcPr>
            <w:tcW w:w="2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18"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asbestos-related balances are included in the following balance sheet accounts: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84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recoveries for asbestos-related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90"/>
        </w:trPr>
        <w:tc>
          <w:tcPr>
            <w:tcW w:w="84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w:t>
            </w:r>
          </w:p>
        </w:tc>
      </w:tr>
      <w:tr>
        <w:trPr>
          <w:trHeight w:val="243"/>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Asbestos-related liabilities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1,996</w:t>
            </w:r>
          </w:p>
        </w:tc>
      </w:tr>
      <w:tr>
        <w:trPr>
          <w:trHeight w:val="250"/>
        </w:trPr>
        <w:tc>
          <w:tcPr>
            <w:tcW w:w="8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2,357</w:t>
            </w: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 Honeywell’s predecessor, Allied Corporation owned NARCO from 1979 to 1986. When the NARCO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sold, Honeywell’s predecessor entered into a cross-indemnity agreement with NARCO which included an obligation to indemnify the purchaser for asbestos claims. Such claims arise primarily from alleged occupational exposure to asbestos-containing refractory brick and mortar for high-temperature applications. NARCO ceased manufacturing these products in 1980, and the first asbestos claims were filed in the tort system against NARCO in 1983. Claims filings and related costs increased dramatically in the late 1990s through 2001, which led to NARCO filing for bankruptcy in January 2002. Once NARCO filed for bankruptcy, all then current and future NARCO asbestos claims were stayed against both NARCO and Honeywell pending the reorganization of NARCO.</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the bankruptcy filing, in December 2002 Honeywell recorded a total NARCO asbestos liability of $3.2 billion, which was comprised of three components: (i) the estimated liability to settle pre-bankruptcy petition NARCO claims and certain post-petition settlements ($ 2.2 billion, referred to as “Pre-bankruptcy NARCO Liability”), (ii) the estimated liability related to then unasserted NARCO claims for the period 2004 through 2018 ($950 million, referred to as “NARCO Trust Liability”), and (iii) other NARCO bankruptcy-related obligations totaling $73 million.</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When the NARCO Trust Liability of $950 million was established in 2002, the methodology for estimating the potential liability was based primarily on: (a) epidemiological projections of the future incidence of disease for the period 2004 through 2018, a fifteen-year period;</w:t>
      </w:r>
    </w:p>
    <w:p>
      <w:pPr>
        <w:spacing w:after="0" w:line="1" w:lineRule="exact"/>
        <w:rPr>
          <w:sz w:val="20"/>
          <w:szCs w:val="20"/>
          <w:color w:val="auto"/>
        </w:rPr>
      </w:pPr>
    </w:p>
    <w:p>
      <w:pPr>
        <w:jc w:val="both"/>
        <w:ind w:firstLine="8"/>
        <w:spacing w:after="0" w:line="252" w:lineRule="auto"/>
        <w:tabs>
          <w:tab w:leader="none" w:pos="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historical claims rates in the tort system for the five-year period prior to the bankruptcy filing date; and (c) anticipated NARCO Trust payment values set forth in the then current draft of the NARCO Trust Distribution Procedures. The methodology required estimating, by disease, three critical inputs: (i) likely number of claims to be asserted against the NARCO Trust in the future, (ii) percentage of those claims likely to receive payment, and (iii) payment values. The Company utilized outside asbestos liability valuation specialists to support its preparation of the NARCO Trust Liability estimate, which was based on a commonly accepted methodology used by numerous bankruptcy courts addressing 524(g) trusts.</w:t>
      </w:r>
    </w:p>
    <w:p>
      <w:pPr>
        <w:spacing w:after="0" w:line="20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2002, when the Company first established its initial liability, NARCO asbestos claims resolution shifted from the tort system to an anticipated NARCO Trust framework, where claims would be processed in accordance with established NARCO Trust Distribution Procedures, including strict medical and exposure criteria for a plaintiff to receive compensation. We believed at the time that the NARCO Trust’s claims filing and resolution experience after the NARCO Trust became operational would be significantly different from pre-bankruptcy tort system experience in light of these more rigorous claims processing requirements in the NARCO Trust Distribution Procedures and Honeywell’s active oversight of claims processing and approval. Given these anticipated differences, we believed that a 15-year time period was the appropriate horizon for establishing a probable and reasonably estimable liability for then unasserted NARCO claims as it represented our best estimate of the time period it would take for the NARCO Trust to be approved by the Bankruptcy Court, become fully operational and generate sufficiently reliable claims data (i.e., a data set which is statistically representative) to enable us to update our NARCO Trust Liability.</w:t>
      </w:r>
    </w:p>
    <w:p>
      <w:pPr>
        <w:spacing w:after="0" w:line="21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NARCO Trust Distribution Procedures were finalized in 2006, and the Company updated its NARCO Trust Liability to reflect the final terms and payment values. The original 15-year period (from 2004 through 2018) for unasserted claims did not change as asbestos claims filings continued to be stayed against both Honeywell and NARCO. The 2006 update resulted in a range of the estimated liability for unasserted claims of $ 743 million to $961 million, and we believed that no amount within this range was a better estimate than any other amount. In accordance with ASC 450 – Contingencies (“ASC 450”), we recorded the low end of the range of $743 million (the "2006 NARCO Trust Liability Estimate") which resulted in a reduction of $207 million in our NARCO Trust Liability.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NARCO emerged from bankruptcy on April 30, 2013, at which time a federally authorized 524(g)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asbestos-related claims based on exposure to NARCO asbestos-containing products to be made against the NARCO Trust.</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NARCO Trust Agreement and the NARCO Trust Distribution Procedures are the principal documents setting forth the structure of the NARCO Trust. These documents establish Honeywell’s evergreen funding obligations. Honeywell is obligated to fund NARCO asbestos claims submitted to the NARCO Trust which qualify for payment under the Trust Distribution Procedures (Annual Contribution Claims), subject to an annual cap of $145 million. However, the initial $ 100 million of claims processed through the NARCO Trust (the "Initial Claims Amount") will not count against the annual cap and any unused portion of the Initial Claims Amount will roll over to subsequent years until fully utilized. These documents also establish the material operating rules for the NARCO Trust, including Honeywell audit rights and the criteria claimants must meet to have a valid claim paid. These claims payment criteria include providing the NARCO Trust with adequate medical evidence of the claimant’s asbestos-related condition and credible evidence of exposure to a specific NARCO asbestos-containing product. Further, the NARCO Trust is eligible to receive cash dividends from Harbison-Walker International Inc (“HWI”), the reorganized and renamed entity that emerged, fully operational, from the NARCO bankruptcy. The NARCO Trust is required to use any funding received from HWI to pay Annual Contribution Claims until those funds are exhausted. It is only at this point that Honeywell’s funding obligation to the Trust is triggered. Thus, there is an unrelated primary source for funding that affects Honeywell’s funding of the NARCO Trust Liability.</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Once operational, the NARCO Trust began to receive, process and pay claims that had been previously stayed pending the Trust becoming operational. As the NARCO Trust began to pay claims in 2014, we began to assert our on-going audit rights to review and monitor the claims processor’s adherence to the established requirements of the NARCO Trust Distribution Procedures. While doing so, we identified several issues with the way the Trust was implementing the NARCO Trust Distribution Procedures. In 2015, Honeywell filed suit against the NARCO Trust in Bankruptcy Court alleging breach of certain provisions of the NARCO Trust Agreement and NARCO Trust Distribution Procedures. The parties agreed to dismiss the proceeding without prejudice pursuant to an 18-month Standstill Agreement, which expired in October 2017. Notwithstanding its expiration, claims processing continues, and Honeywell continues to negotiate and attempt to resolve remaining disputed issues (that is, instances where Honeywell believes the NARCO Trust is not processing claims in accordance with established NARCO Trust Distribution Procedures). Honeywell reserves the right to seek judicial intervention should negotiations fail.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the NARCO Trust became effective in 2013, the $743 million NARCO Trust Liability was then comprised of:</w:t>
      </w:r>
    </w:p>
    <w:p>
      <w:pPr>
        <w:spacing w:after="0" w:line="225" w:lineRule="exact"/>
        <w:rPr>
          <w:sz w:val="20"/>
          <w:szCs w:val="20"/>
          <w:color w:val="auto"/>
        </w:rPr>
      </w:pPr>
    </w:p>
    <w:p>
      <w:pPr>
        <w:ind w:left="840" w:hanging="333"/>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liability for unasserted claims; and</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liability for claims asserted after the NARCO Trust became operational but not yet paid.</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know the number of claims filed with the NARCO Trust each year, we are not able to determine at this time the portion of the NARCO Trust Liability which represents asserted versus unasserted claims due to the lack of sufficiently reliable claims data because of the claims processing issues described previously.</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 continues to maintain the 2006 NARCO Trust Liability Estimate (the $743 million accrual less payments made by Honeywell to the NARCO Trust for Annual Contribution Claims), as there has not been sufficiently reliable claims data history to enable the Company to update that liability.</w:t>
      </w:r>
    </w:p>
    <w:p>
      <w:pPr>
        <w:spacing w:after="0" w:line="20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As of December 31, 2019, all cash dividends paid to the NARCO Trust by HWI had been used to pay Annual Contribution Claims. In the first quarter of 2020, Honeywell funded $18 million to the NARCO Trust for the payment of Annual Contribution Claims.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of March 31, 2020, the Company's total NARCO asbestos liability of $844 million reflects Pre-bankruptcy NARCO Liability of $148 million and NARCO Trust Liability of $ 696 million (the $743 million accrual for the 2006 NARCO Trust Liability Estimate was reduced by $47 million of payments by Honeywell to the NARCO Trust for Annual Contribution Claims since HWI cash dividend funding had been fully exhausted in the fourth quarter of 2019 and there have been no further dividends from HWI). Through March 31, 2020, Pre-bankruptcy NARCO Liability has been reduced by approximately $2 billion since first established in 2002, largely related to settlement payments. The remaining Pre-bankruptcy NARCO Liability principally represents estimated amounts owed pursuant to settlement agreements reached during the pendency of the NARCO bankruptcy proceedings that provide for the right to submit claims to the NARCO Trust subject to qualification under the terms of the settlement agreements and Trust Distribution Procedures. The other NARCO bankruptcy related obligations were paid in 2013 and no further liability is recorded.</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Honeywell continues to evaluate the appropriateness of the 2006 NARCO Trust Liability Estimate. Despite becoming effective in 2013, the NARCO Trust has experienced delays in becoming fully operational. Violations of the Trust Distribution Procedures and the resulting disputes and challenges, a standstill pending dispute resolution, and limited claims payments, have all contributed to the lack of sufficient normalized data based on actual claims processing experience in the Trust since it became operational. As a result, we have not been able to further update the NARCO Trust Liability aside from deducting Honeywell payments to the NARCO Trust for Annual Contribution Claims. The 2006 NARCO Trust Liability Estimate continues to be appropriate because of the unresolved pending claims in the Trust, some portion of which will result in payouts in the future, and because new claims continue to be filed with the NARCO Trust. When sufficiently reliable claims data exists, we will update our estimate of the NARCO Trust Liability and it is possible that a material change may need to be recognized.</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insurance receivable of $275 million as of March 31, 2020, corresponding to the estimated liability for asserted and unasserted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—Bendix manufactured automotive brake linings that contained chrysotile asbestos in an encapsulated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Claimants consist largely of 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c>
          <w:tcPr>
            <w:tcW w:w="2040" w:type="dxa"/>
            <w:vAlign w:val="bottom"/>
            <w:gridSpan w:val="3"/>
          </w:tcPr>
          <w:p>
            <w:pPr>
              <w:jc w:val="center"/>
              <w:ind w:left="898"/>
              <w:spacing w:after="0"/>
              <w:rPr>
                <w:sz w:val="20"/>
                <w:szCs w:val="20"/>
                <w:color w:val="auto"/>
              </w:rPr>
            </w:pPr>
            <w:r>
              <w:rPr>
                <w:rFonts w:ascii="Arial" w:cs="Arial" w:eastAsia="Arial" w:hAnsi="Arial"/>
                <w:sz w:val="14"/>
                <w:szCs w:val="14"/>
                <w:b w:val="1"/>
                <w:bCs w:val="1"/>
                <w:color w:val="auto"/>
              </w:rPr>
              <w:t>Years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7"/>
                <w:szCs w:val="17"/>
                <w:color w:val="auto"/>
              </w:rPr>
            </w:pPr>
          </w:p>
        </w:tc>
        <w:tc>
          <w:tcPr>
            <w:tcW w:w="2040" w:type="dxa"/>
            <w:vAlign w:val="bottom"/>
            <w:tcBorders>
              <w:bottom w:val="single" w:sz="8" w:color="auto"/>
            </w:tcBorders>
            <w:gridSpan w:val="3"/>
          </w:tcPr>
          <w:p>
            <w:pPr>
              <w:jc w:val="center"/>
              <w:ind w:left="89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5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Claims Activity</w:t>
            </w:r>
          </w:p>
        </w:tc>
        <w:tc>
          <w:tcPr>
            <w:tcW w:w="3500" w:type="dxa"/>
            <w:vAlign w:val="bottom"/>
            <w:gridSpan w:val="2"/>
          </w:tcPr>
          <w:p>
            <w:pPr>
              <w:jc w:val="center"/>
              <w:ind w:left="19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1440" w:type="dxa"/>
            <w:vAlign w:val="bottom"/>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Claims unresolved at the beginning of period</w:t>
            </w:r>
          </w:p>
        </w:tc>
        <w:tc>
          <w:tcPr>
            <w:tcW w:w="3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6,480</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6,209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Claims filed</w:t>
            </w:r>
          </w:p>
        </w:tc>
        <w:tc>
          <w:tcPr>
            <w:tcW w:w="3500" w:type="dxa"/>
            <w:vAlign w:val="bottom"/>
            <w:gridSpan w:val="2"/>
          </w:tcPr>
          <w:p>
            <w:pPr>
              <w:jc w:val="right"/>
              <w:ind w:right="41"/>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2"/>
                <w:szCs w:val="22"/>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Claims resolved</w:t>
            </w:r>
          </w:p>
        </w:tc>
        <w:tc>
          <w:tcPr>
            <w:tcW w:w="20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Claims unresolved at the end of period</w:t>
            </w:r>
          </w:p>
        </w:tc>
        <w:tc>
          <w:tcPr>
            <w:tcW w:w="2020" w:type="dxa"/>
            <w:vAlign w:val="bottom"/>
          </w:tcPr>
          <w:p>
            <w:pPr>
              <w:spacing w:after="0"/>
              <w:rPr>
                <w:sz w:val="22"/>
                <w:szCs w:val="22"/>
                <w:color w:val="auto"/>
              </w:rPr>
            </w:pP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6,281</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Disease Distribution of Unresolved Claims</w:t>
            </w:r>
          </w:p>
        </w:tc>
        <w:tc>
          <w:tcPr>
            <w:tcW w:w="2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40" w:type="dxa"/>
            <w:vAlign w:val="bottom"/>
          </w:tcPr>
          <w:p>
            <w:pPr>
              <w:spacing w:after="0"/>
              <w:rPr>
                <w:sz w:val="24"/>
                <w:szCs w:val="24"/>
                <w:color w:val="auto"/>
              </w:rPr>
            </w:pPr>
          </w:p>
        </w:tc>
        <w:tc>
          <w:tcPr>
            <w:tcW w:w="4560" w:type="dxa"/>
            <w:vAlign w:val="bottom"/>
            <w:gridSpan w:val="3"/>
            <w:vMerge w:val="continue"/>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2040" w:type="dxa"/>
            <w:vAlign w:val="bottom"/>
            <w:gridSpan w:val="3"/>
          </w:tcPr>
          <w:p>
            <w:pPr>
              <w:jc w:val="center"/>
              <w:ind w:left="89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Mesothelioma and other cancer claims</w:t>
            </w:r>
          </w:p>
        </w:tc>
        <w:tc>
          <w:tcPr>
            <w:tcW w:w="3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3,221</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Nonmalignant claims</w:t>
            </w:r>
          </w:p>
        </w:tc>
        <w:tc>
          <w:tcPr>
            <w:tcW w:w="20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3,060</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claims</w:t>
            </w:r>
          </w:p>
        </w:tc>
        <w:tc>
          <w:tcPr>
            <w:tcW w:w="3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6,281</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6,480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813"/>
              <w:spacing w:after="0"/>
              <w:rPr>
                <w:sz w:val="20"/>
                <w:szCs w:val="20"/>
                <w:color w:val="auto"/>
              </w:rPr>
            </w:pPr>
            <w:r>
              <w:rPr>
                <w:rFonts w:ascii="Arial" w:cs="Arial" w:eastAsia="Arial" w:hAnsi="Arial"/>
                <w:sz w:val="18"/>
                <w:szCs w:val="18"/>
                <w:color w:val="auto"/>
              </w:rPr>
              <w:t>26</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3"/>
        </w:trPr>
        <w:tc>
          <w:tcPr>
            <w:tcW w:w="5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09"/>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Malignant claims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50,200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55,300</w:t>
            </w:r>
          </w:p>
        </w:tc>
        <w:tc>
          <w:tcPr>
            <w:tcW w:w="3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56,000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44,000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44,000</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Nonmalignant claims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3,900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4,700</w:t>
            </w:r>
          </w:p>
        </w:tc>
        <w:tc>
          <w:tcPr>
            <w:tcW w:w="3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6"/>
              <w:spacing w:after="0"/>
              <w:rPr>
                <w:sz w:val="20"/>
                <w:szCs w:val="20"/>
                <w:color w:val="auto"/>
              </w:rPr>
            </w:pPr>
            <w:r>
              <w:rPr>
                <w:rFonts w:ascii="Arial" w:cs="Arial" w:eastAsia="Arial" w:hAnsi="Arial"/>
                <w:sz w:val="18"/>
                <w:szCs w:val="18"/>
                <w:color w:val="auto"/>
              </w:rPr>
              <w:t>2,800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4,485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Consolidated Financial Statements reflect an estimated liability for resolution of asserted (claims filed as of the financial statement date) and unasserted Bendix-related asbestos claims and excludes the Company’s legal fees to defend such asbestos claims which will continue to be expensed by the Company as they are incurred. We have valued Bendix asserted and unasserted claims using average resolution values for the previous five years. We update the resolution values used to estimate the cost of Bendix asserted and unasserted claims during the fourth quarter each year.</w:t>
      </w:r>
    </w:p>
    <w:p>
      <w:pPr>
        <w:spacing w:after="0" w:line="3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conjunction with the Garrett Motion, Inc. ("Garrett") spin-off, the Company entered into an indemnification and reimbursement agreement with a Garrett subsidiary, pursuant to which Garrett’s subsidiary will have an obligation to make cash payments to Honeywell in amounts equal to (i) 90% of Honeywell’s asbestos-related liability payments primarily related to the Bendix business in the United States, as well as certain environmental-related liability payments and accounts payable and non-United States asbestos-related liability payments, in each case related to legacy elements of the Garrett business, including the legal costs of defending and resolving such liabilities, less (ii) 90% of Honeywell’s net insurance receipts and, as may be applicable, certain other recoveries associated with such liabilities. The amount payable to Honeywell in respect of such liabilities arising in any given year will be subject to a cap of approximately Euro 150 million (equivalent to $175 million at the time the indemnification and reimbursement agreement was entered into). The obligation will continue until the earlier of December 31, 2048, or December 31 of the third consecutive year during which the annual obligation has been less than the Euro equivalent, at the fixed exchange rate at time of the indemnification and reimbursement agreement was entered into, of $25 million. Reimbursements associated with this agreement were $36 million for the three months ended March 31, 2020 and offset operating cash outflows incurred by the Company. The Company agreed to extend the payment due date from May 1, 2020 to May 31, 2020 for the next reimbursement amount of $2 million while also agreeing to extend the payment due date from April 1, 2020 to May 31, 2020 for the mandatory transition tax reimbursement of $18 million owed by Garrett to the Company under the tax matters agreement that the parties executed in connection with the spin-off. As the Company records the accruals for matters covered by the agreement, a corresponding receivable from Garrett is recorded for 90 percent of that accrual as determined by the terms of the agreement. This receivable amount recorded was $13 million in the three months ended March 31, 2020. As of March 31, 2020, Other Current Assets and Other Assets includes $112 million and $ 901 million representing the short-term and long-term portion of the receivable amount due from Garrett under the indemnification and reimbursement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December 2, 2019, Garrett Motion Inc. and Garrett ASASCO Inc. filed a Summons with Notice and commenced a lawsuit in the Commercial Division of the Supreme Court of the State of New York, County of New York seeking to invalidate the indemnification and reimbursement agreement between Garrett and Honeywell. Garrett seeks damages and a declaratory judgment based on various claims set forth in the Summons with Notice. On January 15, 2020, Garrett filed its complaint in the action, which asserted the same claims, and on March 5, 2020, we filed a Motion to Dismiss. We strongly believe that Garrett's allegations have no merit, nor are they material to Honeywell. We believe we have fully complied with our obligations under the Agreement and that the Agreement is enforceable.</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31, 2018, David Kanefsky, a Honeywell shareholder, filed a putative class action complaint in the U.S. District Court for the District of New Jersey alleging violations of the Securities Exchange Act of 1934 and Rule 10b-5 related to the prior accounting for Bendix asbestos claims. An Amended Complaint was filed on December 30, 2019, and on February 7, 2020, we filed a Motion to Dismiss. We believe the claims have no merit.</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is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(Plaintiffs) filed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suit in the 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March 29, 2018, the District Court issued its opinion resolving all pending summary judgment motions, except for Honeywell’s counterclaim for breach of implied warranty, which has since been dismissed without prejudice.</w:t>
      </w:r>
    </w:p>
    <w:p>
      <w:pPr>
        <w:spacing w:after="0" w:line="1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opinion, the District Court held that the MCBAs do not promise retirees vested, lifetime benefits that survive expiration of the MCBAs. Based on this ruling, Honeywell terminated the retirees healthcare coverage benefits altogether as of July 31, 2018. In response, the UAW filed a motion to enjoin Honeywell from completely terminating coverage as of July 31, 2018, arguing that the CAPS themselves are vested and that Honeywell must continue to provide retiree medical benefits at the capped level. On July 28, 2018, the District Court denied the UAW’s motion and entered a final judgment consistent with its March 2018 ruling. The UAW appealed this decision to the Sixth Circuit Court of Appeals.</w:t>
      </w:r>
    </w:p>
    <w:p>
      <w:pPr>
        <w:spacing w:after="0" w:line="2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March 2018 opinion,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three-year period ending when the 2017 MCBA expired, and Honeywell would have no ongoing obligation to continue funding healthcare coverage for subsequent periods. Honeywell appealed the District Court’s ruling on this “full premium” damages issue.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3, 2020, the Sixth Circuit Court of Appeals issued an opinion ruling for Honeywell in all respects. The Court of Appeals affirmed the District Court's ruling that the MCBAs do not promise retirees vested, lifetime benefits that survive expiration of the MCBAs. In addition, the Court of Appeals reversed the District Court's ruling that Honeywell was obligated under the MCBAs to pay the "full premium" for retiree healthcare, rather than the capped amount. As a result of these rulings, Honeywell is not required to pay any monetary damages to the Plaintiffs.</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Plaintiffs have the option to seek rehearing </w:t>
      </w:r>
      <w:r>
        <w:rPr>
          <w:rFonts w:ascii="Arial" w:cs="Arial" w:eastAsia="Arial" w:hAnsi="Arial"/>
          <w:sz w:val="18"/>
          <w:szCs w:val="18"/>
          <w:i w:val="1"/>
          <w:iCs w:val="1"/>
          <w:color w:val="auto"/>
        </w:rPr>
        <w:t>en banc</w:t>
      </w:r>
      <w:r>
        <w:rPr>
          <w:rFonts w:ascii="Arial" w:cs="Arial" w:eastAsia="Arial" w:hAnsi="Arial"/>
          <w:sz w:val="18"/>
          <w:szCs w:val="18"/>
          <w:color w:val="auto"/>
        </w:rPr>
        <w:t xml:space="preserve"> and file a petition for certiorari with the Supreme Court of the United States, but it is unknown at this time whether they will do so. If plaintiffs choose to make those filings, Honeywell does not believe they will be successful.</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Petrobras and Unaoil</w:t>
      </w:r>
      <w:r>
        <w:rPr>
          <w:rFonts w:ascii="Arial" w:cs="Arial" w:eastAsia="Arial" w:hAnsi="Arial"/>
          <w:sz w:val="18"/>
          <w:szCs w:val="18"/>
          <w:color w:val="auto"/>
        </w:rPr>
        <w:t>—We are cooperating with certain investigations by the U.S. Department of Justice (DOJ), the SEC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Brazilian authorities relating to our use of third parties who previously worked for our UOP business in Brazil in relation to Petróleo Brasileiro S.A. (Petrobras). The investigations are focused on compliance with the U.S. Foreign Corrupt Practices Act and similar Brazilian laws, and involve, among other things, document production and interviews with former and current management and employees. The DOJ and the SEC are also examining a matter involving a foreign subsidiary’s prior engagement of Unaoil S.A.M. in Algeria. We are cooperating with the authorities in each of the above matters. While we cannot predict the outcome of these matters, based on the facts currently known to us, we do not anticipate that these matters will have a material adverse effect on our financial condition, results of operations, or cash flows.</w:t>
      </w:r>
    </w:p>
    <w:p>
      <w:pPr>
        <w:spacing w:after="0" w:line="2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In re Resideo Technologies, Inc. Securities Litigation</w:t>
      </w:r>
      <w:r>
        <w:rPr>
          <w:rFonts w:ascii="Arial" w:cs="Arial" w:eastAsia="Arial" w:hAnsi="Arial"/>
          <w:sz w:val="18"/>
          <w:szCs w:val="18"/>
          <w:color w:val="auto"/>
        </w:rPr>
        <w:t>—On January 7, 2020, The Gabelli Asset Fund and certain related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filed a putative class action complaint against Resideo and Honeywell in the U.S. District Court for the District of Minnesota alleging violations of the Securities Exchange Act of 1934 and Rule 10b-5 related to Resideo's spinoff from Honeywell in October 2018. On January 27, 2020, this putative class action was consolidated with certain previously-filed actions asserting claims relating to substantially the same matters into a single class action under the title In re Resideo Technologies, Inc. Securities Litigation. We believe the allegations against Honeywell regarding the Resideo spinoff have no merit. On April 10, 2020, the plaintiffs filed an Amended Consolidated Class Action Complaint and did not name Honeywell. Accordingly, Honeywell is no longer party to this matter. However, it is possible that Honeywell could be named as a defendant in the future.</w:t>
      </w:r>
    </w:p>
    <w:p>
      <w:pPr>
        <w:spacing w:after="0" w:line="3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8" w:right="339" w:bottom="1440" w:gutter="0" w:footer="0" w:header="0"/>
        </w:sectPr>
      </w:pPr>
    </w:p>
    <w:bookmarkStart w:id="30" w:name="page31"/>
    <w:bookmarkEnd w:id="30"/>
    <w:tbl>
      <w:tblPr>
        <w:tblLayout w:type="fixed"/>
        <w:tblInd w:w="40" w:type="dxa"/>
        <w:tblCellMar>
          <w:top w:w="0" w:type="dxa"/>
          <w:left w:w="0" w:type="dxa"/>
          <w:bottom w:w="0" w:type="dxa"/>
          <w:right w:w="0" w:type="dxa"/>
        </w:tblCellMar>
      </w:tblPr>
      <w:tr>
        <w:trPr>
          <w:trHeight w:val="239"/>
        </w:trPr>
        <w:tc>
          <w:tcPr>
            <w:tcW w:w="37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216"/>
        </w:trPr>
        <w:tc>
          <w:tcPr>
            <w:tcW w:w="3760" w:type="dxa"/>
            <w:vAlign w:val="bottom"/>
          </w:tcPr>
          <w:p>
            <w:pPr>
              <w:spacing w:after="0"/>
              <w:rPr>
                <w:sz w:val="18"/>
                <w:szCs w:val="18"/>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FINANCIAL CONDITION AND RESULTS OF OPERATIONS</w:t>
            </w:r>
          </w:p>
        </w:tc>
      </w:tr>
      <w:tr>
        <w:trPr>
          <w:trHeight w:val="277"/>
        </w:trPr>
        <w:tc>
          <w:tcPr>
            <w:tcW w:w="376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Management Discussion and Analysis is intended to help the reader understand the results of operations and financial condition of Honeywell International Inc. and its consolidated subsidiaries (“Honeywell” or “the Company”) for the three months ended March 31, 2020. The financial information as of March 31, 2020 should be read in conjunction with the Consolidated Financial Statements for the year ended December 31, 2019 contained in our 2019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UPDATE</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markets around the world continue to experience significant volatility due to the COVID-19 pandemic. We are actively managing our businesses to respond to its impacts. We cannot reasonably estimate the duration and severity of this pandemic, which could have a material adverse impact on our business, result of operations, financial position and cash flows. See Item Part II, 1A Risk Factors for discussion of risks related to the COVID-19 pandemic.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Health, Safety, and Economic Wellness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monitor the COVID-19 situation and its impacts globally. We are prioritizing the health and safety of our employees. Out of an abundance of caution for the health of our employees and to support local government initiatives to stem the spread of the virus, we implemented several precautions at various sites around the world at all times in compliance with local government requirements and Centers for Disease Control and Prevention ("CDC") guidelines. These include, but are not limited to:</w:t>
      </w:r>
    </w:p>
    <w:p>
      <w:pPr>
        <w:spacing w:after="0" w:line="20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visitor site access to business-essential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Introducing screening checks at certain sites where permissible or mandated;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Enabling employees to work from home wherever and whenever required or possible;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Continuously updating travel guidance, according to latest developments;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Complying with all local health authority guidance or regulations and our own protocols, including requesting employees to comply with self-quarantine requirements whenever advisable;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Reimbursing employees for COVID-19 testing and out-of-pocket treatment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Commitment to Public Health</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produce critical worker safety gear such as face masks, gloves, goggles, safety suits, and protective footwear. We play an essential role in the health and well-being of people and economies, and our customers and communities are depending on us more than ever to deliver for them. We are committed to supporting the safety of our employees, customers and fellow citizens around the world.</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investing in new production facilities and continue to expand existing facilities to increase production of essential Personal Protective Equipment ("PPE") products. We will bring these products to market as quickly as possible. We are committed to healthcare professionals, first responders, distributors and other stakeholders in an effort to ensure our PPE products are being placed quickly and cost-effectively in the hands of those most in need.</w:t>
      </w:r>
    </w:p>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announced our new capacity in the U.S. to make N95 masks, with production lines being added in Rhode Island and Arizona that will collectively produce 20 million masks each month to support health, safety, and response workers globally.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communicated the following principles to our authorized distributor network:</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 that, at a minimum, all of our partners will comply with all applicable laws prohibiting price gouging and apply appropriate diligence to the greatest extent possible to understand how our products are being purchased so that they are placed quickly and cost-effectively in the hands of those most in need - including first responders and medical professionals.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927" w:right="339" w:bottom="1440" w:gutter="0" w:footer="0" w:header="0"/>
        </w:sectPr>
      </w:pPr>
    </w:p>
    <w:bookmarkStart w:id="31" w:name="page32"/>
    <w:bookmarkEnd w:id="31"/>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While we do not control the prices that third parties set, we expect our partners to fairly price PPE used in the COVID-19 response effort.</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find that one of our partners is not upholding the letter or spirit of these principles, we reserve the right not to fulfill that partner’s orders and terminate our relationship with that party.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Plant Productivity and Safety</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provide essential services and produce essential goods around the world. We employ standards such as screening checks, use of masks, face coverings and other safety equipment and social distancing practices along production lines in many of our production facilities at all times in compliance with local government requirements and CDC guidelines. We take appropriate actions including disinfecting and quarantine procedures when a suspected COVID-19 case is identified.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 and Suppliers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Current global economic conditions due to COVID-19 may adversely affect our customers’ or suppliers’ ability to operate or obtain financing, particularly in our airline, oil &amp; gas, and automotive end markets. Customer or supplier bankruptcies, delays in their ability to obtain financing, or the unavailability of financing could adversely affect our cash flow or results of operations. We continue to actively monitor both supplier and customer financial health and take measures to manage our supply chain disruptions and limit our exposure.</w:t>
      </w:r>
    </w:p>
    <w:p>
      <w:pPr>
        <w:spacing w:after="0" w:line="344" w:lineRule="exact"/>
        <w:rPr>
          <w:sz w:val="20"/>
          <w:szCs w:val="20"/>
          <w:color w:val="auto"/>
        </w:rPr>
      </w:pPr>
    </w:p>
    <w:p>
      <w:pPr>
        <w:ind w:left="380" w:hanging="345"/>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of Operations – three months ended March 31, 2020 compared with the three months ended March 31,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56"/>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8,463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8,884</w:t>
            </w:r>
          </w:p>
        </w:tc>
      </w:tr>
      <w:tr>
        <w:trPr>
          <w:trHeight w:val="257"/>
        </w:trPr>
        <w:tc>
          <w:tcPr>
            <w:tcW w:w="8260" w:type="dxa"/>
            <w:vAlign w:val="bottom"/>
          </w:tcPr>
          <w:p>
            <w:pPr>
              <w:ind w:left="40"/>
              <w:spacing w:after="0"/>
              <w:rPr>
                <w:sz w:val="20"/>
                <w:szCs w:val="20"/>
                <w:color w:val="auto"/>
              </w:rPr>
            </w:pPr>
            <w:r>
              <w:rPr>
                <w:rFonts w:ascii="Arial" w:cs="Arial" w:eastAsia="Arial" w:hAnsi="Arial"/>
                <w:sz w:val="18"/>
                <w:szCs w:val="18"/>
                <w:color w:val="auto"/>
              </w:rPr>
              <w:t>% change compared with prior period</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45"/>
        </w:trPr>
        <w:tc>
          <w:tcPr>
            <w:tcW w:w="8260" w:type="dxa"/>
            <w:vAlign w:val="bottom"/>
          </w:tcPr>
          <w:p>
            <w:pPr>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5"/>
        </w:trPr>
        <w:tc>
          <w:tcPr>
            <w:tcW w:w="82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Three Months</w:t>
            </w:r>
          </w:p>
        </w:tc>
      </w:tr>
      <w:tr>
        <w:trPr>
          <w:trHeight w:val="256"/>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8260" w:type="dxa"/>
            <w:vAlign w:val="bottom"/>
          </w:tcPr>
          <w:p>
            <w:pPr>
              <w:ind w:left="40"/>
              <w:spacing w:after="0"/>
              <w:rPr>
                <w:sz w:val="20"/>
                <w:szCs w:val="20"/>
                <w:color w:val="auto"/>
              </w:rPr>
            </w:pPr>
            <w:r>
              <w:rPr>
                <w:rFonts w:ascii="Arial" w:cs="Arial" w:eastAsia="Arial" w:hAnsi="Arial"/>
                <w:sz w:val="18"/>
                <w:szCs w:val="18"/>
                <w:color w:val="auto"/>
              </w:rPr>
              <w:t>Price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63"/>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Acquisitions/Divestitures</w:t>
            </w:r>
          </w:p>
        </w:tc>
        <w:tc>
          <w:tcPr>
            <w:tcW w:w="3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8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Management Discussion and Analysis.</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unfavorable volume impact is driven by lower sales in certain products across our businesses, partially due to the impacts of COVID-19. The unfavorable impact of foreign currency translation in the quarter is driven by the strengthening of the U.S. Dollar against the currencies of the majority of our international markets, primarily the Euro, Chinese Renminbi, Australian Dollar and British Pound.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787" w:right="33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Cost of Products and Services Sold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5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products and services sold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5,879</w:t>
            </w:r>
          </w:p>
        </w:tc>
      </w:tr>
      <w:tr>
        <w:trPr>
          <w:trHeight w:val="263"/>
        </w:trPr>
        <w:tc>
          <w:tcPr>
            <w:tcW w:w="8200" w:type="dxa"/>
            <w:vAlign w:val="bottom"/>
          </w:tcPr>
          <w:p>
            <w:pPr>
              <w:ind w:left="40"/>
              <w:spacing w:after="0"/>
              <w:rPr>
                <w:sz w:val="20"/>
                <w:szCs w:val="20"/>
                <w:color w:val="auto"/>
              </w:rPr>
            </w:pPr>
            <w:r>
              <w:rPr>
                <w:rFonts w:ascii="Arial" w:cs="Arial" w:eastAsia="Arial" w:hAnsi="Arial"/>
                <w:sz w:val="18"/>
                <w:szCs w:val="18"/>
                <w:color w:val="auto"/>
              </w:rPr>
              <w:t>% change compared with prior period</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percentage</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bl>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Cost of products and services sold decreased in the quarter primarily due to lower direct and indirect material costs of approximately $130 million and $80 million and lower labor costs of approximately $100 million (primarily driven by lower sales volumes).</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Gross margin percentage increased in the quarter primarily due to higher Aerospace and Honeywell Building Technologies segment gross margins, and due to the lower costs within cost of products and services sold for repositioning and other charges.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56"/>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1,363</w:t>
            </w:r>
          </w:p>
        </w:tc>
      </w:tr>
      <w:tr>
        <w:trPr>
          <w:trHeight w:val="257"/>
        </w:trPr>
        <w:tc>
          <w:tcPr>
            <w:tcW w:w="8260" w:type="dxa"/>
            <w:vAlign w:val="bottom"/>
          </w:tcPr>
          <w:p>
            <w:pPr>
              <w:ind w:left="40"/>
              <w:spacing w:after="0"/>
              <w:rPr>
                <w:sz w:val="20"/>
                <w:szCs w:val="20"/>
                <w:color w:val="auto"/>
              </w:rPr>
            </w:pPr>
            <w:r>
              <w:rPr>
                <w:rFonts w:ascii="Arial" w:cs="Arial" w:eastAsia="Arial" w:hAnsi="Arial"/>
                <w:sz w:val="18"/>
                <w:szCs w:val="18"/>
                <w:color w:val="auto"/>
              </w:rPr>
              <w:t>% of sales</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r>
    </w:tbl>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Selling, general and administrative expenses decreased $125 million in the quarter primarily due to productivity, partially offset by labor inflation.</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(Income) Expense</w:t>
      </w:r>
    </w:p>
    <w:p>
      <w:pPr>
        <w:spacing w:after="0" w:line="59"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26035</wp:posOffset>
            </wp:positionV>
            <wp:extent cx="1800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03" w:lineRule="exact"/>
        <w:rPr>
          <w:sz w:val="20"/>
          <w:szCs w:val="20"/>
          <w:color w:val="auto"/>
        </w:rPr>
      </w:pPr>
    </w:p>
    <w:p>
      <w:pPr>
        <w:ind w:left="8920"/>
        <w:spacing w:after="0"/>
        <w:tabs>
          <w:tab w:leader="none" w:pos="103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8420" w:val="left"/>
          <w:tab w:leader="none" w:pos="9280" w:val="left"/>
          <w:tab w:leader="none" w:pos="9880" w:val="left"/>
          <w:tab w:leader="none" w:pos="10760" w:val="left"/>
        </w:tabs>
        <w:rPr>
          <w:sz w:val="20"/>
          <w:szCs w:val="20"/>
          <w:color w:val="auto"/>
        </w:rPr>
      </w:pPr>
      <w:r>
        <w:rPr>
          <w:rFonts w:ascii="Arial" w:cs="Arial" w:eastAsia="Arial" w:hAnsi="Arial"/>
          <w:sz w:val="18"/>
          <w:szCs w:val="18"/>
          <w:color w:val="auto"/>
        </w:rPr>
        <w:t>Other (income)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(317)</w:t>
        <w:tab/>
        <w:t>$</w:t>
      </w:r>
      <w:r>
        <w:rPr>
          <w:sz w:val="20"/>
          <w:szCs w:val="20"/>
          <w:color w:val="auto"/>
        </w:rPr>
        <w:tab/>
      </w:r>
      <w:r>
        <w:rPr>
          <w:rFonts w:ascii="Arial" w:cs="Arial" w:eastAsia="Arial" w:hAnsi="Arial"/>
          <w:sz w:val="17"/>
          <w:szCs w:val="17"/>
          <w:color w:val="auto"/>
        </w:rPr>
        <w:t>(285)</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increased for the quarter primarily due to higher pension non-service income partially offset by lower interest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 (Benefit)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4"/>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60"/>
        </w:trPr>
        <w:tc>
          <w:tcPr>
            <w:tcW w:w="82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 (benefit)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57"/>
        </w:trPr>
        <w:tc>
          <w:tcPr>
            <w:tcW w:w="82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effective tax rate decreased for the quarter ended March 31, 2020 compared to the quarter ended March 31, 2019 as a result of tax law changes in India and the resolution of certain U.S. tax matters, partially offset by decreased tax benefits for employee share-based compensation.</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effective tax rate for the quarter ended March 31, 2020 was lower than the U.S. federal statutory rate of 21% primarily from foreign earnings taxed at lower foreign tax rates, tax law changes in India and the resolution of certain U.S. tax matters, partially offset by incremental tax reserves and state taxes.</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effective tax rate for the quarter ended March 31, 2019 was higher than the U.S. federal statutory rate of 21% primarily due to incremental tax reserves and state taxes, partially offset by foreign earnings taxed at lower foreign tax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9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8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60"/>
        </w:trPr>
        <w:tc>
          <w:tcPr>
            <w:tcW w:w="84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Earnings per share of common stock – assuming dilution</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Earnings per share of common stock – assuming dilution increased in the quarter primarily driven by lower income tax expense, higher segment profit, the favorable impact of lower share count, and higher pension ongoing income.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Review of Business Segments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6"/>
          </w:tcPr>
          <w:p>
            <w:pPr>
              <w:jc w:val="right"/>
              <w:ind w:right="7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5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4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Aerospace sales</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4940" w:type="dxa"/>
            <w:vAlign w:val="bottom"/>
            <w:gridSpan w:val="5"/>
          </w:tcPr>
          <w:p>
            <w:pPr>
              <w:ind w:left="140"/>
              <w:spacing w:after="0"/>
              <w:rPr>
                <w:sz w:val="20"/>
                <w:szCs w:val="20"/>
                <w:color w:val="auto"/>
              </w:rPr>
            </w:pPr>
            <w:r>
              <w:rPr>
                <w:rFonts w:ascii="Arial" w:cs="Arial" w:eastAsia="Arial" w:hAnsi="Arial"/>
                <w:sz w:val="18"/>
                <w:szCs w:val="18"/>
                <w:color w:val="auto"/>
              </w:rPr>
              <w:t>Commercial Aviation Original Equipment</w:t>
            </w: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759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9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Commercial Aviation Aftermarket</w:t>
            </w:r>
          </w:p>
        </w:tc>
        <w:tc>
          <w:tcPr>
            <w:tcW w:w="2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4940" w:type="dxa"/>
            <w:vAlign w:val="bottom"/>
            <w:tcBorders>
              <w:bottom w:val="single" w:sz="8" w:color="CCEEFF"/>
            </w:tcBorders>
            <w:gridSpan w:val="5"/>
          </w:tcPr>
          <w:p>
            <w:pPr>
              <w:ind w:left="140"/>
              <w:spacing w:after="0"/>
              <w:rPr>
                <w:sz w:val="20"/>
                <w:szCs w:val="20"/>
                <w:color w:val="auto"/>
              </w:rPr>
            </w:pPr>
            <w:r>
              <w:rPr>
                <w:rFonts w:ascii="Arial" w:cs="Arial" w:eastAsia="Arial" w:hAnsi="Arial"/>
                <w:sz w:val="18"/>
                <w:szCs w:val="18"/>
                <w:color w:val="auto"/>
              </w:rPr>
              <w:t>Defense and Space</w:t>
            </w:r>
          </w:p>
        </w:tc>
        <w:tc>
          <w:tcPr>
            <w:tcW w:w="2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Total Aerospace sales</w:t>
            </w:r>
          </w:p>
        </w:tc>
        <w:tc>
          <w:tcPr>
            <w:tcW w:w="2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3,341</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40" w:type="dxa"/>
            <w:vAlign w:val="bottom"/>
            <w:gridSpan w:val="5"/>
          </w:tcPr>
          <w:p>
            <w:pPr>
              <w:spacing w:after="0"/>
              <w:rPr>
                <w:sz w:val="20"/>
                <w:szCs w:val="20"/>
                <w:color w:val="auto"/>
              </w:rPr>
            </w:pPr>
            <w:r>
              <w:rPr>
                <w:rFonts w:ascii="Arial" w:cs="Arial" w:eastAsia="Arial" w:hAnsi="Arial"/>
                <w:sz w:val="18"/>
                <w:szCs w:val="18"/>
                <w:color w:val="auto"/>
              </w:rPr>
              <w:t>Honeywell Building Technologies sales</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49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Buildings</w:t>
            </w:r>
          </w:p>
        </w:tc>
        <w:tc>
          <w:tcPr>
            <w:tcW w:w="25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940" w:type="dxa"/>
            <w:vAlign w:val="bottom"/>
            <w:gridSpan w:val="5"/>
          </w:tcPr>
          <w:p>
            <w:pPr>
              <w:ind w:left="240"/>
              <w:spacing w:after="0"/>
              <w:rPr>
                <w:sz w:val="20"/>
                <w:szCs w:val="20"/>
                <w:color w:val="auto"/>
              </w:rPr>
            </w:pPr>
            <w:r>
              <w:rPr>
                <w:rFonts w:ascii="Arial" w:cs="Arial" w:eastAsia="Arial" w:hAnsi="Arial"/>
                <w:sz w:val="18"/>
                <w:szCs w:val="18"/>
                <w:color w:val="auto"/>
              </w:rPr>
              <w:t>Total Honeywell Building Technologies sales</w:t>
            </w:r>
          </w:p>
        </w:tc>
        <w:tc>
          <w:tcPr>
            <w:tcW w:w="2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Performance Materials and Technologies sales</w:t>
            </w:r>
          </w:p>
        </w:tc>
        <w:tc>
          <w:tcPr>
            <w:tcW w:w="2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Borders>
              <w:top w:val="single" w:sz="8" w:color="CCEEFF"/>
            </w:tcBorders>
          </w:tcPr>
          <w:p>
            <w:pPr>
              <w:spacing w:after="0"/>
              <w:rPr>
                <w:sz w:val="22"/>
                <w:szCs w:val="22"/>
                <w:color w:val="auto"/>
              </w:rPr>
            </w:pPr>
          </w:p>
        </w:tc>
        <w:tc>
          <w:tcPr>
            <w:tcW w:w="372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color w:val="auto"/>
              </w:rPr>
              <w:t>UOP</w:t>
            </w:r>
          </w:p>
        </w:tc>
        <w:tc>
          <w:tcPr>
            <w:tcW w:w="1220" w:type="dxa"/>
            <w:vAlign w:val="bottom"/>
            <w:tcBorders>
              <w:top w:val="single" w:sz="8" w:color="CCEEFF"/>
            </w:tcBorders>
          </w:tcPr>
          <w:p>
            <w:pPr>
              <w:spacing w:after="0"/>
              <w:rPr>
                <w:sz w:val="22"/>
                <w:szCs w:val="22"/>
                <w:color w:val="auto"/>
              </w:rPr>
            </w:pPr>
          </w:p>
        </w:tc>
        <w:tc>
          <w:tcPr>
            <w:tcW w:w="25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594</w:t>
            </w:r>
          </w:p>
        </w:tc>
        <w:tc>
          <w:tcPr>
            <w:tcW w:w="1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610</w:t>
            </w:r>
          </w:p>
        </w:tc>
        <w:tc>
          <w:tcPr>
            <w:tcW w:w="1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9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Process Solutions</w:t>
            </w:r>
          </w:p>
        </w:tc>
        <w:tc>
          <w:tcPr>
            <w:tcW w:w="2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4940" w:type="dxa"/>
            <w:vAlign w:val="bottom"/>
            <w:tcBorders>
              <w:bottom w:val="single" w:sz="8" w:color="CCEEFF"/>
            </w:tcBorders>
            <w:gridSpan w:val="5"/>
          </w:tcPr>
          <w:p>
            <w:pPr>
              <w:ind w:left="140"/>
              <w:spacing w:after="0"/>
              <w:rPr>
                <w:sz w:val="20"/>
                <w:szCs w:val="20"/>
                <w:color w:val="auto"/>
              </w:rPr>
            </w:pPr>
            <w:r>
              <w:rPr>
                <w:rFonts w:ascii="Arial" w:cs="Arial" w:eastAsia="Arial" w:hAnsi="Arial"/>
                <w:sz w:val="18"/>
                <w:szCs w:val="18"/>
                <w:color w:val="auto"/>
              </w:rPr>
              <w:t>Advanced Materials</w:t>
            </w:r>
          </w:p>
        </w:tc>
        <w:tc>
          <w:tcPr>
            <w:tcW w:w="2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Total Performance Materials and Technologies sales</w:t>
            </w:r>
          </w:p>
        </w:tc>
        <w:tc>
          <w:tcPr>
            <w:tcW w:w="2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40" w:type="dxa"/>
            <w:vAlign w:val="bottom"/>
            <w:gridSpan w:val="5"/>
          </w:tcPr>
          <w:p>
            <w:pPr>
              <w:spacing w:after="0"/>
              <w:rPr>
                <w:sz w:val="20"/>
                <w:szCs w:val="20"/>
                <w:color w:val="auto"/>
              </w:rPr>
            </w:pPr>
            <w:r>
              <w:rPr>
                <w:rFonts w:ascii="Arial" w:cs="Arial" w:eastAsia="Arial" w:hAnsi="Arial"/>
                <w:sz w:val="18"/>
                <w:szCs w:val="18"/>
                <w:color w:val="auto"/>
              </w:rPr>
              <w:t>Safety and Productivity Solutions sales</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9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Safety</w:t>
            </w:r>
          </w:p>
        </w:tc>
        <w:tc>
          <w:tcPr>
            <w:tcW w:w="2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4940" w:type="dxa"/>
            <w:vAlign w:val="bottom"/>
            <w:tcBorders>
              <w:bottom w:val="single" w:sz="8" w:color="CCEEFF"/>
            </w:tcBorders>
            <w:gridSpan w:val="5"/>
          </w:tcPr>
          <w:p>
            <w:pPr>
              <w:ind w:left="140"/>
              <w:spacing w:after="0"/>
              <w:rPr>
                <w:sz w:val="20"/>
                <w:szCs w:val="20"/>
                <w:color w:val="auto"/>
              </w:rPr>
            </w:pPr>
            <w:r>
              <w:rPr>
                <w:rFonts w:ascii="Arial" w:cs="Arial" w:eastAsia="Arial" w:hAnsi="Arial"/>
                <w:sz w:val="18"/>
                <w:szCs w:val="18"/>
                <w:color w:val="auto"/>
              </w:rPr>
              <w:t>Productivity Solutions</w:t>
            </w:r>
          </w:p>
        </w:tc>
        <w:tc>
          <w:tcPr>
            <w:tcW w:w="2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1,044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9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Total Safety and Productivity Solutions sales</w:t>
            </w:r>
          </w:p>
        </w:tc>
        <w:tc>
          <w:tcPr>
            <w:tcW w:w="25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94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8,884</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20" w:type="dxa"/>
            <w:vAlign w:val="bottom"/>
            <w:vMerge w:val="restart"/>
          </w:tcPr>
          <w:p>
            <w:pPr>
              <w:jc w:val="right"/>
              <w:ind w:right="1690"/>
              <w:spacing w:after="0"/>
              <w:rPr>
                <w:sz w:val="20"/>
                <w:szCs w:val="20"/>
                <w:color w:val="auto"/>
              </w:rPr>
            </w:pPr>
            <w:r>
              <w:rPr>
                <w:rFonts w:ascii="Arial" w:cs="Arial" w:eastAsia="Arial" w:hAnsi="Arial"/>
                <w:sz w:val="18"/>
                <w:szCs w:val="18"/>
                <w:color w:val="auto"/>
              </w:rPr>
              <w:t>34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Aerospace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r>
      <w:tr>
        <w:trPr>
          <w:trHeight w:val="196"/>
        </w:trPr>
        <w:tc>
          <w:tcPr>
            <w:tcW w:w="7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62"/>
        </w:trPr>
        <w:tc>
          <w:tcPr>
            <w:tcW w:w="7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197"/>
              <w:spacing w:after="0"/>
              <w:rPr>
                <w:sz w:val="20"/>
                <w:szCs w:val="20"/>
                <w:color w:val="auto"/>
              </w:rPr>
            </w:pPr>
            <w:r>
              <w:rPr>
                <w:rFonts w:ascii="Arial" w:cs="Arial" w:eastAsia="Arial" w:hAnsi="Arial"/>
                <w:sz w:val="14"/>
                <w:szCs w:val="14"/>
                <w:b w:val="1"/>
                <w:bCs w:val="1"/>
                <w:color w:val="auto"/>
              </w:rPr>
              <w:t>%</w:t>
            </w:r>
          </w:p>
        </w:tc>
      </w:tr>
      <w:tr>
        <w:trPr>
          <w:trHeight w:val="196"/>
        </w:trPr>
        <w:tc>
          <w:tcPr>
            <w:tcW w:w="75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Change</w:t>
            </w:r>
          </w:p>
        </w:tc>
      </w:tr>
      <w:tr>
        <w:trPr>
          <w:trHeight w:val="256"/>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3,361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3,341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756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8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2,199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7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57"/>
        </w:trPr>
        <w:tc>
          <w:tcPr>
            <w:tcW w:w="756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937</w:t>
            </w:r>
          </w:p>
        </w:tc>
        <w:tc>
          <w:tcPr>
            <w:tcW w:w="100" w:type="dxa"/>
            <w:vAlign w:val="bottom"/>
            <w:gridSpan w:val="2"/>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542"/>
        </w:trPr>
        <w:tc>
          <w:tcPr>
            <w:tcW w:w="7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137"/>
              <w:spacing w:after="0"/>
              <w:rPr>
                <w:sz w:val="20"/>
                <w:szCs w:val="20"/>
                <w:color w:val="auto"/>
              </w:rPr>
            </w:pPr>
            <w:r>
              <w:rPr>
                <w:rFonts w:ascii="Arial" w:cs="Arial" w:eastAsia="Arial" w:hAnsi="Arial"/>
                <w:sz w:val="14"/>
                <w:szCs w:val="14"/>
                <w:b w:val="1"/>
                <w:bCs w:val="1"/>
                <w:color w:val="auto"/>
              </w:rPr>
              <w:t>2020 vs. 2019</w:t>
            </w:r>
          </w:p>
        </w:tc>
      </w:tr>
      <w:tr>
        <w:trPr>
          <w:trHeight w:val="175"/>
        </w:trPr>
        <w:tc>
          <w:tcPr>
            <w:tcW w:w="7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4"/>
          </w:tcPr>
          <w:p>
            <w:pPr>
              <w:jc w:val="center"/>
              <w:ind w:right="157"/>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75"/>
        </w:trPr>
        <w:tc>
          <w:tcPr>
            <w:tcW w:w="7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center"/>
              <w:ind w:right="217"/>
              <w:spacing w:after="0"/>
              <w:rPr>
                <w:sz w:val="20"/>
                <w:szCs w:val="20"/>
                <w:color w:val="auto"/>
              </w:rPr>
            </w:pPr>
            <w:r>
              <w:rPr>
                <w:rFonts w:ascii="Arial" w:cs="Arial" w:eastAsia="Arial" w:hAnsi="Arial"/>
                <w:sz w:val="14"/>
                <w:szCs w:val="14"/>
                <w:b w:val="1"/>
                <w:bCs w:val="1"/>
                <w:color w:val="auto"/>
              </w:rPr>
              <w:t>Segment</w:t>
            </w:r>
          </w:p>
        </w:tc>
      </w:tr>
      <w:tr>
        <w:trPr>
          <w:trHeight w:val="196"/>
        </w:trPr>
        <w:tc>
          <w:tcPr>
            <w:tcW w:w="7560" w:type="dxa"/>
            <w:vAlign w:val="bottom"/>
          </w:tcPr>
          <w:p>
            <w:pPr>
              <w:ind w:left="2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Sales</w:t>
            </w:r>
          </w:p>
        </w:tc>
        <w:tc>
          <w:tcPr>
            <w:tcW w:w="900" w:type="dxa"/>
            <w:vAlign w:val="bottom"/>
          </w:tcPr>
          <w:p>
            <w:pPr>
              <w:jc w:val="center"/>
              <w:ind w:right="197"/>
              <w:spacing w:after="0"/>
              <w:rPr>
                <w:sz w:val="20"/>
                <w:szCs w:val="20"/>
                <w:color w:val="auto"/>
              </w:rPr>
            </w:pPr>
            <w:r>
              <w:rPr>
                <w:rFonts w:ascii="Arial" w:cs="Arial" w:eastAsia="Arial" w:hAnsi="Arial"/>
                <w:sz w:val="14"/>
                <w:szCs w:val="14"/>
                <w:b w:val="1"/>
                <w:bCs w:val="1"/>
                <w:color w:val="auto"/>
              </w:rPr>
              <w:t>Profit</w:t>
            </w:r>
          </w:p>
        </w:tc>
      </w:tr>
      <w:tr>
        <w:trPr>
          <w:trHeight w:val="256"/>
        </w:trPr>
        <w:tc>
          <w:tcPr>
            <w:tcW w:w="7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Organic</w:t>
            </w:r>
          </w:p>
        </w:tc>
        <w:tc>
          <w:tcPr>
            <w:tcW w:w="2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75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56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Aerospace sales increased for the quarter ended March 31, 2020 due to organic growth.</w:t>
      </w:r>
    </w:p>
    <w:p>
      <w:pPr>
        <w:spacing w:after="0" w:line="225" w:lineRule="exact"/>
        <w:rPr>
          <w:sz w:val="20"/>
          <w:szCs w:val="20"/>
          <w:color w:val="auto"/>
        </w:rPr>
      </w:pPr>
    </w:p>
    <w:p>
      <w:pPr>
        <w:ind w:left="840" w:hanging="333"/>
        <w:spacing w:after="0" w:line="261"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Aviation Original Equipment sales decreased 11% (decreased 11% organic) primarily due to lower demand from airport transport and regional original equipment manufacturers (OEM), partially offset by growth in business aviation OEM.</w:t>
      </w:r>
    </w:p>
    <w:p>
      <w:pPr>
        <w:spacing w:after="0" w:line="197" w:lineRule="exact"/>
        <w:rPr>
          <w:rFonts w:ascii="Arial" w:cs="Arial" w:eastAsia="Arial" w:hAnsi="Arial"/>
          <w:sz w:val="18"/>
          <w:szCs w:val="18"/>
          <w:color w:val="auto"/>
        </w:rPr>
      </w:pPr>
    </w:p>
    <w:p>
      <w:pPr>
        <w:ind w:left="840" w:hanging="333"/>
        <w:spacing w:after="0" w:line="261"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Aviation Aftermarket sales increased 1% (increased 1% organic) primarily due to growth in air transport and regional, partially offset by lower demand in business aviation.</w:t>
      </w:r>
    </w:p>
    <w:p>
      <w:pPr>
        <w:spacing w:after="0" w:line="197" w:lineRule="exact"/>
        <w:rPr>
          <w:rFonts w:ascii="Arial" w:cs="Arial" w:eastAsia="Arial" w:hAnsi="Arial"/>
          <w:sz w:val="18"/>
          <w:szCs w:val="18"/>
          <w:color w:val="auto"/>
        </w:rPr>
      </w:pPr>
    </w:p>
    <w:p>
      <w:pPr>
        <w:ind w:left="840" w:hanging="33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Defense and Space sales increased 7% (increased 7% organic) driven by growth in U.S. and international defense.</w:t>
      </w:r>
    </w:p>
    <w:p>
      <w:pPr>
        <w:spacing w:after="0" w:line="225"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Aerospace segment profit increased primarily driven by lower sales of lower margin products and favorable pricing. Cost of products and services sold decreased due to lower sales of lower margin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Honeywell Building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r>
      <w:tr>
        <w:trPr>
          <w:trHeight w:val="196"/>
        </w:trPr>
        <w:tc>
          <w:tcPr>
            <w:tcW w:w="7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250"/>
        </w:trPr>
        <w:tc>
          <w:tcPr>
            <w:tcW w:w="75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 Change</w:t>
            </w:r>
          </w:p>
        </w:tc>
      </w:tr>
      <w:tr>
        <w:trPr>
          <w:trHeight w:val="256"/>
        </w:trPr>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1,281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750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57"/>
        </w:trPr>
        <w:tc>
          <w:tcPr>
            <w:tcW w:w="750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2020 vs. 2019</w:t>
            </w:r>
          </w:p>
        </w:tc>
      </w:tr>
      <w:tr>
        <w:trPr>
          <w:trHeight w:val="175"/>
        </w:trPr>
        <w:tc>
          <w:tcPr>
            <w:tcW w:w="8640" w:type="dxa"/>
            <w:vAlign w:val="bottom"/>
          </w:tcPr>
          <w:p>
            <w:pPr>
              <w:spacing w:after="0"/>
              <w:rPr>
                <w:sz w:val="15"/>
                <w:szCs w:val="15"/>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640" w:type="dxa"/>
            <w:vAlign w:val="bottom"/>
          </w:tcPr>
          <w:p>
            <w:pPr>
              <w:spacing w:after="0"/>
              <w:rPr>
                <w:sz w:val="17"/>
                <w:szCs w:val="17"/>
                <w:color w:val="auto"/>
              </w:rPr>
            </w:pPr>
          </w:p>
        </w:tc>
        <w:tc>
          <w:tcPr>
            <w:tcW w:w="166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75"/>
        </w:trPr>
        <w:tc>
          <w:tcPr>
            <w:tcW w:w="8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3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8640" w:type="dxa"/>
            <w:vAlign w:val="bottom"/>
          </w:tcPr>
          <w:p>
            <w:pPr>
              <w:ind w:left="270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rPr>
              <w:t>Sales</w:t>
            </w: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Profit</w:t>
            </w:r>
          </w:p>
        </w:tc>
      </w:tr>
      <w:tr>
        <w:trPr>
          <w:trHeight w:val="256"/>
        </w:trPr>
        <w:tc>
          <w:tcPr>
            <w:tcW w:w="8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Organic</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86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864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Honeywell Building Technologies sales decreased for the quarter ended March 31, 2020 due to lower organic sales and the unfavorable impact of foreign currency translation.</w:t>
      </w:r>
    </w:p>
    <w:p>
      <w:pPr>
        <w:spacing w:after="0" w:line="198" w:lineRule="exact"/>
        <w:rPr>
          <w:sz w:val="20"/>
          <w:szCs w:val="20"/>
          <w:color w:val="auto"/>
        </w:rPr>
      </w:pPr>
    </w:p>
    <w:p>
      <w:pPr>
        <w:ind w:left="840" w:hanging="333"/>
        <w:spacing w:after="0" w:line="261"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in Building Technologies decreased 8% (decreased 6% organic) primarily due to lower sales volumes in both Products and Building Solutions and the unfavorable impact of foreign currency translation, partially offset by favorable pricing.</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 Building Technologies segment profit decreased primarily due to lower sales volumes, inflation and the unfavorable impact of foreign currency translation, partially offset by favorable pricing and higher productivity. Cost of products and services sold decreased due to lower sales volumes and the favorable impact of foreign currency translation, partially offset by inflation.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r>
      <w:tr>
        <w:trPr>
          <w:trHeight w:val="196"/>
        </w:trPr>
        <w:tc>
          <w:tcPr>
            <w:tcW w:w="7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r>
      <w:tr>
        <w:trPr>
          <w:trHeight w:val="162"/>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rPr>
              <w:t>%</w:t>
            </w:r>
          </w:p>
        </w:tc>
      </w:tr>
      <w:tr>
        <w:trPr>
          <w:trHeight w:val="196"/>
        </w:trPr>
        <w:tc>
          <w:tcPr>
            <w:tcW w:w="7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Change</w:t>
            </w:r>
          </w:p>
        </w:tc>
      </w:tr>
      <w:tr>
        <w:trPr>
          <w:trHeight w:val="256"/>
        </w:trPr>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750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57"/>
        </w:trPr>
        <w:tc>
          <w:tcPr>
            <w:tcW w:w="750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542"/>
        </w:trPr>
        <w:tc>
          <w:tcPr>
            <w:tcW w:w="7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2020 vs. 2019</w:t>
            </w:r>
          </w:p>
        </w:tc>
      </w:tr>
      <w:tr>
        <w:trPr>
          <w:trHeight w:val="209"/>
        </w:trPr>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4"/>
                <w:szCs w:val="14"/>
                <w:b w:val="1"/>
                <w:bCs w:val="1"/>
                <w:color w:val="auto"/>
              </w:rPr>
              <w:t>Three Months Ended March 31,</w:t>
            </w:r>
          </w:p>
        </w:tc>
      </w:tr>
      <w:tr>
        <w:trPr>
          <w:trHeight w:val="175"/>
        </w:trPr>
        <w:tc>
          <w:tcPr>
            <w:tcW w:w="7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rPr>
              <w:t>Segment</w:t>
            </w:r>
          </w:p>
        </w:tc>
      </w:tr>
      <w:tr>
        <w:trPr>
          <w:trHeight w:val="196"/>
        </w:trPr>
        <w:tc>
          <w:tcPr>
            <w:tcW w:w="7500" w:type="dxa"/>
            <w:vAlign w:val="bottom"/>
          </w:tcPr>
          <w:p>
            <w:pPr>
              <w:ind w:left="2700"/>
              <w:spacing w:after="0"/>
              <w:rPr>
                <w:sz w:val="20"/>
                <w:szCs w:val="20"/>
                <w:color w:val="auto"/>
              </w:rPr>
            </w:pPr>
            <w:r>
              <w:rPr>
                <w:rFonts w:ascii="Arial" w:cs="Arial" w:eastAsia="Arial" w:hAnsi="Arial"/>
                <w:sz w:val="14"/>
                <w:szCs w:val="14"/>
                <w:b w:val="1"/>
                <w:bCs w:val="1"/>
                <w:color w:val="auto"/>
              </w:rPr>
              <w:t>Factors Contributing to Year-Over-Year Change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Sales</w:t>
            </w: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rPr>
              <w:t>Profit</w:t>
            </w:r>
          </w:p>
        </w:tc>
      </w:tr>
      <w:tr>
        <w:trPr>
          <w:trHeight w:val="256"/>
        </w:trPr>
        <w:tc>
          <w:tcPr>
            <w:tcW w:w="7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Organic</w:t>
            </w: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75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750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Performance Materials and Technologies sales decreased for the quarter ended March 31, 2020 primarily due to lower sales volumes and the unfavorable impact of foreign currency translation.</w:t>
      </w:r>
    </w:p>
    <w:p>
      <w:pPr>
        <w:spacing w:after="0" w:line="198" w:lineRule="exact"/>
        <w:rPr>
          <w:sz w:val="20"/>
          <w:szCs w:val="20"/>
          <w:color w:val="auto"/>
        </w:rPr>
      </w:pPr>
    </w:p>
    <w:p>
      <w:pPr>
        <w:ind w:left="500" w:hanging="317"/>
        <w:spacing w:after="0" w:line="261"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UOP sales decreased 3% (decreased 2% organic) driven primarily by a decrease in gas processing volumes due to volatility in oil and gas end markets, and the unfavorable impact of foreign currency translation, partially offset by growth in equipment sales.</w:t>
      </w:r>
    </w:p>
    <w:p>
      <w:pPr>
        <w:spacing w:after="0" w:line="197" w:lineRule="exact"/>
        <w:rPr>
          <w:rFonts w:ascii="Arial" w:cs="Arial" w:eastAsia="Arial" w:hAnsi="Arial"/>
          <w:sz w:val="18"/>
          <w:szCs w:val="18"/>
          <w:color w:val="auto"/>
        </w:rPr>
      </w:pPr>
    </w:p>
    <w:p>
      <w:pPr>
        <w:jc w:val="both"/>
        <w:ind w:left="500" w:hanging="317"/>
        <w:spacing w:after="0" w:line="256"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Process Solutions sales decreased 8% (decreased 6% organic) primarily driven by decreases in thermal solutions, automation projects, field products volumes and the unfavorable impact of foreign currency translation, partially offset by increases in software sales.</w:t>
      </w:r>
    </w:p>
    <w:p>
      <w:pPr>
        <w:spacing w:after="0" w:line="201" w:lineRule="exact"/>
        <w:rPr>
          <w:rFonts w:ascii="Arial" w:cs="Arial" w:eastAsia="Arial" w:hAnsi="Arial"/>
          <w:sz w:val="18"/>
          <w:szCs w:val="18"/>
          <w:color w:val="auto"/>
        </w:rPr>
      </w:pPr>
    </w:p>
    <w:p>
      <w:pPr>
        <w:ind w:left="500" w:hanging="317"/>
        <w:spacing w:after="0" w:line="261"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Advanced Materials sales decreased 9% (decreased 8% organic) for the quarter driven primarily by decreased volumes in fluorine products due to lower demand in automotive refrigerants and the unfavorable impact of foreign currency translation.</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Performance Materials and Technologies segment profit decreased due to lower sales volumes, higher sales of lower margin products, and the unfavorable impact of foreign currency translation, partially offset by favorable pricing and productivity, net of inflation. Cost of products and services sold decreased primarily due to lower sales volumes and the favorable impact of foreign currency translation.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r>
      <w:tr>
        <w:trPr>
          <w:trHeight w:val="196"/>
        </w:trPr>
        <w:tc>
          <w:tcPr>
            <w:tcW w:w="7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62"/>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center"/>
              <w:ind w:right="237"/>
              <w:spacing w:after="0"/>
              <w:rPr>
                <w:sz w:val="20"/>
                <w:szCs w:val="20"/>
                <w:color w:val="auto"/>
              </w:rPr>
            </w:pPr>
            <w:r>
              <w:rPr>
                <w:rFonts w:ascii="Arial" w:cs="Arial" w:eastAsia="Arial" w:hAnsi="Arial"/>
                <w:sz w:val="14"/>
                <w:szCs w:val="14"/>
                <w:b w:val="1"/>
                <w:bCs w:val="1"/>
                <w:color w:val="auto"/>
              </w:rPr>
              <w:t>%</w:t>
            </w:r>
          </w:p>
        </w:tc>
      </w:tr>
      <w:tr>
        <w:trPr>
          <w:trHeight w:val="196"/>
        </w:trPr>
        <w:tc>
          <w:tcPr>
            <w:tcW w:w="7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Change</w:t>
            </w:r>
          </w:p>
        </w:tc>
      </w:tr>
      <w:tr>
        <w:trPr>
          <w:trHeight w:val="256"/>
        </w:trPr>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1,424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750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6"/>
        </w:trPr>
        <w:tc>
          <w:tcPr>
            <w:tcW w:w="750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326"/>
        </w:trPr>
        <w:tc>
          <w:tcPr>
            <w:tcW w:w="7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97"/>
              <w:spacing w:after="0"/>
              <w:rPr>
                <w:sz w:val="20"/>
                <w:szCs w:val="20"/>
                <w:color w:val="auto"/>
              </w:rPr>
            </w:pPr>
            <w:r>
              <w:rPr>
                <w:rFonts w:ascii="Arial" w:cs="Arial" w:eastAsia="Arial" w:hAnsi="Arial"/>
                <w:sz w:val="14"/>
                <w:szCs w:val="14"/>
                <w:b w:val="1"/>
                <w:bCs w:val="1"/>
                <w:color w:val="auto"/>
              </w:rPr>
              <w:t>2020 vs. 2019</w:t>
            </w:r>
          </w:p>
        </w:tc>
      </w:tr>
      <w:tr>
        <w:trPr>
          <w:trHeight w:val="175"/>
        </w:trPr>
        <w:tc>
          <w:tcPr>
            <w:tcW w:w="7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4"/>
          </w:tcPr>
          <w:p>
            <w:pPr>
              <w:jc w:val="center"/>
              <w:ind w:right="217"/>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75"/>
        </w:trPr>
        <w:tc>
          <w:tcPr>
            <w:tcW w:w="7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ind w:right="237"/>
              <w:spacing w:after="0"/>
              <w:rPr>
                <w:sz w:val="20"/>
                <w:szCs w:val="20"/>
                <w:color w:val="auto"/>
              </w:rPr>
            </w:pPr>
            <w:r>
              <w:rPr>
                <w:rFonts w:ascii="Arial" w:cs="Arial" w:eastAsia="Arial" w:hAnsi="Arial"/>
                <w:sz w:val="14"/>
                <w:szCs w:val="14"/>
                <w:b w:val="1"/>
                <w:bCs w:val="1"/>
                <w:color w:val="auto"/>
              </w:rPr>
              <w:t>Segment</w:t>
            </w:r>
          </w:p>
        </w:tc>
      </w:tr>
      <w:tr>
        <w:trPr>
          <w:trHeight w:val="196"/>
        </w:trPr>
        <w:tc>
          <w:tcPr>
            <w:tcW w:w="7500" w:type="dxa"/>
            <w:vAlign w:val="bottom"/>
          </w:tcPr>
          <w:p>
            <w:pPr>
              <w:ind w:left="2700"/>
              <w:spacing w:after="0"/>
              <w:rPr>
                <w:sz w:val="20"/>
                <w:szCs w:val="20"/>
                <w:color w:val="auto"/>
              </w:rPr>
            </w:pPr>
            <w:r>
              <w:rPr>
                <w:rFonts w:ascii="Arial" w:cs="Arial" w:eastAsia="Arial" w:hAnsi="Arial"/>
                <w:sz w:val="14"/>
                <w:szCs w:val="14"/>
                <w:b w:val="1"/>
                <w:bCs w:val="1"/>
                <w:color w:val="auto"/>
              </w:rPr>
              <w:t>Factors Contributing to Year-Over-Year Change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Sales</w:t>
            </w:r>
          </w:p>
        </w:tc>
        <w:tc>
          <w:tcPr>
            <w:tcW w:w="940" w:type="dxa"/>
            <w:vAlign w:val="bottom"/>
          </w:tcPr>
          <w:p>
            <w:pPr>
              <w:jc w:val="center"/>
              <w:ind w:right="237"/>
              <w:spacing w:after="0"/>
              <w:rPr>
                <w:sz w:val="20"/>
                <w:szCs w:val="20"/>
                <w:color w:val="auto"/>
              </w:rPr>
            </w:pPr>
            <w:r>
              <w:rPr>
                <w:rFonts w:ascii="Arial" w:cs="Arial" w:eastAsia="Arial" w:hAnsi="Arial"/>
                <w:sz w:val="14"/>
                <w:szCs w:val="14"/>
                <w:b w:val="1"/>
                <w:bCs w:val="1"/>
                <w:color w:val="auto"/>
              </w:rPr>
              <w:t>Profit</w:t>
            </w:r>
          </w:p>
        </w:tc>
      </w:tr>
      <w:tr>
        <w:trPr>
          <w:trHeight w:val="256"/>
        </w:trPr>
        <w:tc>
          <w:tcPr>
            <w:tcW w:w="7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Organic</w:t>
            </w: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75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750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Safety and Productivity Solutions sales decreased for the quarter ended March 31, 2020 primarily due to lower organic sales and the unfavorable impact of foreign currency translation.</w:t>
      </w:r>
    </w:p>
    <w:p>
      <w:pPr>
        <w:spacing w:after="0" w:line="117"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in Safety decreased 7% (decreased 5% organic) primarily due to lower sales volumes and the unfavorable impact of foreign currency translation. Safety experienced a significant increase in order volume for worker safety equipment in the first quarter due to COVID-19.</w:t>
      </w:r>
    </w:p>
    <w:p>
      <w:pPr>
        <w:spacing w:after="0" w:line="20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in Productivity Solutions decreased 12% (decreased 11% organic) primarily attributable to lower sales volumes in Intelligrated and Sensing and IoT, and the unfavorable impact of foreign currency translation.</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Safety and Productivity Solutions segment profit decreased primarily due to lower sales volumes, partially offset by higher productivity, net of inflation. Cost of products and services sold decreased for the quarter primarily due to lower sales volume and higher productivity, net of inflation.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spending related to our repositioning actions was $88 million in the three months ended March 31, 2020 and was funded through operating cash flows. We expect cash spending for repositioning actions to be approximately $300 million in 2020 and to be funded through operating cash flows.</w:t>
      </w:r>
    </w:p>
    <w:p>
      <w:pPr>
        <w:spacing w:after="0" w:line="342" w:lineRule="exact"/>
        <w:rPr>
          <w:sz w:val="20"/>
          <w:szCs w:val="20"/>
          <w:color w:val="auto"/>
        </w:rPr>
      </w:pPr>
    </w:p>
    <w:p>
      <w:pPr>
        <w:ind w:left="540" w:hanging="505"/>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Liquidity and Capital Resources</w:t>
      </w:r>
    </w:p>
    <w:p>
      <w:pPr>
        <w:spacing w:after="0" w:line="2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continue to manage our businesses to maximize operating cash flows as the primary source of liquidity. In addition to our available cash and operating cash flows, we maintain additional sources of liquidity, including committed credit lines, short-term debt from the commercial paper market, long-term borrowings, access to the public debt and equity markets and the ability to access non-U.S. cash as a result of U.S. Tax Reform. We use cash generated through operations to invest in our existing core businesses, acquisitions, share repurchases and dividends.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are summarized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6"/>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for):</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1,134</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56"/>
        </w:trPr>
        <w:tc>
          <w:tcPr>
            <w:tcW w:w="81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provided by operating activities decreased by $195 million primarily due to a $ 124 million unfavorable impact from working capital and a $77 million increase in net payments for repositioning and other charges, partially offset by a decrease in cash tax payments of $183 million.</w:t>
      </w:r>
    </w:p>
    <w:p>
      <w:pPr>
        <w:spacing w:after="0" w:line="20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Cash provided by investing activities increased by $959 million primarily due to a net $625 million decrease in investments, primarily short term marketable securities, and an increase in cash provided by other investing activities of $327 million.</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used for financing activities increased by $ 1,211 million primarily due to an increase in repurchases of common stock of $1,173 million and a decrease in proceeds from the issuance of common stock of $79 million, partially offset by an increase in net proceeds from the issuance of commercial paper of $83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of our businesses is focused on increasing operating cash flows through revenue growth, margin expansion and improved working capital turnover. We believe that cash balances and operating cash flow will continue to be our principal source of liquidity. In addition to the available cash and operating cash flows, additional sources of liquidity include committed credit lines, short-term debt from the commercial paper markets, long-term borrowings, and access to the public debt and equity markets. To date, the Company has not experienced any limitations in our ability to access these sources of liquidity. Also, considering the current economic environment in which each of our businesses operate, our business strategies and our productivity initiatives, we believe that our cash balances and operating cash flows will remain our principal source of liquidity.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765" w:right="339" w:bottom="1440" w:gutter="0" w:footer="0" w:header="0"/>
        </w:sectPr>
      </w:pPr>
    </w:p>
    <w:bookmarkStart w:id="40" w:name="page41"/>
    <w:bookmarkEnd w:id="40"/>
    <w:p>
      <w:pPr>
        <w:jc w:val="both"/>
        <w:ind w:firstLine="648"/>
        <w:spacing w:after="0" w:line="254" w:lineRule="auto"/>
        <w:rPr>
          <w:sz w:val="20"/>
          <w:szCs w:val="20"/>
          <w:color w:val="auto"/>
        </w:rPr>
      </w:pPr>
      <w:r>
        <w:rPr>
          <w:rFonts w:ascii="Arial" w:cs="Arial" w:eastAsia="Arial" w:hAnsi="Arial"/>
          <w:sz w:val="18"/>
          <w:szCs w:val="18"/>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 As of March 31, 2020, we held $8.8 billion of cash and cash equivalents and short-term investments.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As of March 31, 2020, we had $3.5 billion of commercial paper notes outstanding.</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March 26, 2020, we entered into a Delayed Draw Term Loan Agreement (the “Term Loan Agreement”) with a syndicate of banks. The Term Loan Agreement provides for a two-year, delayed draw term loan facility in the aggregate principal amount of up to $6.0 billion and is maintained for general corporate purposes. We elected to enter into the Term Loan Agreement to maximize financial flexibility, further bolster liquidity, and further strengthen resilience in uncertain times. In addition, on April 10, 2020, the Company entered into a $1.5 billion 364-Day Credit Agreement (the "364-Day Credit Agreement") with a syndicate of banks. This 364-Day Credit Agreement is maintained for general corporate purposes. The 364-Day Credit Agreement replaces the previously reported 364-day credit agreement dated as of April 26, 2019, which was terminated on April 10, 2020.</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three months ended March 31, 2020, the Company repurchased $1,923 million of outstanding shares. In April 2019, the Board of Directors authorized the repurchase of up to a total of $10 billion of Honeywell common stock, which included amounts remaining under, and replaced, the previously approved share repurchase program. As of March 31, 2020, $5.1 billion remained available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the level of operating, financing and other investing activities.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 See Item Part II, 1A Risk Factors for discussion of risks related to the COVID-19 pandemic.</w:t>
      </w:r>
    </w:p>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increased the quarterly dividend rate by 10% to $.90 per share of common stock effective with the fourth quarter 2019 dividend.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Long-term Debt and Credit Agreements</w:t>
      </w:r>
      <w:r>
        <w:rPr>
          <w:rFonts w:ascii="Arial" w:cs="Arial" w:eastAsia="Arial" w:hAnsi="Arial"/>
          <w:sz w:val="18"/>
          <w:szCs w:val="18"/>
          <w:color w:val="auto"/>
        </w:rPr>
        <w:t xml:space="preserve"> of Notes to Consolidated Financial Statements for additional discussion of items impacting our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Item 3. Legal Proceedings in our 2019 Annual Report on Form 10-K and Note 16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of Notes to Consolidated Financial Statements for further discussion of environmental, asbestos and other litigation matters.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78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financial information as of March 31, 2020 should be read in conjunction with the Consolidated Financial Statements for the year ended December 31, 2019 contained in our 2019 Annual Report on Form 10-K.</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2019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Notes to Consolidated Financial Statements for a discussion of recent accounting pronouncements.</w:t>
      </w:r>
    </w:p>
    <w:p>
      <w:pPr>
        <w:spacing w:after="0" w:line="342"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Quantitative and Qualitative Disclosures About Market Risks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2019 Annual Report on Form 10-K. As of March 31, 2020, there has been no material change in this information</w:t>
      </w:r>
      <w:r>
        <w:rPr>
          <w:rFonts w:ascii="Arial" w:cs="Arial" w:eastAsia="Arial" w:hAnsi="Arial"/>
          <w:sz w:val="18"/>
          <w:szCs w:val="18"/>
          <w:b w:val="1"/>
          <w:bCs w:val="1"/>
          <w:color w:val="auto"/>
        </w:rPr>
        <w:t>.</w:t>
      </w:r>
    </w:p>
    <w:p>
      <w:pPr>
        <w:spacing w:after="0" w:line="36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u w:val="single" w:color="auto"/>
          <w:color w:val="auto"/>
        </w:rPr>
        <w:t>Controls and Procedures</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materially affected, or are reasonably likely to materially affect, Honeywell’s internal control over financial reporting that have occurred during the period covered by this Quarterly Report on Form 10-Q.</w:t>
      </w:r>
    </w:p>
    <w:p>
      <w:pPr>
        <w:spacing w:after="0" w:line="21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not experienced any material impact to our internal control over financial reporting during the COVID-19 pandemic. Most of our employees worked remotely during the period in which we prepared these financial statements due to the impact of COVID-19. We enhanced our oversight and monitoring during the close and reporting process, including investments in expanded VPN capabilities and higher scrutiny and monitoring of cybersecurity threats. Other than enhancing our oversight and monitoring processes, we did not alter or compromise our disclosure controls and procedures. We are continually monitoring and assessing the need to modify or enhance our disclosure controls to ensure disclosure controls and procedures continue to be effective.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78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u w:val="single" w:color="auto"/>
          <w:color w:val="auto"/>
        </w:rPr>
        <w:t>Legal Proceedings</w:t>
      </w:r>
    </w:p>
    <w:p>
      <w:pPr>
        <w:spacing w:after="0" w:line="306"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General Legal Matters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a discussion of environmental, asbestos and other litigation matters.</w:t>
      </w:r>
    </w:p>
    <w:p>
      <w:pPr>
        <w:spacing w:after="0" w:line="36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23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See Item 3. Legal Proceedings in our 2019 Annual Report on Form 10-K for a discussion of a matter settled in the period covered by this Quarterly Report on Form 10-Q.</w:t>
      </w:r>
    </w:p>
    <w:p>
      <w:pPr>
        <w:spacing w:after="0" w:line="360"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u w:val="single" w:color="auto"/>
          <w:color w:val="auto"/>
        </w:rPr>
        <w:t>Risk Factors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Other than as noted below, there have been no material changes to the disclosure presented in our 2019 Annual Report on Form 10-K under Item 1A. Risk Factors. For a further discussion of our Risk Factors, refer to the “Risk Factors” discussion contained in our 2019 Annual Report on Form 10-K.</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global COVID-19 coronavirus pandemic and related impacts may adversely affect our business, financial condition, results of operations, liquidity, and cash flow.</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global spread of the coronavirus (COVID-19) has created significant volatility, uncertainty and economic disruption. The extent to which the COVID-19 pandemic impacts our business, operations and financial results will depend on numerous evolving factors that we may not be able to accurately predict, including: the duration, scope and severity of the pandemic; governmental, business and individual decisions and actions; the impact of the pandemic on economic activity; and the extent to which we or our employees, customers, suppliers, service providers or other business partners may be prevented from conducting normal business activities for an indefinite period of time, including due to shutdowns that may be requested or mandated by governmental authorities. These factors could, among other things, disrupt the purchasing and payment behaviors of our customers and their end-users; our operations, including our manufacturing activities, the shipment of our products, and the performance of our suppliers and service providers; and our liquidity and cash flow.</w:t>
      </w:r>
    </w:p>
    <w:p>
      <w:pPr>
        <w:spacing w:after="0" w:line="205" w:lineRule="exact"/>
        <w:rPr>
          <w:sz w:val="20"/>
          <w:szCs w:val="20"/>
          <w:color w:val="auto"/>
        </w:rPr>
      </w:pPr>
    </w:p>
    <w:p>
      <w:pPr>
        <w:jc w:val="both"/>
        <w:ind w:left="660" w:hanging="328"/>
        <w:spacing w:after="0" w:line="25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Risk. Existing and potential customers and their end-users may choose to reduce or delay spending. In particular, lower demand for air travel may continue to cause our customers to delay spending in connection with the manufacturing, repair, overhaul or servicing of aircraft. Customers may also attempt to renegotiate contracts and obtain concessions, face financial constraints on their ability to make payments to us on a timely basis or at all, or discontinue their business operations, and we may be required to discount the pricing of our products, all of which may materially and negatively impact our operating results, financial condition and prospects. In addition, unfavorable customer site conditions, such as closure of or access restrictions to customer facilities, and disruptions to our customers’ third-party logistics, warehousing, inventory management and distribution services may limit our ability to sell products and provide services.</w:t>
      </w:r>
    </w:p>
    <w:p>
      <w:pPr>
        <w:spacing w:after="0" w:line="205" w:lineRule="exact"/>
        <w:rPr>
          <w:rFonts w:ascii="Arial" w:cs="Arial" w:eastAsia="Arial" w:hAnsi="Arial"/>
          <w:sz w:val="18"/>
          <w:szCs w:val="18"/>
          <w:color w:val="auto"/>
        </w:rPr>
      </w:pPr>
    </w:p>
    <w:p>
      <w:pPr>
        <w:jc w:val="both"/>
        <w:ind w:left="660" w:hanging="328"/>
        <w:spacing w:after="0" w:line="25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Operations Risk. The closure of our facilities, restrictions inhibiting our employees’ ability to access those facilities, and disruptions to the ability of our suppliers or service providers to deliver goods or services to us (including as a result of supplier facility closures or access restrictions, disruptions to their supply chains, and supplier liquidity or bankruptcy risk) could disrupt our ability to provide our services and solutions and result in, among other things, terminations of customer contracts and losses of revenue. Because the COVID-19 pandemic could adversely affect our near-term and long-term revenues, earnings, liquidity and cash flows, we have begun to take and may be required to continue taking significant cost actions, including but not limited to reducing discretionary expenses (such as non-essential travel, contractors, and consultants), reducing hiring, canceling annual merit increases; reducing executive and board of director pay, reducing work schedules across the enterprise, shortening or staggering work schedules to match production with demand, and reducing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765" w:right="339" w:bottom="1440" w:gutter="0" w:footer="0" w:header="0"/>
        </w:sectPr>
      </w:pPr>
    </w:p>
    <w:bookmarkStart w:id="43" w:name="page44"/>
    <w:bookmarkEnd w:id="43"/>
    <w:p>
      <w:pPr>
        <w:jc w:val="both"/>
        <w:ind w:left="660"/>
        <w:spacing w:after="0" w:line="254" w:lineRule="auto"/>
        <w:rPr>
          <w:sz w:val="20"/>
          <w:szCs w:val="20"/>
          <w:color w:val="auto"/>
        </w:rPr>
      </w:pPr>
      <w:r>
        <w:rPr>
          <w:rFonts w:ascii="Arial" w:cs="Arial" w:eastAsia="Arial" w:hAnsi="Arial"/>
          <w:sz w:val="18"/>
          <w:szCs w:val="18"/>
          <w:color w:val="auto"/>
        </w:rPr>
        <w:t>staffing levels. Remote work and increased frequency of cybersecurity attacks, including phishing and malware attempts that utilize COVID-19-related strategies, increase the risk of a material cybersecurity incident that could result in the loss of proprietary or personal data, render us more vulnerable to future cybersecurity attacks, disrupt our operations, or otherwise cause us reputational or financial harm.</w:t>
      </w:r>
    </w:p>
    <w:p>
      <w:pPr>
        <w:spacing w:after="0" w:line="204" w:lineRule="exact"/>
        <w:rPr>
          <w:sz w:val="20"/>
          <w:szCs w:val="20"/>
          <w:color w:val="auto"/>
        </w:rPr>
      </w:pPr>
    </w:p>
    <w:p>
      <w:pPr>
        <w:jc w:val="both"/>
        <w:ind w:left="660" w:hanging="328"/>
        <w:spacing w:after="0" w:line="25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Cash Flow Risk. Because of the customer and operations risk described above, our business may not continue to generate sufficient cash flow from operations in the future to service our debt and make necessary capital expenditures. If we are unable to generate such cash flow, we may need to use existing cash balances to service our debt, and if such balances are insufficient, then we may be required to adopt one or more alternatives, such as selling assets, restructuring of existing debt, issuing new debt or obtaining additional equity capital on terms that may be onerous or highly dilutive. Our ability to refinance our indebtedness will depend on the capital markets and our financial condition at such time.</w:t>
      </w:r>
    </w:p>
    <w:p>
      <w:pPr>
        <w:spacing w:after="0" w:line="208"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The scope and impact of the COVID-19 pandemic is changing rapidly, and additional impacts may arise. A sustained or prolonged COVID-19 outbreak could exacerbate the negative impacts described above, and the resumption of normal business operations may be delayed or constrained by lingering effects on our suppliers, third-party service providers, and/or customers. These effects, alone or taken together, could further impact each of the risks described above.</w:t>
      </w:r>
    </w:p>
    <w:p>
      <w:pPr>
        <w:spacing w:after="0" w:line="366"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u w:val="single" w:color="auto"/>
          <w:color w:val="auto"/>
        </w:rPr>
        <w:t>Unregistered Sales of Equity Securities and Use of Proceeds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Honeywell purchased 11,652,214 shares of its common stock, par value $ 1 per share, in the quarter ended March 31, 2020. On April 29, 2019, the Board of Directors authorized the repurchase of up to a total of $10 billion of Honeywell common stock, which included amounts remaining under, and replaced, the previously approved share repurchase program. As of March 31, 2020, $5.1 billion remained available for additional share repurchases. The following table summarizes Honeywell’s purchase of its common stock for the quarter ended March 31, 2020:</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3300" w:type="dxa"/>
            <w:vAlign w:val="bottom"/>
            <w:gridSpan w:val="2"/>
          </w:tcPr>
          <w:p>
            <w:pPr>
              <w:ind w:left="680"/>
              <w:spacing w:after="0"/>
              <w:rPr>
                <w:sz w:val="20"/>
                <w:szCs w:val="20"/>
                <w:color w:val="auto"/>
              </w:rPr>
            </w:pPr>
            <w:r>
              <w:rPr>
                <w:rFonts w:ascii="Arial" w:cs="Arial" w:eastAsia="Arial" w:hAnsi="Arial"/>
                <w:sz w:val="14"/>
                <w:szCs w:val="14"/>
                <w:b w:val="1"/>
                <w:bCs w:val="1"/>
                <w:color w:val="auto"/>
              </w:rPr>
              <w:t>Issuer Purchases of Equity Securities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70"/>
        </w:trPr>
        <w:tc>
          <w:tcPr>
            <w:tcW w:w="3660" w:type="dxa"/>
            <w:vAlign w:val="bottom"/>
          </w:tcPr>
          <w:p>
            <w:pPr>
              <w:spacing w:after="0"/>
              <w:rPr>
                <w:sz w:val="23"/>
                <w:szCs w:val="23"/>
                <w:color w:val="auto"/>
              </w:rPr>
            </w:pPr>
          </w:p>
        </w:tc>
        <w:tc>
          <w:tcPr>
            <w:tcW w:w="3300" w:type="dxa"/>
            <w:vAlign w:val="bottom"/>
            <w:gridSpan w:val="2"/>
          </w:tcPr>
          <w:p>
            <w:pPr>
              <w:jc w:val="center"/>
              <w:ind w:left="168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(b)</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23"/>
                <w:szCs w:val="23"/>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(d)</w:t>
            </w:r>
          </w:p>
        </w:tc>
      </w:tr>
      <w:tr>
        <w:trPr>
          <w:trHeight w:val="188"/>
        </w:trPr>
        <w:tc>
          <w:tcPr>
            <w:tcW w:w="36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3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3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3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Purchased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Yet be Purchased</w:t>
            </w:r>
          </w:p>
        </w:tc>
      </w:tr>
      <w:tr>
        <w:trPr>
          <w:trHeight w:val="162"/>
        </w:trPr>
        <w:tc>
          <w:tcPr>
            <w:tcW w:w="3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4"/>
                <w:szCs w:val="14"/>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3660" w:type="dxa"/>
            <w:vAlign w:val="bottom"/>
          </w:tcPr>
          <w:p>
            <w:pPr>
              <w:spacing w:after="0"/>
              <w:rPr>
                <w:sz w:val="14"/>
                <w:szCs w:val="14"/>
                <w:color w:val="auto"/>
              </w:rPr>
            </w:pPr>
          </w:p>
        </w:tc>
        <w:tc>
          <w:tcPr>
            <w:tcW w:w="3300" w:type="dxa"/>
            <w:vAlign w:val="bottom"/>
            <w:gridSpan w:val="2"/>
          </w:tcPr>
          <w:p>
            <w:pPr>
              <w:jc w:val="center"/>
              <w:ind w:left="1680"/>
              <w:spacing w:after="0"/>
              <w:rPr>
                <w:sz w:val="20"/>
                <w:szCs w:val="20"/>
                <w:color w:val="auto"/>
              </w:rPr>
            </w:pPr>
            <w:r>
              <w:rPr>
                <w:rFonts w:ascii="Arial" w:cs="Arial" w:eastAsia="Arial" w:hAnsi="Arial"/>
                <w:sz w:val="14"/>
                <w:szCs w:val="14"/>
                <w:b w:val="1"/>
                <w:bCs w:val="1"/>
                <w:color w:val="auto"/>
              </w:rPr>
              <w:t>Total Number of</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Announced Plans</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Programs (Dollars</w:t>
            </w:r>
          </w:p>
        </w:tc>
      </w:tr>
      <w:tr>
        <w:trPr>
          <w:trHeight w:val="196"/>
        </w:trPr>
        <w:tc>
          <w:tcPr>
            <w:tcW w:w="36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Period</w:t>
            </w:r>
          </w:p>
        </w:tc>
        <w:tc>
          <w:tcPr>
            <w:tcW w:w="3200" w:type="dxa"/>
            <w:vAlign w:val="bottom"/>
            <w:tcBorders>
              <w:bottom w:val="single" w:sz="8" w:color="auto"/>
            </w:tcBorders>
          </w:tcPr>
          <w:p>
            <w:pPr>
              <w:jc w:val="center"/>
              <w:ind w:left="178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2020</w:t>
            </w:r>
          </w:p>
        </w:tc>
        <w:tc>
          <w:tcPr>
            <w:tcW w:w="3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6,989</w:t>
            </w:r>
          </w:p>
        </w:tc>
      </w:tr>
      <w:tr>
        <w:trPr>
          <w:trHeight w:val="263"/>
        </w:trPr>
        <w:tc>
          <w:tcPr>
            <w:tcW w:w="3660" w:type="dxa"/>
            <w:vAlign w:val="bottom"/>
          </w:tcPr>
          <w:p>
            <w:pPr>
              <w:ind w:left="40"/>
              <w:spacing w:after="0"/>
              <w:rPr>
                <w:sz w:val="20"/>
                <w:szCs w:val="20"/>
                <w:color w:val="auto"/>
              </w:rPr>
            </w:pPr>
            <w:r>
              <w:rPr>
                <w:rFonts w:ascii="Arial" w:cs="Arial" w:eastAsia="Arial" w:hAnsi="Arial"/>
                <w:sz w:val="18"/>
                <w:szCs w:val="18"/>
                <w:color w:val="auto"/>
              </w:rPr>
              <w:t>February 2020</w:t>
            </w:r>
          </w:p>
        </w:tc>
        <w:tc>
          <w:tcPr>
            <w:tcW w:w="3200" w:type="dxa"/>
            <w:vAlign w:val="bottom"/>
          </w:tcPr>
          <w:p>
            <w:pPr>
              <w:jc w:val="right"/>
              <w:ind w:right="40"/>
              <w:spacing w:after="0"/>
              <w:rPr>
                <w:sz w:val="20"/>
                <w:szCs w:val="20"/>
                <w:color w:val="auto"/>
              </w:rPr>
            </w:pPr>
            <w:r>
              <w:rPr>
                <w:rFonts w:ascii="Arial" w:cs="Arial" w:eastAsia="Arial" w:hAnsi="Arial"/>
                <w:sz w:val="18"/>
                <w:szCs w:val="18"/>
                <w:color w:val="auto"/>
              </w:rPr>
              <w:t>3,922,888</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178.55</w:t>
            </w:r>
          </w:p>
        </w:tc>
        <w:tc>
          <w:tcPr>
            <w:tcW w:w="120" w:type="dxa"/>
            <w:vAlign w:val="bottom"/>
          </w:tcPr>
          <w:p>
            <w:pPr>
              <w:spacing w:after="0"/>
              <w:rPr>
                <w:sz w:val="22"/>
                <w:szCs w:val="22"/>
                <w:color w:val="auto"/>
              </w:rPr>
            </w:pPr>
          </w:p>
        </w:tc>
        <w:tc>
          <w:tcPr>
            <w:tcW w:w="1320" w:type="dxa"/>
            <w:vAlign w:val="bottom"/>
          </w:tcPr>
          <w:p>
            <w:pPr>
              <w:jc w:val="right"/>
              <w:ind w:right="22"/>
              <w:spacing w:after="0"/>
              <w:rPr>
                <w:sz w:val="20"/>
                <w:szCs w:val="20"/>
                <w:color w:val="auto"/>
              </w:rPr>
            </w:pPr>
            <w:r>
              <w:rPr>
                <w:rFonts w:ascii="Arial" w:cs="Arial" w:eastAsia="Arial" w:hAnsi="Arial"/>
                <w:sz w:val="18"/>
                <w:szCs w:val="18"/>
                <w:color w:val="auto"/>
              </w:rPr>
              <w:t>3,922,888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2"/>
              <w:spacing w:after="0"/>
              <w:rPr>
                <w:sz w:val="20"/>
                <w:szCs w:val="20"/>
                <w:color w:val="auto"/>
              </w:rPr>
            </w:pPr>
            <w:r>
              <w:rPr>
                <w:rFonts w:ascii="Arial" w:cs="Arial" w:eastAsia="Arial" w:hAnsi="Arial"/>
                <w:sz w:val="18"/>
                <w:szCs w:val="18"/>
                <w:color w:val="auto"/>
              </w:rPr>
              <w:t>6,289</w:t>
            </w:r>
          </w:p>
        </w:tc>
      </w:tr>
      <w:tr>
        <w:trPr>
          <w:trHeight w:val="27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2020</w:t>
            </w:r>
          </w:p>
        </w:tc>
        <w:tc>
          <w:tcPr>
            <w:tcW w:w="32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7,729,326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158.20</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7,729,326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u w:val="single" w:color="auto"/>
          <w:color w:val="auto"/>
        </w:rPr>
        <w:t>Mine Safety Disclosures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6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Other Information</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 has determined that in order to maximize financial flexibility, further bolster liquidity, and further strengthen resilience in uncertain times, it will fully utilize and draw on the $ 6.0 billion aggregate principal amount available under the Delayed Draw Term Loan Agreement described in Note 11 </w:t>
      </w:r>
      <w:r>
        <w:rPr>
          <w:rFonts w:ascii="Arial" w:cs="Arial" w:eastAsia="Arial" w:hAnsi="Arial"/>
          <w:sz w:val="18"/>
          <w:szCs w:val="18"/>
          <w:i w:val="1"/>
          <w:iCs w:val="1"/>
          <w:color w:val="auto"/>
        </w:rPr>
        <w:t>Long-term Debt and Credit Agreements</w:t>
      </w:r>
      <w:r>
        <w:rPr>
          <w:rFonts w:ascii="Arial" w:cs="Arial" w:eastAsia="Arial" w:hAnsi="Arial"/>
          <w:sz w:val="18"/>
          <w:szCs w:val="18"/>
          <w:color w:val="auto"/>
        </w:rPr>
        <w:t xml:space="preserve"> of Notes to Consolidated Financial Statements on or prior to June 26,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78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6080" w:type="dxa"/>
            <w:vAlign w:val="bottom"/>
            <w:gridSpan w:val="5"/>
          </w:tcPr>
          <w:p>
            <w:pPr>
              <w:ind w:left="80"/>
              <w:spacing w:after="0"/>
              <w:rPr>
                <w:sz w:val="20"/>
                <w:szCs w:val="20"/>
                <w:color w:val="auto"/>
              </w:rPr>
            </w:pPr>
            <w:r>
              <w:rPr>
                <w:rFonts w:ascii="Arial" w:cs="Arial" w:eastAsia="Arial" w:hAnsi="Arial"/>
                <w:sz w:val="18"/>
                <w:szCs w:val="18"/>
                <w:color w:val="auto"/>
              </w:rPr>
              <w:t>Exhibits</w:t>
            </w:r>
          </w:p>
        </w:tc>
      </w:tr>
      <w:tr>
        <w:trPr>
          <w:trHeight w:val="426"/>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 INDEX</w:t>
            </w:r>
          </w:p>
        </w:tc>
        <w:tc>
          <w:tcPr>
            <w:tcW w:w="600" w:type="dxa"/>
            <w:vAlign w:val="bottom"/>
          </w:tcPr>
          <w:p>
            <w:pPr>
              <w:spacing w:after="0"/>
              <w:rPr>
                <w:sz w:val="24"/>
                <w:szCs w:val="24"/>
                <w:color w:val="auto"/>
              </w:rPr>
            </w:pPr>
          </w:p>
        </w:tc>
      </w:tr>
      <w:tr>
        <w:trPr>
          <w:trHeight w:val="362"/>
        </w:trPr>
        <w:tc>
          <w:tcPr>
            <w:tcW w:w="6820" w:type="dxa"/>
            <w:vAlign w:val="bottom"/>
            <w:gridSpan w:val="6"/>
          </w:tcPr>
          <w:p>
            <w:pPr>
              <w:jc w:val="center"/>
              <w:ind w:right="5740"/>
              <w:spacing w:after="0"/>
              <w:rPr>
                <w:sz w:val="20"/>
                <w:szCs w:val="20"/>
                <w:color w:val="auto"/>
              </w:rPr>
            </w:pPr>
            <w:r>
              <w:rPr>
                <w:rFonts w:ascii="Arial" w:cs="Arial" w:eastAsia="Arial" w:hAnsi="Arial"/>
                <w:sz w:val="18"/>
                <w:szCs w:val="18"/>
                <w:b w:val="1"/>
                <w:bCs w:val="1"/>
                <w:color w:val="auto"/>
                <w:w w:val="99"/>
              </w:rPr>
              <w:t>Exhibit</w:t>
            </w:r>
          </w:p>
        </w:tc>
      </w:tr>
      <w:tr>
        <w:trPr>
          <w:trHeight w:val="239"/>
        </w:trPr>
        <w:tc>
          <w:tcPr>
            <w:tcW w:w="740" w:type="dxa"/>
            <w:vAlign w:val="bottom"/>
          </w:tcPr>
          <w:p>
            <w:pPr>
              <w:jc w:val="center"/>
              <w:ind w:left="250"/>
              <w:spacing w:after="0"/>
              <w:rPr>
                <w:sz w:val="20"/>
                <w:szCs w:val="20"/>
                <w:color w:val="auto"/>
              </w:rPr>
            </w:pPr>
            <w:r>
              <w:rPr>
                <w:rFonts w:ascii="Arial" w:cs="Arial" w:eastAsia="Arial" w:hAnsi="Arial"/>
                <w:sz w:val="18"/>
                <w:szCs w:val="18"/>
                <w:b w:val="1"/>
                <w:bCs w:val="1"/>
                <w:color w:val="auto"/>
                <w:w w:val="96"/>
              </w:rPr>
              <w:t>No.</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b w:val="1"/>
                <w:bCs w:val="1"/>
                <w:color w:val="auto"/>
                <w:w w:val="98"/>
              </w:rPr>
              <w:t>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jc w:val="both"/>
        <w:ind w:left="1460" w:hanging="835"/>
        <w:spacing w:after="0" w:line="238"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25">
        <w:r>
          <w:rPr>
            <w:rFonts w:ascii="Arial" w:cs="Arial" w:eastAsia="Arial" w:hAnsi="Arial"/>
            <w:sz w:val="18"/>
            <w:szCs w:val="18"/>
            <w:u w:val="single" w:color="auto"/>
            <w:color w:val="0000FF"/>
          </w:rPr>
          <w:t>Delayed Draw Term Loan Agreement, dated as of March 26, 2020, among Honeywell International Inc., the initial lenders</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named therein, Citibank, N.A., as administrative agent, and Citibank, N.A., Bank of America, N.A., JPMorgan Chase</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Bank, N.A. and Wells Fargo Bank, National Association, as syndication agents (incorporated by reference to Exhibit 10.1</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to Honeywell’s Form 8-K filed on March 31, 2020.</w:t>
        </w:r>
      </w:hyperlink>
    </w:p>
    <w:p>
      <w:pPr>
        <w:spacing w:after="0" w:line="367" w:lineRule="exact"/>
        <w:rPr>
          <w:rFonts w:ascii="Arial" w:cs="Arial" w:eastAsia="Arial" w:hAnsi="Arial"/>
          <w:sz w:val="18"/>
          <w:szCs w:val="18"/>
          <w:u w:val="single" w:color="auto"/>
          <w:color w:val="0000FF"/>
        </w:rPr>
      </w:pPr>
    </w:p>
    <w:p>
      <w:pPr>
        <w:ind w:left="1460" w:right="220" w:hanging="835"/>
        <w:spacing w:after="0" w:line="238"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26">
        <w:r>
          <w:rPr>
            <w:rFonts w:ascii="Arial" w:cs="Arial" w:eastAsia="Arial" w:hAnsi="Arial"/>
            <w:sz w:val="18"/>
            <w:szCs w:val="18"/>
            <w:u w:val="single" w:color="auto"/>
            <w:color w:val="0000FF"/>
          </w:rPr>
          <w:t>364-Day Credit Agreement, dated as of April 10, 2020, among Honeywell International Inc., the banks, financial</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institutions, and other institutional lenders parties thereto, Citibank, N.A., as administrative agent, and JPMorgan Chase</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Bank, N.A., as syndication agent (incorporated by reference to Exhibit 10.1 to Honeywell’s Form 8-K filed on April 10,</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1287145</wp:posOffset>
            </wp:positionH>
            <wp:positionV relativeFrom="paragraph">
              <wp:posOffset>-22860</wp:posOffset>
            </wp:positionV>
            <wp:extent cx="31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44" w:lineRule="exact"/>
        <w:rPr>
          <w:rFonts w:ascii="Arial" w:cs="Arial" w:eastAsia="Arial" w:hAnsi="Arial"/>
          <w:sz w:val="18"/>
          <w:szCs w:val="18"/>
          <w:u w:val="single" w:color="auto"/>
          <w:color w:val="0000FF"/>
        </w:rPr>
      </w:pPr>
    </w:p>
    <w:p>
      <w:pPr>
        <w:ind w:left="640"/>
        <w:spacing w:after="0"/>
        <w:tabs>
          <w:tab w:leader="none" w:pos="144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47">
        <w:r>
          <w:rPr>
            <w:rFonts w:ascii="Arial" w:cs="Arial" w:eastAsia="Arial" w:hAnsi="Arial"/>
            <w:sz w:val="17"/>
            <w:szCs w:val="17"/>
            <w:u w:val="single" w:color="auto"/>
            <w:color w:val="0000FF"/>
          </w:rPr>
          <w:t>Certification of Principal Executive Officer Pursuant to Section 302 of the Sarbanes-Oxley Act of 2002 (filed herewith)</w:t>
        </w:r>
      </w:hyperlink>
    </w:p>
    <w:p>
      <w:pPr>
        <w:spacing w:after="0" w:line="306" w:lineRule="exact"/>
        <w:rPr>
          <w:rFonts w:ascii="Arial" w:cs="Arial" w:eastAsia="Arial" w:hAnsi="Arial"/>
          <w:sz w:val="18"/>
          <w:szCs w:val="18"/>
          <w:u w:val="single" w:color="auto"/>
          <w:color w:val="0000FF"/>
        </w:rPr>
      </w:pPr>
    </w:p>
    <w:p>
      <w:pPr>
        <w:ind w:left="640"/>
        <w:spacing w:after="0"/>
        <w:tabs>
          <w:tab w:leader="none" w:pos="144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48">
        <w:r>
          <w:rPr>
            <w:rFonts w:ascii="Arial" w:cs="Arial" w:eastAsia="Arial" w:hAnsi="Arial"/>
            <w:sz w:val="17"/>
            <w:szCs w:val="17"/>
            <w:u w:val="single" w:color="auto"/>
            <w:color w:val="0000FF"/>
          </w:rPr>
          <w:t>Certification of Principal Financial Officer Pursuant to Section 302 of the Sarbanes-Oxley Act of 2002 (filed herewith)</w:t>
        </w:r>
      </w:hyperlink>
    </w:p>
    <w:p>
      <w:pPr>
        <w:spacing w:after="0" w:line="306" w:lineRule="exact"/>
        <w:rPr>
          <w:rFonts w:ascii="Arial" w:cs="Arial" w:eastAsia="Arial" w:hAnsi="Arial"/>
          <w:sz w:val="18"/>
          <w:szCs w:val="18"/>
          <w:u w:val="single" w:color="auto"/>
          <w:color w:val="0000FF"/>
        </w:rPr>
      </w:pPr>
    </w:p>
    <w:p>
      <w:pPr>
        <w:ind w:left="1460" w:hanging="835"/>
        <w:spacing w:after="0" w:line="246"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9">
        <w:r>
          <w:rPr>
            <w:rFonts w:ascii="Arial" w:cs="Arial" w:eastAsia="Arial" w:hAnsi="Arial"/>
            <w:sz w:val="18"/>
            <w:szCs w:val="18"/>
            <w:u w:val="single" w:color="auto"/>
            <w:color w:val="0000FF"/>
          </w:rPr>
          <w:t>Certification of Principal Executive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49">
        <w:r>
          <w:rPr>
            <w:rFonts w:ascii="Arial" w:cs="Arial" w:eastAsia="Arial" w:hAnsi="Arial"/>
            <w:sz w:val="18"/>
            <w:szCs w:val="18"/>
            <w:u w:val="single" w:color="auto"/>
            <w:color w:val="0000FF"/>
          </w:rPr>
          <w:t>Sarbanes-Oxley Act of 2002 (filed herewith)</w:t>
        </w:r>
      </w:hyperlink>
    </w:p>
    <w:p>
      <w:pPr>
        <w:spacing w:after="0" w:line="291" w:lineRule="exact"/>
        <w:rPr>
          <w:sz w:val="20"/>
          <w:szCs w:val="20"/>
          <w:color w:val="auto"/>
        </w:rPr>
      </w:pPr>
    </w:p>
    <w:p>
      <w:pPr>
        <w:ind w:left="1460" w:right="20" w:hanging="835"/>
        <w:spacing w:after="0" w:line="246"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50">
        <w:r>
          <w:rPr>
            <w:rFonts w:ascii="Arial" w:cs="Arial" w:eastAsia="Arial" w:hAnsi="Arial"/>
            <w:sz w:val="18"/>
            <w:szCs w:val="18"/>
            <w:u w:val="single" w:color="auto"/>
            <w:color w:val="0000FF"/>
          </w:rPr>
          <w:t>Certification of Principal Financial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Sarbanes-Oxley Act of 2002 (filed herewith)</w:t>
        </w:r>
      </w:hyperlink>
    </w:p>
    <w:p>
      <w:pPr>
        <w:spacing w:after="0" w:line="291" w:lineRule="exact"/>
        <w:rPr>
          <w:sz w:val="20"/>
          <w:szCs w:val="20"/>
          <w:color w:val="auto"/>
        </w:rPr>
      </w:pPr>
    </w:p>
    <w:p>
      <w:pPr>
        <w:ind w:left="1460" w:hanging="679"/>
        <w:spacing w:after="0"/>
        <w:tabs>
          <w:tab w:leader="none" w:pos="1460" w:val="left"/>
        </w:tabs>
        <w:numPr>
          <w:ilvl w:val="0"/>
          <w:numId w:val="20"/>
        </w:numPr>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Mine Safety Disclosures</w:t>
        </w:r>
      </w:hyperlink>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tcPr>
          <w:p>
            <w:pPr>
              <w:ind w:left="240"/>
              <w:spacing w:after="0"/>
              <w:rPr>
                <w:sz w:val="20"/>
                <w:szCs w:val="20"/>
                <w:color w:val="auto"/>
              </w:rPr>
            </w:pPr>
            <w:r>
              <w:rPr>
                <w:rFonts w:ascii="Arial" w:cs="Arial" w:eastAsia="Arial" w:hAnsi="Arial"/>
                <w:sz w:val="18"/>
                <w:szCs w:val="18"/>
                <w:color w:val="auto"/>
              </w:rPr>
              <w:t>The following financial statements from the Company's Quarterly Report on Form 10-Q for the quarter ended March 31,</w:t>
            </w:r>
          </w:p>
        </w:tc>
      </w:tr>
      <w:tr>
        <w:trPr>
          <w:trHeight w:val="203"/>
        </w:trPr>
        <w:tc>
          <w:tcPr>
            <w:tcW w:w="880" w:type="dxa"/>
            <w:vAlign w:val="bottom"/>
          </w:tcPr>
          <w:p>
            <w:pPr>
              <w:spacing w:after="0"/>
              <w:rPr>
                <w:sz w:val="17"/>
                <w:szCs w:val="17"/>
                <w:color w:val="auto"/>
              </w:rPr>
            </w:pPr>
          </w:p>
        </w:tc>
        <w:tc>
          <w:tcPr>
            <w:tcW w:w="9960" w:type="dxa"/>
            <w:vAlign w:val="bottom"/>
          </w:tcPr>
          <w:p>
            <w:pPr>
              <w:ind w:left="240"/>
              <w:spacing w:after="0" w:line="202" w:lineRule="exact"/>
              <w:rPr>
                <w:sz w:val="20"/>
                <w:szCs w:val="20"/>
                <w:color w:val="auto"/>
              </w:rPr>
            </w:pPr>
            <w:r>
              <w:rPr>
                <w:rFonts w:ascii="Arial" w:cs="Arial" w:eastAsia="Arial" w:hAnsi="Arial"/>
                <w:sz w:val="18"/>
                <w:szCs w:val="18"/>
                <w:color w:val="auto"/>
              </w:rPr>
              <w:t>2020, formatted in Inline XBRL: (i) Consolidated Statements of Cash Flows, (ii) Consolidated Statements of Operations,</w:t>
            </w:r>
          </w:p>
        </w:tc>
      </w:tr>
      <w:tr>
        <w:trPr>
          <w:trHeight w:val="203"/>
        </w:trPr>
        <w:tc>
          <w:tcPr>
            <w:tcW w:w="880" w:type="dxa"/>
            <w:vAlign w:val="bottom"/>
          </w:tcPr>
          <w:p>
            <w:pPr>
              <w:spacing w:after="0"/>
              <w:rPr>
                <w:sz w:val="17"/>
                <w:szCs w:val="17"/>
                <w:color w:val="auto"/>
              </w:rPr>
            </w:pPr>
          </w:p>
        </w:tc>
        <w:tc>
          <w:tcPr>
            <w:tcW w:w="9960" w:type="dxa"/>
            <w:vAlign w:val="bottom"/>
          </w:tcPr>
          <w:p>
            <w:pPr>
              <w:ind w:left="240"/>
              <w:spacing w:after="0" w:line="202" w:lineRule="exact"/>
              <w:rPr>
                <w:sz w:val="20"/>
                <w:szCs w:val="20"/>
                <w:color w:val="auto"/>
              </w:rPr>
            </w:pPr>
            <w:r>
              <w:rPr>
                <w:rFonts w:ascii="Arial" w:cs="Arial" w:eastAsia="Arial" w:hAnsi="Arial"/>
                <w:sz w:val="18"/>
                <w:szCs w:val="18"/>
                <w:color w:val="auto"/>
              </w:rPr>
              <w:t>(iii) Consolidated Statements of Comprehensive Income, (iv) Consolidated Balance Sheets, and (v) Notes to Consolidated</w:t>
            </w:r>
          </w:p>
        </w:tc>
      </w:tr>
      <w:tr>
        <w:trPr>
          <w:trHeight w:val="217"/>
        </w:trPr>
        <w:tc>
          <w:tcPr>
            <w:tcW w:w="880" w:type="dxa"/>
            <w:vAlign w:val="bottom"/>
          </w:tcPr>
          <w:p>
            <w:pPr>
              <w:spacing w:after="0"/>
              <w:rPr>
                <w:sz w:val="18"/>
                <w:szCs w:val="18"/>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Financial Statements, tagged as blocks of text and including detailed tags.</w:t>
            </w:r>
          </w:p>
        </w:tc>
      </w:tr>
    </w:tbl>
    <w:p>
      <w:pPr>
        <w:spacing w:after="0" w:line="296"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960" w:type="dxa"/>
            <w:vAlign w:val="bottom"/>
          </w:tcPr>
          <w:p>
            <w:pPr>
              <w:jc w:val="right"/>
              <w:ind w:right="150"/>
              <w:spacing w:after="0"/>
              <w:rPr>
                <w:sz w:val="20"/>
                <w:szCs w:val="20"/>
                <w:color w:val="auto"/>
              </w:rPr>
            </w:pPr>
            <w:r>
              <w:rPr>
                <w:rFonts w:ascii="Arial" w:cs="Arial" w:eastAsia="Arial" w:hAnsi="Arial"/>
                <w:sz w:val="18"/>
                <w:szCs w:val="18"/>
                <w:color w:val="auto"/>
                <w:w w:val="95"/>
              </w:rPr>
              <w:t>101.SCH</w:t>
            </w:r>
          </w:p>
        </w:tc>
        <w:tc>
          <w:tcPr>
            <w:tcW w:w="5960" w:type="dxa"/>
            <w:vAlign w:val="bottom"/>
          </w:tcPr>
          <w:p>
            <w:pPr>
              <w:ind w:left="240"/>
              <w:spacing w:after="0"/>
              <w:rPr>
                <w:sz w:val="20"/>
                <w:szCs w:val="20"/>
                <w:color w:val="auto"/>
              </w:rPr>
            </w:pPr>
            <w:r>
              <w:rPr>
                <w:rFonts w:ascii="Arial" w:cs="Arial" w:eastAsia="Arial" w:hAnsi="Arial"/>
                <w:sz w:val="18"/>
                <w:szCs w:val="18"/>
                <w:color w:val="auto"/>
              </w:rPr>
              <w:t>Inline XBRL Taxonomy Extension Schema (filed herewith)</w:t>
            </w:r>
          </w:p>
        </w:tc>
      </w:tr>
      <w:tr>
        <w:trPr>
          <w:trHeight w:val="513"/>
        </w:trPr>
        <w:tc>
          <w:tcPr>
            <w:tcW w:w="960" w:type="dxa"/>
            <w:vAlign w:val="bottom"/>
          </w:tcPr>
          <w:p>
            <w:pPr>
              <w:jc w:val="right"/>
              <w:ind w:right="150"/>
              <w:spacing w:after="0"/>
              <w:rPr>
                <w:sz w:val="20"/>
                <w:szCs w:val="20"/>
                <w:color w:val="auto"/>
              </w:rPr>
            </w:pPr>
            <w:r>
              <w:rPr>
                <w:rFonts w:ascii="Arial" w:cs="Arial" w:eastAsia="Arial" w:hAnsi="Arial"/>
                <w:sz w:val="18"/>
                <w:szCs w:val="18"/>
                <w:color w:val="auto"/>
                <w:w w:val="99"/>
              </w:rPr>
              <w:t>101.CAL</w:t>
            </w:r>
          </w:p>
        </w:tc>
        <w:tc>
          <w:tcPr>
            <w:tcW w:w="596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513"/>
        </w:trPr>
        <w:tc>
          <w:tcPr>
            <w:tcW w:w="960" w:type="dxa"/>
            <w:vAlign w:val="bottom"/>
          </w:tcPr>
          <w:p>
            <w:pPr>
              <w:jc w:val="right"/>
              <w:ind w:right="150"/>
              <w:spacing w:after="0"/>
              <w:rPr>
                <w:sz w:val="20"/>
                <w:szCs w:val="20"/>
                <w:color w:val="auto"/>
              </w:rPr>
            </w:pPr>
            <w:r>
              <w:rPr>
                <w:rFonts w:ascii="Arial" w:cs="Arial" w:eastAsia="Arial" w:hAnsi="Arial"/>
                <w:sz w:val="18"/>
                <w:szCs w:val="18"/>
                <w:color w:val="auto"/>
                <w:w w:val="98"/>
              </w:rPr>
              <w:t>101.DEF</w:t>
            </w:r>
          </w:p>
        </w:tc>
        <w:tc>
          <w:tcPr>
            <w:tcW w:w="596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(filed herewith)</w:t>
            </w:r>
          </w:p>
        </w:tc>
      </w:tr>
      <w:tr>
        <w:trPr>
          <w:trHeight w:val="513"/>
        </w:trPr>
        <w:tc>
          <w:tcPr>
            <w:tcW w:w="960" w:type="dxa"/>
            <w:vAlign w:val="bottom"/>
          </w:tcPr>
          <w:p>
            <w:pPr>
              <w:jc w:val="right"/>
              <w:ind w:right="150"/>
              <w:spacing w:after="0"/>
              <w:rPr>
                <w:sz w:val="20"/>
                <w:szCs w:val="20"/>
                <w:color w:val="auto"/>
              </w:rPr>
            </w:pPr>
            <w:r>
              <w:rPr>
                <w:rFonts w:ascii="Arial" w:cs="Arial" w:eastAsia="Arial" w:hAnsi="Arial"/>
                <w:sz w:val="18"/>
                <w:szCs w:val="18"/>
                <w:color w:val="auto"/>
              </w:rPr>
              <w:t>101.LAB</w:t>
            </w:r>
          </w:p>
        </w:tc>
        <w:tc>
          <w:tcPr>
            <w:tcW w:w="596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(filed herewith)</w:t>
            </w:r>
          </w:p>
        </w:tc>
      </w:tr>
      <w:tr>
        <w:trPr>
          <w:trHeight w:val="513"/>
        </w:trPr>
        <w:tc>
          <w:tcPr>
            <w:tcW w:w="960" w:type="dxa"/>
            <w:vAlign w:val="bottom"/>
          </w:tcPr>
          <w:p>
            <w:pPr>
              <w:jc w:val="right"/>
              <w:ind w:right="150"/>
              <w:spacing w:after="0"/>
              <w:rPr>
                <w:sz w:val="20"/>
                <w:szCs w:val="20"/>
                <w:color w:val="auto"/>
              </w:rPr>
            </w:pPr>
            <w:r>
              <w:rPr>
                <w:rFonts w:ascii="Arial" w:cs="Arial" w:eastAsia="Arial" w:hAnsi="Arial"/>
                <w:sz w:val="18"/>
                <w:szCs w:val="18"/>
                <w:color w:val="auto"/>
                <w:w w:val="97"/>
              </w:rPr>
              <w:t>101.PRE</w:t>
            </w:r>
          </w:p>
        </w:tc>
        <w:tc>
          <w:tcPr>
            <w:tcW w:w="5960" w:type="dxa"/>
            <w:vAlign w:val="bottom"/>
          </w:tcPr>
          <w:p>
            <w:pPr>
              <w:ind w:left="240"/>
              <w:spacing w:after="0"/>
              <w:rPr>
                <w:sz w:val="20"/>
                <w:szCs w:val="20"/>
                <w:color w:val="auto"/>
              </w:rPr>
            </w:pPr>
            <w:r>
              <w:rPr>
                <w:rFonts w:ascii="Arial" w:cs="Arial" w:eastAsia="Arial" w:hAnsi="Arial"/>
                <w:sz w:val="18"/>
                <w:szCs w:val="18"/>
                <w:color w:val="auto"/>
                <w:w w:val="99"/>
              </w:rPr>
              <w:t>Inline XBRL Taxonomy Extension Presentation Linkbase (filed herewith)</w:t>
            </w:r>
          </w:p>
        </w:tc>
      </w:tr>
    </w:tbl>
    <w:p>
      <w:pPr>
        <w:spacing w:after="0" w:line="161" w:lineRule="exact"/>
        <w:rPr>
          <w:sz w:val="20"/>
          <w:szCs w:val="20"/>
          <w:color w:val="auto"/>
        </w:rPr>
      </w:pPr>
    </w:p>
    <w:p>
      <w:pPr>
        <w:ind w:left="1460" w:right="20" w:hanging="780"/>
        <w:spacing w:after="0" w:line="246"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from the Company’s Quarterly Report on Form 10-Q for the quarter ended March 31, 2020,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60" w:top="918" w:right="3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Honeywell International Inc.</w:t>
      </w:r>
    </w:p>
    <w:p>
      <w:pPr>
        <w:spacing w:after="0" w:line="306" w:lineRule="exact"/>
        <w:rPr>
          <w:sz w:val="20"/>
          <w:szCs w:val="20"/>
          <w:color w:val="auto"/>
        </w:rPr>
      </w:pPr>
    </w:p>
    <w:p>
      <w:pPr>
        <w:ind w:left="5260"/>
        <w:spacing w:after="0"/>
        <w:tabs>
          <w:tab w:leader="none" w:pos="7320" w:val="left"/>
        </w:tabs>
        <w:rPr>
          <w:sz w:val="20"/>
          <w:szCs w:val="20"/>
          <w:color w:val="auto"/>
        </w:rPr>
      </w:pPr>
      <w:r>
        <w:rPr>
          <w:rFonts w:ascii="Arial" w:cs="Arial" w:eastAsia="Arial" w:hAnsi="Arial"/>
          <w:sz w:val="18"/>
          <w:szCs w:val="18"/>
          <w:color w:val="auto"/>
        </w:rPr>
        <w:t>Date: May 1, 2020 By:</w:t>
      </w:r>
      <w:r>
        <w:rPr>
          <w:sz w:val="20"/>
          <w:szCs w:val="20"/>
          <w:color w:val="auto"/>
        </w:rPr>
        <w:tab/>
      </w:r>
      <w:r>
        <w:rPr>
          <w:rFonts w:ascii="Arial" w:cs="Arial" w:eastAsia="Arial" w:hAnsi="Arial"/>
          <w:sz w:val="17"/>
          <w:szCs w:val="17"/>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Robert D. Mailloux</w:t>
      </w:r>
    </w:p>
    <w:p>
      <w:pPr>
        <w:ind w:left="7340"/>
        <w:spacing w:after="0" w:line="234" w:lineRule="auto"/>
        <w:rPr>
          <w:sz w:val="20"/>
          <w:szCs w:val="20"/>
          <w:color w:val="auto"/>
        </w:rPr>
      </w:pPr>
      <w:r>
        <w:rPr>
          <w:rFonts w:ascii="Arial" w:cs="Arial" w:eastAsia="Arial" w:hAnsi="Arial"/>
          <w:sz w:val="18"/>
          <w:szCs w:val="18"/>
          <w:color w:val="auto"/>
        </w:rPr>
        <w:t>Vice President and Controller</w:t>
      </w:r>
    </w:p>
    <w:p>
      <w:pPr>
        <w:ind w:left="7340"/>
        <w:spacing w:after="0" w:line="235" w:lineRule="auto"/>
        <w:rPr>
          <w:sz w:val="20"/>
          <w:szCs w:val="20"/>
          <w:color w:val="auto"/>
        </w:rPr>
      </w:pPr>
      <w:r>
        <w:rPr>
          <w:rFonts w:ascii="Arial" w:cs="Arial" w:eastAsia="Arial" w:hAnsi="Arial"/>
          <w:sz w:val="18"/>
          <w:szCs w:val="18"/>
          <w:color w:val="auto"/>
        </w:rPr>
        <w:t>(on behalf of the Registrant</w:t>
      </w:r>
    </w:p>
    <w:p>
      <w:pPr>
        <w:ind w:left="7340"/>
        <w:spacing w:after="0" w:line="235" w:lineRule="auto"/>
        <w:rPr>
          <w:sz w:val="20"/>
          <w:szCs w:val="20"/>
          <w:color w:val="auto"/>
        </w:rPr>
      </w:pPr>
      <w:r>
        <w:rPr>
          <w:rFonts w:ascii="Arial" w:cs="Arial" w:eastAsia="Arial" w:hAnsi="Arial"/>
          <w:sz w:val="18"/>
          <w:szCs w:val="18"/>
          <w:color w:val="auto"/>
        </w:rPr>
        <w:t>and as the Registrant’s</w:t>
      </w:r>
    </w:p>
    <w:p>
      <w:pPr>
        <w:ind w:left="73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76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387" w:lineRule="exact"/>
        <w:rPr>
          <w:sz w:val="20"/>
          <w:szCs w:val="20"/>
          <w:color w:val="auto"/>
        </w:rPr>
      </w:pPr>
    </w:p>
    <w:p>
      <w:pPr>
        <w:ind w:left="380" w:hanging="345"/>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306" w:lineRule="exact"/>
        <w:rPr>
          <w:rFonts w:ascii="Arial" w:cs="Arial" w:eastAsia="Arial" w:hAnsi="Arial"/>
          <w:sz w:val="18"/>
          <w:szCs w:val="18"/>
          <w:color w:val="auto"/>
        </w:rPr>
      </w:pPr>
    </w:p>
    <w:p>
      <w:pPr>
        <w:jc w:val="both"/>
        <w:ind w:left="380" w:right="40" w:hanging="345"/>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7" w:lineRule="exact"/>
        <w:rPr>
          <w:rFonts w:ascii="Arial" w:cs="Arial" w:eastAsia="Arial" w:hAnsi="Arial"/>
          <w:sz w:val="18"/>
          <w:szCs w:val="18"/>
          <w:color w:val="auto"/>
        </w:rPr>
      </w:pPr>
    </w:p>
    <w:p>
      <w:pPr>
        <w:ind w:left="380" w:right="20" w:hanging="345"/>
        <w:spacing w:after="0" w:line="246"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1" w:lineRule="exact"/>
        <w:rPr>
          <w:rFonts w:ascii="Arial" w:cs="Arial" w:eastAsia="Arial" w:hAnsi="Arial"/>
          <w:sz w:val="18"/>
          <w:szCs w:val="18"/>
          <w:color w:val="auto"/>
        </w:rPr>
      </w:pPr>
    </w:p>
    <w:p>
      <w:pPr>
        <w:jc w:val="both"/>
        <w:ind w:left="380" w:right="20" w:hanging="345"/>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306" w:lineRule="exact"/>
        <w:rPr>
          <w:rFonts w:ascii="Arial" w:cs="Arial" w:eastAsia="Arial" w:hAnsi="Arial"/>
          <w:sz w:val="18"/>
          <w:szCs w:val="18"/>
          <w:color w:val="auto"/>
        </w:rPr>
      </w:pPr>
    </w:p>
    <w:p>
      <w:pPr>
        <w:jc w:val="both"/>
        <w:ind w:left="1380" w:right="20" w:hanging="608"/>
        <w:spacing w:after="0"/>
        <w:tabs>
          <w:tab w:leader="none" w:pos="1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7" w:lineRule="exact"/>
        <w:rPr>
          <w:rFonts w:ascii="Arial" w:cs="Arial" w:eastAsia="Arial" w:hAnsi="Arial"/>
          <w:sz w:val="18"/>
          <w:szCs w:val="18"/>
          <w:color w:val="auto"/>
        </w:rPr>
      </w:pPr>
    </w:p>
    <w:p>
      <w:pPr>
        <w:jc w:val="both"/>
        <w:ind w:left="1380" w:right="40" w:hanging="608"/>
        <w:spacing w:after="0"/>
        <w:tabs>
          <w:tab w:leader="none" w:pos="1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7" w:lineRule="exact"/>
        <w:rPr>
          <w:rFonts w:ascii="Arial" w:cs="Arial" w:eastAsia="Arial" w:hAnsi="Arial"/>
          <w:sz w:val="18"/>
          <w:szCs w:val="18"/>
          <w:color w:val="auto"/>
        </w:rPr>
      </w:pPr>
    </w:p>
    <w:p>
      <w:pPr>
        <w:jc w:val="both"/>
        <w:ind w:left="1380" w:right="40" w:hanging="603"/>
        <w:spacing w:after="0"/>
        <w:tabs>
          <w:tab w:leader="none" w:pos="1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7" w:lineRule="exact"/>
        <w:rPr>
          <w:rFonts w:ascii="Arial" w:cs="Arial" w:eastAsia="Arial" w:hAnsi="Arial"/>
          <w:sz w:val="18"/>
          <w:szCs w:val="18"/>
          <w:color w:val="auto"/>
        </w:rPr>
      </w:pPr>
    </w:p>
    <w:p>
      <w:pPr>
        <w:jc w:val="both"/>
        <w:ind w:left="1380" w:right="40" w:hanging="608"/>
        <w:spacing w:after="0"/>
        <w:tabs>
          <w:tab w:leader="none" w:pos="1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97" w:lineRule="exact"/>
        <w:rPr>
          <w:rFonts w:ascii="Arial" w:cs="Arial" w:eastAsia="Arial" w:hAnsi="Arial"/>
          <w:sz w:val="18"/>
          <w:szCs w:val="18"/>
          <w:color w:val="auto"/>
        </w:rPr>
      </w:pPr>
    </w:p>
    <w:p>
      <w:pPr>
        <w:jc w:val="both"/>
        <w:ind w:left="380" w:right="20" w:hanging="345"/>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7" w:lineRule="exact"/>
        <w:rPr>
          <w:rFonts w:ascii="Arial" w:cs="Arial" w:eastAsia="Arial" w:hAnsi="Arial"/>
          <w:sz w:val="18"/>
          <w:szCs w:val="18"/>
          <w:color w:val="auto"/>
        </w:rPr>
      </w:pPr>
    </w:p>
    <w:p>
      <w:pPr>
        <w:jc w:val="both"/>
        <w:ind w:left="1380" w:right="40" w:hanging="608"/>
        <w:spacing w:after="0"/>
        <w:tabs>
          <w:tab w:leader="none" w:pos="1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7" w:lineRule="exact"/>
        <w:rPr>
          <w:rFonts w:ascii="Arial" w:cs="Arial" w:eastAsia="Arial" w:hAnsi="Arial"/>
          <w:sz w:val="18"/>
          <w:szCs w:val="18"/>
          <w:color w:val="auto"/>
        </w:rPr>
      </w:pPr>
    </w:p>
    <w:p>
      <w:pPr>
        <w:ind w:left="1380" w:right="40" w:hanging="608"/>
        <w:spacing w:after="0" w:line="246" w:lineRule="auto"/>
        <w:tabs>
          <w:tab w:leader="none" w:pos="1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20"/>
        <w:spacing w:after="0"/>
        <w:tabs>
          <w:tab w:leader="none" w:pos="6200" w:val="left"/>
        </w:tabs>
        <w:rPr>
          <w:sz w:val="20"/>
          <w:szCs w:val="20"/>
          <w:color w:val="auto"/>
        </w:rPr>
      </w:pPr>
      <w:r>
        <w:rPr>
          <w:rFonts w:ascii="Arial" w:cs="Arial" w:eastAsia="Arial" w:hAnsi="Arial"/>
          <w:sz w:val="18"/>
          <w:szCs w:val="18"/>
          <w:color w:val="auto"/>
        </w:rPr>
        <w:t>Date: May 1, 2020 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Darius Adamczyk</w:t>
      </w:r>
    </w:p>
    <w:p>
      <w:pPr>
        <w:spacing w:after="0" w:line="5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54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387" w:lineRule="exact"/>
        <w:rPr>
          <w:sz w:val="20"/>
          <w:szCs w:val="20"/>
          <w:color w:val="auto"/>
        </w:rPr>
      </w:pPr>
    </w:p>
    <w:p>
      <w:pPr>
        <w:ind w:left="380" w:hanging="345"/>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306" w:lineRule="exact"/>
        <w:rPr>
          <w:rFonts w:ascii="Arial" w:cs="Arial" w:eastAsia="Arial" w:hAnsi="Arial"/>
          <w:sz w:val="18"/>
          <w:szCs w:val="18"/>
          <w:color w:val="auto"/>
        </w:rPr>
      </w:pPr>
    </w:p>
    <w:p>
      <w:pPr>
        <w:jc w:val="both"/>
        <w:ind w:left="380" w:right="40" w:hanging="345"/>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7" w:lineRule="exact"/>
        <w:rPr>
          <w:rFonts w:ascii="Arial" w:cs="Arial" w:eastAsia="Arial" w:hAnsi="Arial"/>
          <w:sz w:val="18"/>
          <w:szCs w:val="18"/>
          <w:color w:val="auto"/>
        </w:rPr>
      </w:pPr>
    </w:p>
    <w:p>
      <w:pPr>
        <w:ind w:left="380" w:right="20" w:hanging="345"/>
        <w:spacing w:after="0" w:line="246"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1" w:lineRule="exact"/>
        <w:rPr>
          <w:rFonts w:ascii="Arial" w:cs="Arial" w:eastAsia="Arial" w:hAnsi="Arial"/>
          <w:sz w:val="18"/>
          <w:szCs w:val="18"/>
          <w:color w:val="auto"/>
        </w:rPr>
      </w:pPr>
    </w:p>
    <w:p>
      <w:pPr>
        <w:jc w:val="both"/>
        <w:ind w:left="380" w:right="20" w:hanging="345"/>
        <w:spacing w:after="0" w:line="23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306" w:lineRule="exact"/>
        <w:rPr>
          <w:rFonts w:ascii="Arial" w:cs="Arial" w:eastAsia="Arial" w:hAnsi="Arial"/>
          <w:sz w:val="18"/>
          <w:szCs w:val="18"/>
          <w:color w:val="auto"/>
        </w:rPr>
      </w:pPr>
    </w:p>
    <w:p>
      <w:pPr>
        <w:jc w:val="both"/>
        <w:ind w:left="1380" w:right="20" w:hanging="608"/>
        <w:spacing w:after="0"/>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7" w:lineRule="exact"/>
        <w:rPr>
          <w:rFonts w:ascii="Arial" w:cs="Arial" w:eastAsia="Arial" w:hAnsi="Arial"/>
          <w:sz w:val="18"/>
          <w:szCs w:val="18"/>
          <w:color w:val="auto"/>
        </w:rPr>
      </w:pPr>
    </w:p>
    <w:p>
      <w:pPr>
        <w:jc w:val="both"/>
        <w:ind w:left="1380" w:right="40" w:hanging="608"/>
        <w:spacing w:after="0"/>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7" w:lineRule="exact"/>
        <w:rPr>
          <w:rFonts w:ascii="Arial" w:cs="Arial" w:eastAsia="Arial" w:hAnsi="Arial"/>
          <w:sz w:val="18"/>
          <w:szCs w:val="18"/>
          <w:color w:val="auto"/>
        </w:rPr>
      </w:pPr>
    </w:p>
    <w:p>
      <w:pPr>
        <w:jc w:val="both"/>
        <w:ind w:left="1380" w:right="40" w:hanging="603"/>
        <w:spacing w:after="0"/>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7" w:lineRule="exact"/>
        <w:rPr>
          <w:rFonts w:ascii="Arial" w:cs="Arial" w:eastAsia="Arial" w:hAnsi="Arial"/>
          <w:sz w:val="18"/>
          <w:szCs w:val="18"/>
          <w:color w:val="auto"/>
        </w:rPr>
      </w:pPr>
    </w:p>
    <w:p>
      <w:pPr>
        <w:jc w:val="both"/>
        <w:ind w:left="1380" w:right="40" w:hanging="608"/>
        <w:spacing w:after="0"/>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97" w:lineRule="exact"/>
        <w:rPr>
          <w:rFonts w:ascii="Arial" w:cs="Arial" w:eastAsia="Arial" w:hAnsi="Arial"/>
          <w:sz w:val="18"/>
          <w:szCs w:val="18"/>
          <w:color w:val="auto"/>
        </w:rPr>
      </w:pPr>
    </w:p>
    <w:p>
      <w:pPr>
        <w:jc w:val="both"/>
        <w:ind w:left="380" w:right="20" w:hanging="345"/>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7" w:lineRule="exact"/>
        <w:rPr>
          <w:rFonts w:ascii="Arial" w:cs="Arial" w:eastAsia="Arial" w:hAnsi="Arial"/>
          <w:sz w:val="18"/>
          <w:szCs w:val="18"/>
          <w:color w:val="auto"/>
        </w:rPr>
      </w:pPr>
    </w:p>
    <w:p>
      <w:pPr>
        <w:jc w:val="both"/>
        <w:ind w:left="1380" w:right="40" w:hanging="608"/>
        <w:spacing w:after="0"/>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7" w:lineRule="exact"/>
        <w:rPr>
          <w:rFonts w:ascii="Arial" w:cs="Arial" w:eastAsia="Arial" w:hAnsi="Arial"/>
          <w:sz w:val="18"/>
          <w:szCs w:val="18"/>
          <w:color w:val="auto"/>
        </w:rPr>
      </w:pPr>
    </w:p>
    <w:p>
      <w:pPr>
        <w:ind w:left="1380" w:right="40" w:hanging="608"/>
        <w:spacing w:after="0" w:line="246" w:lineRule="auto"/>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20"/>
        <w:spacing w:after="0"/>
        <w:tabs>
          <w:tab w:leader="none" w:pos="6200" w:val="left"/>
        </w:tabs>
        <w:rPr>
          <w:sz w:val="20"/>
          <w:szCs w:val="20"/>
          <w:color w:val="auto"/>
        </w:rPr>
      </w:pPr>
      <w:r>
        <w:rPr>
          <w:rFonts w:ascii="Arial" w:cs="Arial" w:eastAsia="Arial" w:hAnsi="Arial"/>
          <w:sz w:val="18"/>
          <w:szCs w:val="18"/>
          <w:color w:val="auto"/>
        </w:rPr>
        <w:t>Date: May 1, 2020 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Gregory P. Lewis</w:t>
      </w:r>
    </w:p>
    <w:p>
      <w:pPr>
        <w:spacing w:after="0" w:line="5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54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2020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840" w:hanging="333"/>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40" w:hanging="333"/>
        <w:spacing w:after="0" w:line="261"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4020"/>
        <w:spacing w:after="0"/>
        <w:tabs>
          <w:tab w:leader="none" w:pos="6200" w:val="left"/>
        </w:tabs>
        <w:rPr>
          <w:sz w:val="20"/>
          <w:szCs w:val="20"/>
          <w:color w:val="auto"/>
        </w:rPr>
      </w:pPr>
      <w:r>
        <w:rPr>
          <w:rFonts w:ascii="Arial" w:cs="Arial" w:eastAsia="Arial" w:hAnsi="Arial"/>
          <w:sz w:val="18"/>
          <w:szCs w:val="18"/>
          <w:color w:val="auto"/>
        </w:rPr>
        <w:t>Date: May 1, 2020 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Darius Adamczyk</w:t>
      </w:r>
    </w:p>
    <w:p>
      <w:pPr>
        <w:spacing w:after="0" w:line="5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54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2020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840" w:hanging="333"/>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40" w:hanging="333"/>
        <w:spacing w:after="0" w:line="261"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4020"/>
        <w:spacing w:after="0"/>
        <w:tabs>
          <w:tab w:leader="none" w:pos="6200" w:val="left"/>
        </w:tabs>
        <w:rPr>
          <w:sz w:val="20"/>
          <w:szCs w:val="20"/>
          <w:color w:val="auto"/>
        </w:rPr>
      </w:pPr>
      <w:r>
        <w:rPr>
          <w:rFonts w:ascii="Arial" w:cs="Arial" w:eastAsia="Arial" w:hAnsi="Arial"/>
          <w:sz w:val="18"/>
          <w:szCs w:val="18"/>
          <w:color w:val="auto"/>
        </w:rPr>
        <w:t>Date: May 1, 2020 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Gregory P. Lewis</w:t>
      </w:r>
    </w:p>
    <w:p>
      <w:pPr>
        <w:spacing w:after="0" w:line="5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54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55"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97" w:lineRule="exact"/>
        <w:rPr>
          <w:sz w:val="20"/>
          <w:szCs w:val="20"/>
          <w:color w:val="auto"/>
        </w:rPr>
      </w:pPr>
    </w:p>
    <w:p>
      <w:pPr>
        <w:jc w:val="both"/>
        <w:ind w:firstLine="351"/>
        <w:spacing w:after="0" w:line="252" w:lineRule="auto"/>
        <w:rPr>
          <w:sz w:val="20"/>
          <w:szCs w:val="20"/>
          <w:color w:val="auto"/>
        </w:rPr>
      </w:pPr>
      <w:r>
        <w:rPr>
          <w:rFonts w:ascii="Arial" w:cs="Arial" w:eastAsia="Arial" w:hAnsi="Arial"/>
          <w:sz w:val="18"/>
          <w:szCs w:val="18"/>
          <w:color w:val="auto"/>
        </w:rPr>
        <w:t>During the quarter ended March 31, 2020,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00"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In addition, during the quarter ended March 31, 2020,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3"/>
    </w:lvl>
  </w:abstractNum>
  <w:abstractNum w:abstractNumId="4">
    <w:nsid w:val="1BEFD79F"/>
    <w:multiLevelType w:val="hybridMultilevel"/>
    <w:lvl w:ilvl="0">
      <w:lvlJc w:val="left"/>
      <w:lvlText w:val="(%1)"/>
      <w:numFmt w:val="decimal"/>
      <w:start w:val="284"/>
    </w:lvl>
  </w:abstractNum>
  <w:abstractNum w:abstractNumId="5">
    <w:nsid w:val="41A7C4C9"/>
    <w:multiLevelType w:val="hybridMultilevel"/>
    <w:lvl w:ilvl="0">
      <w:lvlJc w:val="left"/>
      <w:lvlText w:val="(%1)"/>
      <w:numFmt w:val="decimal"/>
      <w:start w:val="11"/>
    </w:lvl>
  </w:abstractNum>
  <w:abstractNum w:abstractNumId="6">
    <w:nsid w:val="6B68079A"/>
    <w:multiLevelType w:val="hybridMultilevel"/>
    <w:lvl w:ilvl="0">
      <w:lvlJc w:val="left"/>
      <w:lvlText w:val="(%1)"/>
      <w:numFmt w:val="lowerLetter"/>
      <w:start w:val="2"/>
    </w:lvl>
  </w:abstractNum>
  <w:abstractNum w:abstractNumId="7">
    <w:nsid w:val="4E6AFB66"/>
    <w:multiLevelType w:val="hybridMultilevel"/>
    <w:lvl w:ilvl="0">
      <w:lvlJc w:val="left"/>
      <w:lvlText w:val="(%1)"/>
      <w:numFmt w:val="lowerRoman"/>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upperLetter"/>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upperLetter"/>
      <w:start w:val="2"/>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95"/>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25" Type="http://schemas.openxmlformats.org/officeDocument/2006/relationships/hyperlink" Target="http://www.sec.gov/Archives/edgar/data/773840/000077384020000016/exhibit101.htm" TargetMode="External"/><Relationship Id="rId26" Type="http://schemas.openxmlformats.org/officeDocument/2006/relationships/hyperlink" Target="http://www.sec.gov/Archives/edgar/data/773840/000119312520103955/d91375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2020-05-01T08:36:50Z</dcterms:created>
  <dcterms:modified xsi:type="dcterms:W3CDTF">2020-05-01T08:36:50Z</dcterms:modified>
</cp:coreProperties>
</file>