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 w:line="62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12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SEC Form 3</w:t>
            </w: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8"/>
        </w:trPr>
        <w:tc>
          <w:tcPr>
            <w:tcW w:w="2000" w:type="dxa"/>
            <w:vAlign w:val="bottom"/>
          </w:tcPr>
          <w:p>
            <w:pPr>
              <w:ind w:left="580"/>
              <w:spacing w:after="0" w:line="28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b w:val="1"/>
                <w:bCs w:val="1"/>
                <w:color w:val="auto"/>
              </w:rPr>
              <w:t>FORM 3</w:t>
            </w:r>
          </w:p>
        </w:tc>
        <w:tc>
          <w:tcPr>
            <w:tcW w:w="6820" w:type="dxa"/>
            <w:vAlign w:val="bottom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UNITED STATES SECURITIES AND EXCHANGE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220"/>
              <w:spacing w:after="0" w:line="1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OMB Number: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3235-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0104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 w:line="27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INITIAL STATEMENT OF BENEFICIAL OWNERSHIP 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7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jc w:val="center"/>
              <w:ind w:left="47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80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color w:val="auto"/>
              </w:rPr>
              <w:t>response:</w:t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ind w:right="26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hours per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5590540</wp:posOffset>
            </wp:positionH>
            <wp:positionV relativeFrom="paragraph">
              <wp:posOffset>-761365</wp:posOffset>
            </wp:positionV>
            <wp:extent cx="1330960" cy="9309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0960" cy="9309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01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Filed pursuant to Section 16(a) of the Securities Exchange Act of 1934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-12065</wp:posOffset>
            </wp:positionH>
            <wp:positionV relativeFrom="paragraph">
              <wp:posOffset>20955</wp:posOffset>
            </wp:positionV>
            <wp:extent cx="6972300" cy="86017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72300" cy="86017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900" w:orient="portrait"/>
          <w:cols w:equalWidth="0" w:num="1">
            <w:col w:w="10940"/>
          </w:cols>
          <w:pgMar w:left="480" w:top="230" w:right="479" w:bottom="0" w:gutter="0" w:footer="0" w:header="0"/>
        </w:sectPr>
      </w:pPr>
    </w:p>
    <w:p>
      <w:pPr>
        <w:spacing w:after="0" w:line="36" w:lineRule="exact"/>
        <w:rPr>
          <w:sz w:val="24"/>
          <w:szCs w:val="24"/>
          <w:color w:val="auto"/>
        </w:rPr>
      </w:pPr>
    </w:p>
    <w:tbl>
      <w:tblPr>
        <w:tblLayout w:type="fixed"/>
        <w:tblInd w:w="1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87"/>
        </w:trPr>
        <w:tc>
          <w:tcPr>
            <w:tcW w:w="30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5"/>
                <w:szCs w:val="25"/>
                <w:color w:val="auto"/>
                <w:vertAlign w:val="superscript"/>
              </w:rPr>
              <w:t>*</w:t>
            </w:r>
          </w:p>
        </w:tc>
        <w:tc>
          <w:tcPr>
            <w:tcW w:w="15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2. Date of Event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2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4"/>
                <w:szCs w:val="24"/>
                <w:color w:val="0000EE"/>
              </w:rPr>
            </w:pPr>
            <w:hyperlink r:id="rId10">
              <w:r>
                <w:rPr>
                  <w:rFonts w:ascii="Times New Roman" w:cs="Times New Roman" w:eastAsia="Times New Roman" w:hAnsi="Times New Roman"/>
                  <w:sz w:val="24"/>
                  <w:szCs w:val="24"/>
                  <w:color w:val="0000EE"/>
                </w:rPr>
                <w:t>HONEYWELL</w:t>
              </w:r>
            </w:hyperlink>
          </w:p>
        </w:tc>
        <w:tc>
          <w:tcPr>
            <w:tcW w:w="1560" w:type="dxa"/>
            <w:vAlign w:val="bottom"/>
          </w:tcPr>
          <w:p>
            <w:pPr>
              <w:ind w:left="20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  <w:w w:val="97"/>
              </w:rPr>
              <w:t>Requiring Statement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ind w:left="2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00" w:type="dxa"/>
            <w:vAlign w:val="bottom"/>
            <w:shd w:val="clear" w:color="auto" w:fill="0000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6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06/04/2026</w:t>
            </w: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20" w:type="dxa"/>
            <w:vAlign w:val="bottom"/>
            <w:gridSpan w:val="3"/>
          </w:tcPr>
          <w:p>
            <w:pPr>
              <w:spacing w:after="0" w:line="250" w:lineRule="exact"/>
              <w:rPr>
                <w:rFonts w:ascii="Times New Roman" w:cs="Times New Roman" w:eastAsia="Times New Roman" w:hAnsi="Times New Roman"/>
                <w:sz w:val="24"/>
                <w:szCs w:val="24"/>
                <w:color w:val="0000EE"/>
              </w:rPr>
            </w:pPr>
            <w:hyperlink r:id="rId10">
              <w:r>
                <w:rPr>
                  <w:rFonts w:ascii="Times New Roman" w:cs="Times New Roman" w:eastAsia="Times New Roman" w:hAnsi="Times New Roman"/>
                  <w:sz w:val="24"/>
                  <w:szCs w:val="24"/>
                  <w:color w:val="0000EE"/>
                </w:rPr>
                <w:t>INTERNATIONAL INC</w:t>
              </w:r>
            </w:hyperlink>
          </w:p>
        </w:tc>
        <w:tc>
          <w:tcPr>
            <w:tcW w:w="1560" w:type="dxa"/>
            <w:vAlign w:val="bottom"/>
            <w:vMerge w:val="continue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00" w:type="dxa"/>
            <w:vAlign w:val="bottom"/>
            <w:shd w:val="clear" w:color="auto" w:fill="0000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80" w:type="dxa"/>
            <w:vAlign w:val="bottom"/>
            <w:shd w:val="clear" w:color="auto" w:fill="0000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10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3.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5" w:lineRule="exact"/>
        <w:rPr>
          <w:sz w:val="20"/>
          <w:szCs w:val="20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4"/>
          <w:szCs w:val="24"/>
          <w:color w:val="0000EE"/>
        </w:rPr>
      </w:pPr>
      <w:hyperlink r:id="rId11">
        <w:r>
          <w:rPr>
            <w:rFonts w:ascii="Times New Roman" w:cs="Times New Roman" w:eastAsia="Times New Roman" w:hAnsi="Times New Roman"/>
            <w:sz w:val="24"/>
            <w:szCs w:val="24"/>
            <w:u w:val="single" w:color="auto"/>
            <w:color w:val="0000EE"/>
          </w:rPr>
          <w:t>Quantinuum Inc.</w:t>
        </w:r>
        <w:r>
          <w:rPr>
            <w:rFonts w:ascii="Times New Roman" w:cs="Times New Roman" w:eastAsia="Times New Roman" w:hAnsi="Times New Roman"/>
            <w:sz w:val="24"/>
            <w:szCs w:val="24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4"/>
          <w:szCs w:val="24"/>
          <w:color w:val="000000"/>
        </w:rPr>
        <w:t>[</w:t>
      </w:r>
      <w:r>
        <w:rPr>
          <w:rFonts w:ascii="Times New Roman" w:cs="Times New Roman" w:eastAsia="Times New Roman" w:hAnsi="Times New Roman"/>
          <w:sz w:val="24"/>
          <w:szCs w:val="24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9"/>
          <w:szCs w:val="19"/>
          <w:color w:val="0000FF"/>
        </w:rPr>
        <w:t>QNT</w:t>
      </w:r>
      <w:r>
        <w:rPr>
          <w:rFonts w:ascii="Times New Roman" w:cs="Times New Roman" w:eastAsia="Times New Roman" w:hAnsi="Times New Roman"/>
          <w:sz w:val="24"/>
          <w:szCs w:val="24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000000"/>
        </w:rPr>
        <w:t>]</w:t>
      </w:r>
    </w:p>
    <w:p>
      <w:pPr>
        <w:spacing w:after="0" w:line="329" w:lineRule="exact"/>
        <w:rPr>
          <w:sz w:val="20"/>
          <w:szCs w:val="20"/>
          <w:color w:val="auto"/>
        </w:rPr>
      </w:pPr>
    </w:p>
    <w:p>
      <w:pPr>
        <w:sectPr>
          <w:pgSz w:w="11900" w:h="16900" w:orient="portrait"/>
          <w:cols w:equalWidth="0" w:num="2">
            <w:col w:w="4720" w:space="280"/>
            <w:col w:w="5940"/>
          </w:cols>
          <w:pgMar w:left="480" w:top="230" w:right="479" w:bottom="0" w:gutter="0" w:footer="0" w:header="0"/>
          <w:type w:val="continuous"/>
        </w:sectPr>
      </w:pPr>
    </w:p>
    <w:p>
      <w:pPr>
        <w:spacing w:after="0" w:line="374" w:lineRule="exact"/>
        <w:rPr>
          <w:sz w:val="20"/>
          <w:szCs w:val="20"/>
          <w:color w:val="auto"/>
        </w:rPr>
      </w:pPr>
    </w:p>
    <w:tbl>
      <w:tblPr>
        <w:tblLayout w:type="fixed"/>
        <w:tblInd w:w="1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8"/>
        </w:trPr>
        <w:tc>
          <w:tcPr>
            <w:tcW w:w="7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(Last)</w:t>
            </w:r>
          </w:p>
        </w:tc>
        <w:tc>
          <w:tcPr>
            <w:tcW w:w="118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(First)</w:t>
            </w:r>
          </w:p>
        </w:tc>
        <w:tc>
          <w:tcPr>
            <w:tcW w:w="1140" w:type="dxa"/>
            <w:vAlign w:val="bottom"/>
          </w:tcPr>
          <w:p>
            <w:pPr>
              <w:jc w:val="right"/>
              <w:ind w:right="3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(Middle)</w:t>
            </w:r>
          </w:p>
        </w:tc>
      </w:tr>
      <w:tr>
        <w:trPr>
          <w:trHeight w:val="310"/>
        </w:trPr>
        <w:tc>
          <w:tcPr>
            <w:tcW w:w="19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855 S. MINT STREET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37"/>
        </w:trPr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</w:tr>
      <w:tr>
        <w:trPr>
          <w:trHeight w:val="303"/>
        </w:trPr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(Street)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65"/>
        </w:trPr>
        <w:tc>
          <w:tcPr>
            <w:tcW w:w="19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CHARLOTTE NC</w:t>
            </w:r>
          </w:p>
        </w:tc>
        <w:tc>
          <w:tcPr>
            <w:tcW w:w="1140" w:type="dxa"/>
            <w:vAlign w:val="bottom"/>
          </w:tcPr>
          <w:p>
            <w:pPr>
              <w:jc w:val="right"/>
              <w:ind w:right="3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28202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ind w:left="3" w:right="300" w:hanging="3"/>
        <w:spacing w:after="0" w:line="239" w:lineRule="auto"/>
        <w:tabs>
          <w:tab w:leader="none" w:pos="170" w:val="left"/>
        </w:tabs>
        <w:numPr>
          <w:ilvl w:val="0"/>
          <w:numId w:val="1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Relationship of Reporting Person(s) to Issuer</w:t>
      </w:r>
    </w:p>
    <w:p>
      <w:pPr>
        <w:ind w:left="3"/>
        <w:spacing w:after="0"/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(Check all applicable)</w:t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523"/>
        <w:spacing w:after="0"/>
        <w:tabs>
          <w:tab w:leader="none" w:pos="1675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sz w:val="1"/>
          <w:szCs w:val="1"/>
          <w:color w:val="auto"/>
        </w:rPr>
        <w:drawing>
          <wp:inline distT="0" distB="0" distL="0" distR="0">
            <wp:extent cx="142875" cy="142875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8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cs="Arial" w:eastAsia="Arial" w:hAnsi="Arial"/>
          <w:sz w:val="15"/>
          <w:szCs w:val="15"/>
          <w:color w:val="auto"/>
        </w:rPr>
        <w:t xml:space="preserve">  10% Owner</w:t>
      </w:r>
    </w:p>
    <w:p>
      <w:pPr>
        <w:spacing w:after="0" w:line="45" w:lineRule="exact"/>
        <w:rPr>
          <w:sz w:val="20"/>
          <w:szCs w:val="20"/>
          <w:color w:val="auto"/>
        </w:rPr>
      </w:pPr>
    </w:p>
    <w:p>
      <w:pPr>
        <w:jc w:val="right"/>
        <w:spacing w:after="0"/>
        <w:tabs>
          <w:tab w:leader="none" w:pos="9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Officer (give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Other (specify</w:t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523"/>
        <w:spacing w:after="0"/>
        <w:tabs>
          <w:tab w:leader="none" w:pos="204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title 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below)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ind w:left="-9" w:right="440" w:firstLine="9"/>
        <w:spacing w:after="0" w:line="264" w:lineRule="auto"/>
        <w:tabs>
          <w:tab w:leader="none" w:pos="158" w:val="left"/>
        </w:tabs>
        <w:numPr>
          <w:ilvl w:val="0"/>
          <w:numId w:val="2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If Amendment, Date of Original Filed (Month/Day/Year)</w:t>
      </w:r>
    </w:p>
    <w:p>
      <w:pPr>
        <w:spacing w:after="0" w:line="280" w:lineRule="exact"/>
        <w:rPr>
          <w:rFonts w:ascii="Arial" w:cs="Arial" w:eastAsia="Arial" w:hAnsi="Arial"/>
          <w:sz w:val="15"/>
          <w:szCs w:val="15"/>
          <w:color w:val="auto"/>
        </w:rPr>
      </w:pPr>
    </w:p>
    <w:p>
      <w:pPr>
        <w:ind w:left="-9" w:right="480" w:firstLine="9"/>
        <w:spacing w:after="0" w:line="261" w:lineRule="auto"/>
        <w:tabs>
          <w:tab w:leader="none" w:pos="158" w:val="left"/>
        </w:tabs>
        <w:numPr>
          <w:ilvl w:val="0"/>
          <w:numId w:val="2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Individual or Joint/Group Filing (Check Applicable Line)</w:t>
      </w:r>
    </w:p>
    <w:p>
      <w:pPr>
        <w:ind w:left="451" w:right="340"/>
        <w:spacing w:after="0" w:line="26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Form filed by One Reporting Person</w:t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ind w:left="451" w:right="320"/>
        <w:spacing w:after="0" w:line="26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Form filed by More than One Reporting Person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ectPr>
          <w:pgSz w:w="11900" w:h="16900" w:orient="portrait"/>
          <w:cols w:equalWidth="0" w:num="3">
            <w:col w:w="4277" w:space="720"/>
            <w:col w:w="3003" w:space="269"/>
            <w:col w:w="2671"/>
          </w:cols>
          <w:pgMar w:left="480" w:top="230" w:right="479" w:bottom="0" w:gutter="0" w:footer="0" w:header="0"/>
          <w:type w:val="continuous"/>
        </w:sectPr>
      </w:pPr>
    </w:p>
    <w:p>
      <w:pPr>
        <w:spacing w:after="0" w:line="51" w:lineRule="exact"/>
        <w:rPr>
          <w:sz w:val="20"/>
          <w:szCs w:val="20"/>
          <w:color w:val="auto"/>
        </w:rPr>
      </w:pPr>
    </w:p>
    <w:p>
      <w:pPr>
        <w:ind w:left="140"/>
        <w:spacing w:after="0"/>
        <w:tabs>
          <w:tab w:leader="none" w:pos="1140" w:val="left"/>
          <w:tab w:leader="none" w:pos="21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(Zip)</w:t>
      </w:r>
    </w:p>
    <w:p>
      <w:pPr>
        <w:spacing w:after="0" w:line="216" w:lineRule="exact"/>
        <w:rPr>
          <w:sz w:val="20"/>
          <w:szCs w:val="20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Table I - Non-Derivative Securities Beneficially Owned</w:t>
      </w:r>
    </w:p>
    <w:p>
      <w:pPr>
        <w:spacing w:after="0" w:line="140" w:lineRule="exact"/>
        <w:rPr>
          <w:sz w:val="20"/>
          <w:szCs w:val="20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34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1. Title of Security (Instr. 4)</w:t>
            </w: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2. Amount of Securities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3. Ownership</w:t>
            </w:r>
          </w:p>
        </w:tc>
        <w:tc>
          <w:tcPr>
            <w:tcW w:w="28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4. Nature of Indirect Beneficial</w:t>
            </w:r>
          </w:p>
        </w:tc>
      </w:tr>
      <w:tr>
        <w:trPr>
          <w:trHeight w:val="165"/>
        </w:trPr>
        <w:tc>
          <w:tcPr>
            <w:tcW w:w="3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Beneficially Owned (Instr.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2860" w:type="dxa"/>
            <w:vAlign w:val="bottom"/>
          </w:tcPr>
          <w:p>
            <w:pPr>
              <w:ind w:left="1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 (Instr. 5)</w:t>
            </w:r>
          </w:p>
        </w:tc>
      </w:tr>
      <w:tr>
        <w:trPr>
          <w:trHeight w:val="165"/>
        </w:trPr>
        <w:tc>
          <w:tcPr>
            <w:tcW w:w="3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4)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06"/>
        </w:trPr>
        <w:tc>
          <w:tcPr>
            <w:tcW w:w="3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44"/>
        </w:trPr>
        <w:tc>
          <w:tcPr>
            <w:tcW w:w="3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</w:tr>
    </w:tbl>
    <w:p>
      <w:pPr>
        <w:spacing w:after="0" w:line="44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7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Class B Common Stock</w:t>
            </w: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9"/>
              </w:rPr>
              <w:t>124,628,729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I</w:t>
            </w:r>
          </w:p>
        </w:tc>
        <w:tc>
          <w:tcPr>
            <w:tcW w:w="33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See Footnotes</w:t>
            </w: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8000"/>
                <w:vertAlign w:val="superscript"/>
              </w:rPr>
              <w:t>(1)(2)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9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700" w:type="dxa"/>
            <w:vAlign w:val="bottom"/>
            <w:tcBorders>
              <w:top w:val="single" w:sz="8" w:color="2C2C2C"/>
            </w:tcBorders>
            <w:gridSpan w:val="10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Table II - Derivative Securities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700" w:type="dxa"/>
            <w:vAlign w:val="bottom"/>
            <w:gridSpan w:val="1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76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1. Title of Derivative Security (Instr.</w:t>
            </w:r>
          </w:p>
        </w:tc>
        <w:tc>
          <w:tcPr>
            <w:tcW w:w="188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2. Date Exercisable and</w:t>
            </w:r>
          </w:p>
        </w:tc>
        <w:tc>
          <w:tcPr>
            <w:tcW w:w="2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3. Title and Amount of 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4.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5.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6.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1400" w:type="dxa"/>
            <w:vAlign w:val="bottom"/>
            <w:gridSpan w:val="4"/>
          </w:tcPr>
          <w:p>
            <w:pPr>
              <w:ind w:left="1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4)</w:t>
            </w: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80" w:type="dxa"/>
            <w:vAlign w:val="bottom"/>
            <w:gridSpan w:val="5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2780" w:type="dxa"/>
            <w:vAlign w:val="bottom"/>
            <w:gridSpan w:val="2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Underlying Derivative Security (Instr.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Indirect 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80" w:type="dxa"/>
            <w:vAlign w:val="bottom"/>
            <w:gridSpan w:val="5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740" w:type="dxa"/>
            <w:vAlign w:val="bottom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4)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Form: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 (Instr.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vMerge w:val="restart"/>
          </w:tcPr>
          <w:p>
            <w:pPr>
              <w:ind w:left="2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Price of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5)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Amount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Date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Title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Number of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Date</w:t>
            </w:r>
          </w:p>
        </w:tc>
        <w:tc>
          <w:tcPr>
            <w:tcW w:w="174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Shares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Common Units</w:t>
            </w: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(3)</w:t>
            </w:r>
          </w:p>
        </w:tc>
        <w:tc>
          <w:tcPr>
            <w:tcW w:w="520" w:type="dxa"/>
            <w:vAlign w:val="bottom"/>
            <w:gridSpan w:val="3"/>
            <w:vMerge w:val="restart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(3)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Class A Common</w:t>
            </w:r>
          </w:p>
        </w:tc>
        <w:tc>
          <w:tcPr>
            <w:tcW w:w="10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5"/>
              </w:rPr>
              <w:t>124,628,729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(3)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I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80"/>
              <w:spacing w:after="0" w:line="28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See Footnotes</w:t>
            </w: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8000"/>
                <w:vertAlign w:val="superscript"/>
              </w:rPr>
              <w:t>(1)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Stock</w:t>
            </w: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(2)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820" w:type="dxa"/>
            <w:vAlign w:val="bottom"/>
            <w:tcBorders>
              <w:top w:val="single" w:sz="8" w:color="2C2C2C"/>
            </w:tcBorders>
            <w:gridSpan w:val="5"/>
          </w:tcPr>
          <w:p>
            <w:pPr>
              <w:ind w:left="80"/>
              <w:spacing w:after="0" w:line="27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5"/>
                <w:szCs w:val="25"/>
                <w:color w:val="auto"/>
                <w:vertAlign w:val="superscript"/>
              </w:rPr>
              <w:t>*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520" w:type="dxa"/>
            <w:vAlign w:val="bottom"/>
            <w:gridSpan w:val="7"/>
          </w:tcPr>
          <w:p>
            <w:pPr>
              <w:spacing w:after="0" w:line="255" w:lineRule="exact"/>
              <w:rPr>
                <w:rFonts w:ascii="Times New Roman" w:cs="Times New Roman" w:eastAsia="Times New Roman" w:hAnsi="Times New Roman"/>
                <w:sz w:val="24"/>
                <w:szCs w:val="24"/>
                <w:color w:val="0000EE"/>
              </w:rPr>
            </w:pPr>
            <w:hyperlink r:id="rId10">
              <w:r>
                <w:rPr>
                  <w:rFonts w:ascii="Times New Roman" w:cs="Times New Roman" w:eastAsia="Times New Roman" w:hAnsi="Times New Roman"/>
                  <w:sz w:val="24"/>
                  <w:szCs w:val="24"/>
                  <w:color w:val="0000EE"/>
                </w:rPr>
                <w:t>HONEYWELL INTERNATIONAL INC</w:t>
              </w:r>
            </w:hyperlink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(Last)</w:t>
            </w:r>
          </w:p>
        </w:tc>
        <w:tc>
          <w:tcPr>
            <w:tcW w:w="13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(First)</w:t>
            </w:r>
          </w:p>
        </w:tc>
        <w:tc>
          <w:tcPr>
            <w:tcW w:w="10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(Middle)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855 S. MINT STREET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(Street)</w:t>
            </w: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CHARLOTTE</w:t>
            </w:r>
          </w:p>
        </w:tc>
        <w:tc>
          <w:tcPr>
            <w:tcW w:w="13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NC</w:t>
            </w:r>
          </w:p>
        </w:tc>
        <w:tc>
          <w:tcPr>
            <w:tcW w:w="10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28202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(City)</w:t>
            </w:r>
          </w:p>
        </w:tc>
        <w:tc>
          <w:tcPr>
            <w:tcW w:w="13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(State)</w:t>
            </w:r>
          </w:p>
        </w:tc>
        <w:tc>
          <w:tcPr>
            <w:tcW w:w="10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(Zip)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20" w:type="dxa"/>
            <w:vAlign w:val="bottom"/>
            <w:gridSpan w:val="5"/>
          </w:tcPr>
          <w:p>
            <w:pPr>
              <w:ind w:left="80"/>
              <w:spacing w:after="0" w:line="28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5"/>
                <w:szCs w:val="25"/>
                <w:color w:val="auto"/>
                <w:vertAlign w:val="superscript"/>
              </w:rPr>
              <w:t>*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700" w:type="dxa"/>
            <w:vAlign w:val="bottom"/>
            <w:tcBorders>
              <w:bottom w:val="single" w:sz="8" w:color="0000EE"/>
            </w:tcBorders>
            <w:gridSpan w:val="3"/>
          </w:tcPr>
          <w:p>
            <w:pPr>
              <w:spacing w:after="0" w:line="255" w:lineRule="exact"/>
              <w:rPr>
                <w:rFonts w:ascii="Times New Roman" w:cs="Times New Roman" w:eastAsia="Times New Roman" w:hAnsi="Times New Roman"/>
                <w:sz w:val="24"/>
                <w:szCs w:val="24"/>
                <w:color w:val="0000EE"/>
                <w:w w:val="99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4"/>
                  <w:szCs w:val="24"/>
                  <w:color w:val="0000EE"/>
                  <w:w w:val="99"/>
                </w:rPr>
                <w:t>Honeywell Holdings International Inc.</w:t>
              </w:r>
            </w:hyperlink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(Last)</w:t>
            </w:r>
          </w:p>
        </w:tc>
        <w:tc>
          <w:tcPr>
            <w:tcW w:w="13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(First)</w:t>
            </w:r>
          </w:p>
        </w:tc>
        <w:tc>
          <w:tcPr>
            <w:tcW w:w="10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(Middle)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7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7"/>
              </w:rPr>
              <w:t>C/O HONEYWELL INTERNATIONAL INC.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855 S. MINT STREET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(Street)</w:t>
            </w: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CHARLOTTE</w:t>
            </w:r>
          </w:p>
        </w:tc>
        <w:tc>
          <w:tcPr>
            <w:tcW w:w="13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NC</w:t>
            </w:r>
          </w:p>
        </w:tc>
        <w:tc>
          <w:tcPr>
            <w:tcW w:w="10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28202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(City)</w:t>
            </w:r>
          </w:p>
        </w:tc>
        <w:tc>
          <w:tcPr>
            <w:tcW w:w="13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(State)</w:t>
            </w:r>
          </w:p>
        </w:tc>
        <w:tc>
          <w:tcPr>
            <w:tcW w:w="10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(Zip)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4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Explanation of Responses:</w:t>
      </w:r>
    </w:p>
    <w:p>
      <w:pPr>
        <w:spacing w:after="0" w:line="53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5"/>
          <w:szCs w:val="15"/>
          <w:color w:val="008000"/>
        </w:rPr>
        <w:t>1. Includes (i) 28,630,074 common units of Quantinuum Holdings, LLC ("Common Units") and a corresponding number of shares of Class B common stock of Quantinuum Inc.</w:t>
      </w:r>
    </w:p>
    <w:p>
      <w:pPr>
        <w:sectPr>
          <w:pgSz w:w="11900" w:h="16900" w:orient="portrait"/>
          <w:cols w:equalWidth="0" w:num="1">
            <w:col w:w="10940"/>
          </w:cols>
          <w:pgMar w:left="480" w:top="230" w:right="479" w:bottom="0" w:gutter="0" w:footer="0" w:header="0"/>
          <w:type w:val="continuous"/>
        </w:sectPr>
      </w:pPr>
    </w:p>
    <w:bookmarkStart w:id="1" w:name="page2"/>
    <w:bookmarkEnd w:id="1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5"/>
          <w:szCs w:val="15"/>
          <w:color w:val="008000"/>
        </w:rPr>
        <w:t>held directly by Honeywell Holdings International Inc. and (ii) 95,998,655 Common Units and a corresponding number of shares of Class B common stock of Quantinuum Inc.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5"/>
          <w:szCs w:val="15"/>
          <w:color w:val="008000"/>
        </w:rPr>
        <w:t>held directly by Honeywell International Inc. ("Honeywell").</w:t>
      </w:r>
    </w:p>
    <w:p>
      <w:pPr>
        <w:spacing w:after="0" w:line="37" w:lineRule="exact"/>
        <w:rPr>
          <w:sz w:val="20"/>
          <w:szCs w:val="20"/>
          <w:color w:val="auto"/>
        </w:rPr>
      </w:pPr>
    </w:p>
    <w:p>
      <w:pPr>
        <w:ind w:left="160" w:hanging="155"/>
        <w:spacing w:after="0"/>
        <w:tabs>
          <w:tab w:leader="none" w:pos="160" w:val="left"/>
        </w:tabs>
        <w:numPr>
          <w:ilvl w:val="0"/>
          <w:numId w:val="3"/>
        </w:numPr>
        <w:rPr>
          <w:rFonts w:ascii="Times New Roman" w:cs="Times New Roman" w:eastAsia="Times New Roman" w:hAnsi="Times New Roman"/>
          <w:sz w:val="15"/>
          <w:szCs w:val="15"/>
          <w:color w:val="008000"/>
        </w:rPr>
      </w:pPr>
      <w:r>
        <w:rPr>
          <w:rFonts w:ascii="Times New Roman" w:cs="Times New Roman" w:eastAsia="Times New Roman" w:hAnsi="Times New Roman"/>
          <w:sz w:val="15"/>
          <w:szCs w:val="15"/>
          <w:color w:val="008000"/>
        </w:rPr>
        <w:t>Honeywell Holdings International Inc. is a wholly owned subsidiary of Honeywell, which is a publicly traded company with securities listed on The Nasdaq Stock Market LLC.</w:t>
      </w:r>
    </w:p>
    <w:p>
      <w:pPr>
        <w:spacing w:after="0" w:line="52" w:lineRule="exact"/>
        <w:rPr>
          <w:rFonts w:ascii="Times New Roman" w:cs="Times New Roman" w:eastAsia="Times New Roman" w:hAnsi="Times New Roman"/>
          <w:sz w:val="15"/>
          <w:szCs w:val="15"/>
          <w:color w:val="008000"/>
        </w:rPr>
      </w:pPr>
    </w:p>
    <w:p>
      <w:pPr>
        <w:ind w:right="260" w:firstLine="5"/>
        <w:spacing w:after="0" w:line="244" w:lineRule="auto"/>
        <w:tabs>
          <w:tab w:leader="none" w:pos="150" w:val="left"/>
        </w:tabs>
        <w:numPr>
          <w:ilvl w:val="0"/>
          <w:numId w:val="3"/>
        </w:numPr>
        <w:rPr>
          <w:rFonts w:ascii="Times New Roman" w:cs="Times New Roman" w:eastAsia="Times New Roman" w:hAnsi="Times New Roman"/>
          <w:sz w:val="15"/>
          <w:szCs w:val="15"/>
          <w:color w:val="008000"/>
        </w:rPr>
      </w:pPr>
      <w:r>
        <w:rPr>
          <w:rFonts w:ascii="Times New Roman" w:cs="Times New Roman" w:eastAsia="Times New Roman" w:hAnsi="Times New Roman"/>
          <w:sz w:val="15"/>
          <w:szCs w:val="15"/>
          <w:color w:val="008000"/>
        </w:rPr>
        <w:t>Each Common Unit may be redeemed or exchanged for one share of Class A common stock of the Issuer (or, at the Issuer's election, cash). The Common Units have no expiration date. Upon the redemption or exchange of Common Units, a number of shares of Class B common stock equal to the number of Common Units that are redeemed or exchanged will automatically be cancelled for no consideration.</w:t>
      </w:r>
    </w:p>
    <w:p>
      <w:pPr>
        <w:spacing w:after="0" w:line="2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Remarks:</w:t>
      </w:r>
    </w:p>
    <w:p>
      <w:pPr>
        <w:spacing w:after="0" w:line="146" w:lineRule="exact"/>
        <w:rPr>
          <w:sz w:val="20"/>
          <w:szCs w:val="20"/>
          <w:color w:val="auto"/>
        </w:rPr>
      </w:pPr>
    </w:p>
    <w:p>
      <w:pPr>
        <w:ind w:left="65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0000FF"/>
        </w:rPr>
        <w:t>Honeywell International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4148455</wp:posOffset>
            </wp:positionH>
            <wp:positionV relativeFrom="paragraph">
              <wp:posOffset>-11430</wp:posOffset>
            </wp:positionV>
            <wp:extent cx="1207135" cy="95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7135" cy="9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" w:lineRule="exact"/>
        <w:rPr>
          <w:sz w:val="20"/>
          <w:szCs w:val="20"/>
          <w:color w:val="auto"/>
        </w:rPr>
      </w:pPr>
    </w:p>
    <w:p>
      <w:pPr>
        <w:ind w:left="65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0000FF"/>
        </w:rPr>
        <w:t>Inc., /s/ Jimmy Steinberg,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4148455</wp:posOffset>
            </wp:positionH>
            <wp:positionV relativeFrom="paragraph">
              <wp:posOffset>-20320</wp:posOffset>
            </wp:positionV>
            <wp:extent cx="1270635" cy="952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635" cy="9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40"/>
        <w:spacing w:after="0"/>
        <w:tabs>
          <w:tab w:leader="none" w:pos="870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0000FF"/>
        </w:rPr>
        <w:t>Senior Vice President,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06/04/2026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4148455</wp:posOffset>
            </wp:positionH>
            <wp:positionV relativeFrom="paragraph">
              <wp:posOffset>-20320</wp:posOffset>
            </wp:positionV>
            <wp:extent cx="1955800" cy="952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5800" cy="9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0000FF"/>
        </w:rPr>
        <w:t>Corporate Development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4148455</wp:posOffset>
            </wp:positionH>
            <wp:positionV relativeFrom="paragraph">
              <wp:posOffset>-20320</wp:posOffset>
            </wp:positionV>
            <wp:extent cx="1193800" cy="952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93800" cy="9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0000FF"/>
        </w:rPr>
        <w:t>and Global Head of M&amp;A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4148455</wp:posOffset>
            </wp:positionH>
            <wp:positionV relativeFrom="paragraph">
              <wp:posOffset>-20320</wp:posOffset>
            </wp:positionV>
            <wp:extent cx="1300480" cy="952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0480" cy="9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7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30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6"/>
              </w:rPr>
              <w:t>Honeywell Holdings</w:t>
            </w:r>
          </w:p>
        </w:tc>
        <w:tc>
          <w:tcPr>
            <w:tcW w:w="400" w:type="dxa"/>
            <w:vAlign w:val="bottom"/>
            <w:gridSpan w:val="2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80" w:type="dxa"/>
            <w:vAlign w:val="bottom"/>
            <w:gridSpan w:val="5"/>
          </w:tcPr>
          <w:p>
            <w:pPr>
              <w:spacing w:after="0" w:line="2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9"/>
              </w:rPr>
              <w:t>International Inc., /s/ Jake  06/04/2026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20" w:type="dxa"/>
            <w:vAlign w:val="bottom"/>
            <w:tcBorders>
              <w:top w:val="single" w:sz="8" w:color="auto"/>
            </w:tcBorders>
            <w:gridSpan w:val="3"/>
          </w:tcPr>
          <w:p>
            <w:pPr>
              <w:spacing w:after="0" w:line="2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Wasserman, Secretary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top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** Signature of Reporting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Person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85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85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5"/>
                <w:szCs w:val="15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 xml:space="preserve"> Instruction 5 (b)(v).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7" w:lineRule="exact"/>
        <w:rPr>
          <w:sz w:val="20"/>
          <w:szCs w:val="20"/>
          <w:color w:val="auto"/>
        </w:rPr>
      </w:pPr>
    </w:p>
    <w:p>
      <w:pPr>
        <w:jc w:val="both"/>
        <w:ind w:right="2160" w:firstLine="5"/>
        <w:spacing w:after="0" w:line="335" w:lineRule="auto"/>
        <w:tabs>
          <w:tab w:leader="none" w:pos="159" w:val="left"/>
        </w:tabs>
        <w:numPr>
          <w:ilvl w:val="0"/>
          <w:numId w:val="4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6 for procedure.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spacing w:after="0" w:line="27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0820"/>
      </w:cols>
      <w:pgMar w:left="520" w:top="125" w:right="55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74B0DC51"/>
    <w:multiLevelType w:val="hybridMultilevel"/>
    <w:lvl w:ilvl="0">
      <w:lvlJc w:val="left"/>
      <w:lvlText w:val="%1."/>
      <w:numFmt w:val="decimal"/>
      <w:start w:val="4"/>
    </w:lvl>
  </w:abstractNum>
  <w:abstractNum w:abstractNumId="1">
    <w:nsid w:val="19495CFF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2AE8944A"/>
    <w:multiLevelType w:val="hybridMultilevel"/>
    <w:lvl w:ilvl="0">
      <w:lvlJc w:val="left"/>
      <w:lvlText w:val="%1."/>
      <w:numFmt w:val="decimal"/>
      <w:start w:val="2"/>
    </w:lvl>
  </w:abstractNum>
  <w:abstractNum w:abstractNumId="3">
    <w:nsid w:val="625558EC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2" Type="http://schemas.openxmlformats.org/officeDocument/2006/relationships/image" Target="media/image3.jpeg"/><Relationship Id="rId14" Type="http://schemas.openxmlformats.org/officeDocument/2006/relationships/image" Target="media/image4.png"/><Relationship Id="rId15" Type="http://schemas.openxmlformats.org/officeDocument/2006/relationships/image" Target="media/image5.png"/><Relationship Id="rId16" Type="http://schemas.openxmlformats.org/officeDocument/2006/relationships/image" Target="media/image6.png"/><Relationship Id="rId17" Type="http://schemas.openxmlformats.org/officeDocument/2006/relationships/image" Target="media/image7.png"/><Relationship Id="rId18" Type="http://schemas.openxmlformats.org/officeDocument/2006/relationships/image" Target="media/image8.png"/><Relationship Id="rId10" Type="http://schemas.openxmlformats.org/officeDocument/2006/relationships/hyperlink" Target="http://www.sec.gov/cgi-bin/browse-edgar?action=getcompany&amp;CIK=0000773840" TargetMode="External"/><Relationship Id="rId11" Type="http://schemas.openxmlformats.org/officeDocument/2006/relationships/hyperlink" Target="http://www.sec.gov/cgi-bin/browse-edgar?action=getcompany&amp;CIK=0002110105" TargetMode="External"/><Relationship Id="rId13" Type="http://schemas.openxmlformats.org/officeDocument/2006/relationships/hyperlink" Target="http://www.sec.gov/cgi-bin/browse-edgar?action=getcompany&amp;CIK=000213764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2026-06-04T18:19:08Z</dcterms:created>
  <dcterms:modified xsi:type="dcterms:W3CDTF">2026-06-04T18:19:08Z</dcterms:modified>
</cp:coreProperties>
</file>