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64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4135"/>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 ANNUAL REPORT 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For the fiscal year ended </w:t>
      </w:r>
      <w:r>
        <w:rPr>
          <w:rFonts w:ascii="Arial" w:cs="Arial" w:eastAsia="Arial" w:hAnsi="Arial"/>
          <w:sz w:val="21"/>
          <w:szCs w:val="21"/>
          <w:u w:val="single" w:color="auto"/>
          <w:color w:val="auto"/>
        </w:rPr>
        <w:t>December 31, 2009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TRANSITION REPORT 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OF THE SECURITIES EXCHANGE ACT OF 1934</w:t>
      </w:r>
    </w:p>
    <w:p>
      <w:pPr>
        <w:spacing w:after="0" w:line="2" w:lineRule="exact"/>
        <w:rPr>
          <w:sz w:val="24"/>
          <w:szCs w:val="24"/>
          <w:color w:val="auto"/>
        </w:rPr>
      </w:pPr>
    </w:p>
    <w:p>
      <w:pPr>
        <w:jc w:val="right"/>
        <w:ind w:right="4220"/>
        <w:spacing w:after="0"/>
        <w:tabs>
          <w:tab w:leader="none" w:pos="4380" w:val="left"/>
        </w:tabs>
        <w:rPr>
          <w:sz w:val="20"/>
          <w:szCs w:val="20"/>
          <w:color w:val="auto"/>
        </w:rPr>
      </w:pPr>
      <w:r>
        <w:rPr>
          <w:rFonts w:ascii="Arial" w:cs="Arial" w:eastAsia="Arial" w:hAnsi="Arial"/>
          <w:sz w:val="21"/>
          <w:szCs w:val="21"/>
          <w:color w:val="auto"/>
        </w:rPr>
        <w:t>For the transition period from</w:t>
      </w:r>
      <w:r>
        <w:rPr>
          <w:sz w:val="20"/>
          <w:szCs w:val="20"/>
          <w:color w:val="auto"/>
        </w:rPr>
        <w:tab/>
      </w:r>
      <w:r>
        <w:rPr>
          <w:rFonts w:ascii="Arial" w:cs="Arial" w:eastAsia="Arial" w:hAnsi="Arial"/>
          <w:sz w:val="21"/>
          <w:szCs w:val="21"/>
          <w:color w:val="auto"/>
        </w:rPr>
        <w:t>to</w:t>
      </w:r>
    </w:p>
    <w:p>
      <w:pPr>
        <w:spacing w:after="0" w:line="2" w:lineRule="exact"/>
        <w:rPr>
          <w:sz w:val="24"/>
          <w:szCs w:val="24"/>
          <w:color w:val="auto"/>
        </w:rPr>
      </w:pPr>
    </w:p>
    <w:p>
      <w:pPr>
        <w:jc w:val="right"/>
        <w:ind w:right="4200"/>
        <w:spacing w:after="0"/>
        <w:rPr>
          <w:sz w:val="20"/>
          <w:szCs w:val="20"/>
          <w:color w:val="auto"/>
        </w:rPr>
      </w:pPr>
      <w:r>
        <w:rPr>
          <w:rFonts w:ascii="Arial" w:cs="Arial" w:eastAsia="Arial" w:hAnsi="Arial"/>
          <w:sz w:val="21"/>
          <w:szCs w:val="21"/>
          <w:color w:val="auto"/>
        </w:rPr>
        <w:t xml:space="preserve">Commission file number </w:t>
      </w:r>
      <w:r>
        <w:rPr>
          <w:rFonts w:ascii="Arial" w:cs="Arial" w:eastAsia="Arial" w:hAnsi="Arial"/>
          <w:sz w:val="21"/>
          <w:szCs w:val="21"/>
          <w:u w:val="single" w:color="auto"/>
          <w:color w:val="auto"/>
        </w:rPr>
        <w:t>1-8974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55"/>
          <w:szCs w:val="55"/>
          <w:b w:val="1"/>
          <w:bCs w:val="1"/>
          <w:color w:val="auto"/>
        </w:rPr>
        <w:t>Honeywell International Inc.</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(Exact name of registrant as specified in its charter)</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center"/>
              <w:ind w:right="783"/>
              <w:spacing w:after="0"/>
              <w:rPr>
                <w:sz w:val="20"/>
                <w:szCs w:val="20"/>
                <w:color w:val="auto"/>
              </w:rPr>
            </w:pPr>
            <w:r>
              <w:rPr>
                <w:rFonts w:ascii="Arial" w:cs="Arial" w:eastAsia="Arial" w:hAnsi="Arial"/>
                <w:sz w:val="19"/>
                <w:szCs w:val="19"/>
                <w:color w:val="auto"/>
              </w:rPr>
              <w:t>DELAWARE</w:t>
            </w:r>
          </w:p>
        </w:tc>
        <w:tc>
          <w:tcPr>
            <w:tcW w:w="3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jc w:val="right"/>
              <w:ind w:right="2163"/>
              <w:spacing w:after="0"/>
              <w:rPr>
                <w:sz w:val="20"/>
                <w:szCs w:val="20"/>
                <w:color w:val="auto"/>
              </w:rPr>
            </w:pPr>
            <w:r>
              <w:rPr>
                <w:rFonts w:ascii="Arial" w:cs="Arial" w:eastAsia="Arial" w:hAnsi="Arial"/>
                <w:sz w:val="19"/>
                <w:szCs w:val="19"/>
                <w:color w:val="auto"/>
              </w:rPr>
              <w:t>22-2640650</w:t>
            </w:r>
          </w:p>
        </w:tc>
      </w:tr>
      <w:tr>
        <w:trPr>
          <w:trHeight w:val="264"/>
        </w:trPr>
        <w:tc>
          <w:tcPr>
            <w:tcW w:w="900" w:type="dxa"/>
            <w:vAlign w:val="bottom"/>
          </w:tcPr>
          <w:p>
            <w:pPr>
              <w:spacing w:after="0"/>
              <w:rPr>
                <w:sz w:val="22"/>
                <w:szCs w:val="22"/>
                <w:color w:val="auto"/>
              </w:rPr>
            </w:pPr>
          </w:p>
        </w:tc>
        <w:tc>
          <w:tcPr>
            <w:tcW w:w="6180" w:type="dxa"/>
            <w:vAlign w:val="bottom"/>
            <w:gridSpan w:val="3"/>
          </w:tcPr>
          <w:p>
            <w:pPr>
              <w:jc w:val="center"/>
              <w:ind w:right="2440"/>
              <w:spacing w:after="0"/>
              <w:rPr>
                <w:sz w:val="20"/>
                <w:szCs w:val="20"/>
                <w:color w:val="auto"/>
              </w:rPr>
            </w:pPr>
            <w:r>
              <w:rPr>
                <w:rFonts w:ascii="Arial" w:cs="Arial" w:eastAsia="Arial" w:hAnsi="Arial"/>
                <w:sz w:val="19"/>
                <w:szCs w:val="19"/>
                <w:color w:val="auto"/>
              </w:rPr>
              <w:t>(State or other jurisdiction of</w:t>
            </w:r>
          </w:p>
        </w:tc>
        <w:tc>
          <w:tcPr>
            <w:tcW w:w="4340" w:type="dxa"/>
            <w:vAlign w:val="bottom"/>
          </w:tcPr>
          <w:p>
            <w:pPr>
              <w:jc w:val="center"/>
              <w:ind w:right="1103"/>
              <w:spacing w:after="0"/>
              <w:rPr>
                <w:sz w:val="20"/>
                <w:szCs w:val="20"/>
                <w:color w:val="auto"/>
              </w:rPr>
            </w:pPr>
            <w:r>
              <w:rPr>
                <w:rFonts w:ascii="Arial" w:cs="Arial" w:eastAsia="Arial" w:hAnsi="Arial"/>
                <w:sz w:val="19"/>
                <w:szCs w:val="19"/>
                <w:color w:val="auto"/>
              </w:rPr>
              <w:t>(I.R.S. Employer</w:t>
            </w:r>
          </w:p>
        </w:tc>
      </w:tr>
      <w:tr>
        <w:trPr>
          <w:trHeight w:val="234"/>
        </w:trPr>
        <w:tc>
          <w:tcPr>
            <w:tcW w:w="900" w:type="dxa"/>
            <w:vAlign w:val="bottom"/>
          </w:tcPr>
          <w:p>
            <w:pPr>
              <w:spacing w:after="0"/>
              <w:rPr>
                <w:sz w:val="20"/>
                <w:szCs w:val="20"/>
                <w:color w:val="auto"/>
              </w:rPr>
            </w:pPr>
          </w:p>
        </w:tc>
        <w:tc>
          <w:tcPr>
            <w:tcW w:w="6180" w:type="dxa"/>
            <w:vAlign w:val="bottom"/>
            <w:gridSpan w:val="3"/>
          </w:tcPr>
          <w:p>
            <w:pPr>
              <w:jc w:val="center"/>
              <w:ind w:right="2420"/>
              <w:spacing w:after="0"/>
              <w:rPr>
                <w:sz w:val="20"/>
                <w:szCs w:val="20"/>
                <w:color w:val="auto"/>
              </w:rPr>
            </w:pPr>
            <w:r>
              <w:rPr>
                <w:rFonts w:ascii="Arial" w:cs="Arial" w:eastAsia="Arial" w:hAnsi="Arial"/>
                <w:sz w:val="19"/>
                <w:szCs w:val="19"/>
                <w:color w:val="auto"/>
              </w:rPr>
              <w:t>incorporation or organization)</w:t>
            </w:r>
          </w:p>
        </w:tc>
        <w:tc>
          <w:tcPr>
            <w:tcW w:w="4340" w:type="dxa"/>
            <w:vAlign w:val="bottom"/>
          </w:tcPr>
          <w:p>
            <w:pPr>
              <w:jc w:val="center"/>
              <w:ind w:right="1103"/>
              <w:spacing w:after="0"/>
              <w:rPr>
                <w:sz w:val="20"/>
                <w:szCs w:val="20"/>
                <w:color w:val="auto"/>
              </w:rPr>
            </w:pPr>
            <w:r>
              <w:rPr>
                <w:rFonts w:ascii="Arial" w:cs="Arial" w:eastAsia="Arial" w:hAnsi="Arial"/>
                <w:sz w:val="19"/>
                <w:szCs w:val="19"/>
                <w:color w:val="auto"/>
              </w:rPr>
              <w:t>Identification No.)</w:t>
            </w:r>
          </w:p>
        </w:tc>
      </w:tr>
      <w:tr>
        <w:trPr>
          <w:trHeight w:val="226"/>
        </w:trPr>
        <w:tc>
          <w:tcPr>
            <w:tcW w:w="900" w:type="dxa"/>
            <w:vAlign w:val="bottom"/>
          </w:tcPr>
          <w:p>
            <w:pPr>
              <w:spacing w:after="0"/>
              <w:rPr>
                <w:sz w:val="19"/>
                <w:szCs w:val="19"/>
                <w:color w:val="auto"/>
              </w:rPr>
            </w:pPr>
          </w:p>
        </w:tc>
        <w:tc>
          <w:tcPr>
            <w:tcW w:w="6180" w:type="dxa"/>
            <w:vAlign w:val="bottom"/>
            <w:gridSpan w:val="3"/>
          </w:tcPr>
          <w:p>
            <w:pPr>
              <w:jc w:val="center"/>
              <w:ind w:right="2420"/>
              <w:spacing w:after="0"/>
              <w:rPr>
                <w:sz w:val="20"/>
                <w:szCs w:val="20"/>
                <w:color w:val="auto"/>
              </w:rPr>
            </w:pPr>
            <w:r>
              <w:rPr>
                <w:rFonts w:ascii="Arial" w:cs="Arial" w:eastAsia="Arial" w:hAnsi="Arial"/>
                <w:sz w:val="19"/>
                <w:szCs w:val="19"/>
                <w:color w:val="auto"/>
              </w:rPr>
              <w:t>101 Columbia Road</w:t>
            </w:r>
          </w:p>
        </w:tc>
        <w:tc>
          <w:tcPr>
            <w:tcW w:w="4340" w:type="dxa"/>
            <w:vAlign w:val="bottom"/>
          </w:tcPr>
          <w:p>
            <w:pPr>
              <w:spacing w:after="0"/>
              <w:rPr>
                <w:sz w:val="19"/>
                <w:szCs w:val="19"/>
                <w:color w:val="auto"/>
              </w:rPr>
            </w:pPr>
          </w:p>
        </w:tc>
      </w:tr>
      <w:tr>
        <w:trPr>
          <w:trHeight w:val="230"/>
        </w:trPr>
        <w:tc>
          <w:tcPr>
            <w:tcW w:w="9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center"/>
              <w:ind w:right="783"/>
              <w:spacing w:after="0"/>
              <w:rPr>
                <w:sz w:val="20"/>
                <w:szCs w:val="20"/>
                <w:color w:val="auto"/>
              </w:rPr>
            </w:pPr>
            <w:r>
              <w:rPr>
                <w:rFonts w:ascii="Arial" w:cs="Arial" w:eastAsia="Arial" w:hAnsi="Arial"/>
                <w:sz w:val="19"/>
                <w:szCs w:val="19"/>
                <w:color w:val="auto"/>
              </w:rPr>
              <w:t>Morris Township, New Jersey</w:t>
            </w:r>
          </w:p>
        </w:tc>
        <w:tc>
          <w:tcPr>
            <w:tcW w:w="3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jc w:val="right"/>
              <w:ind w:right="2403"/>
              <w:spacing w:after="0"/>
              <w:rPr>
                <w:sz w:val="20"/>
                <w:szCs w:val="20"/>
                <w:color w:val="auto"/>
              </w:rPr>
            </w:pPr>
            <w:r>
              <w:rPr>
                <w:rFonts w:ascii="Arial" w:cs="Arial" w:eastAsia="Arial" w:hAnsi="Arial"/>
                <w:sz w:val="19"/>
                <w:szCs w:val="19"/>
                <w:color w:val="auto"/>
              </w:rPr>
              <w:t>07962</w:t>
            </w:r>
          </w:p>
        </w:tc>
      </w:tr>
      <w:tr>
        <w:trPr>
          <w:trHeight w:val="308"/>
        </w:trPr>
        <w:tc>
          <w:tcPr>
            <w:tcW w:w="900" w:type="dxa"/>
            <w:vAlign w:val="bottom"/>
          </w:tcPr>
          <w:p>
            <w:pPr>
              <w:spacing w:after="0"/>
              <w:rPr>
                <w:sz w:val="24"/>
                <w:szCs w:val="24"/>
                <w:color w:val="auto"/>
              </w:rPr>
            </w:pPr>
          </w:p>
        </w:tc>
        <w:tc>
          <w:tcPr>
            <w:tcW w:w="6180" w:type="dxa"/>
            <w:vAlign w:val="bottom"/>
            <w:gridSpan w:val="3"/>
          </w:tcPr>
          <w:p>
            <w:pPr>
              <w:jc w:val="center"/>
              <w:ind w:right="2420"/>
              <w:spacing w:after="0"/>
              <w:rPr>
                <w:sz w:val="20"/>
                <w:szCs w:val="20"/>
                <w:color w:val="auto"/>
              </w:rPr>
            </w:pPr>
            <w:r>
              <w:rPr>
                <w:rFonts w:ascii="Arial" w:cs="Arial" w:eastAsia="Arial" w:hAnsi="Arial"/>
                <w:sz w:val="19"/>
                <w:szCs w:val="19"/>
                <w:color w:val="auto"/>
              </w:rPr>
              <w:t>(Address of principal executive offices)</w:t>
            </w:r>
          </w:p>
        </w:tc>
        <w:tc>
          <w:tcPr>
            <w:tcW w:w="4340" w:type="dxa"/>
            <w:vAlign w:val="bottom"/>
          </w:tcPr>
          <w:p>
            <w:pPr>
              <w:jc w:val="center"/>
              <w:ind w:right="1123"/>
              <w:spacing w:after="0"/>
              <w:rPr>
                <w:sz w:val="20"/>
                <w:szCs w:val="20"/>
                <w:color w:val="auto"/>
              </w:rPr>
            </w:pPr>
            <w:r>
              <w:rPr>
                <w:rFonts w:ascii="Arial" w:cs="Arial" w:eastAsia="Arial" w:hAnsi="Arial"/>
                <w:sz w:val="19"/>
                <w:szCs w:val="19"/>
                <w:color w:val="auto"/>
              </w:rPr>
              <w:t>(Zip Code)</w:t>
            </w:r>
          </w:p>
        </w:tc>
      </w:tr>
      <w:tr>
        <w:trPr>
          <w:trHeight w:val="338"/>
        </w:trPr>
        <w:tc>
          <w:tcPr>
            <w:tcW w:w="7080" w:type="dxa"/>
            <w:vAlign w:val="bottom"/>
            <w:gridSpan w:val="4"/>
          </w:tcPr>
          <w:p>
            <w:pPr>
              <w:spacing w:after="0"/>
              <w:rPr>
                <w:sz w:val="20"/>
                <w:szCs w:val="20"/>
                <w:color w:val="auto"/>
              </w:rPr>
            </w:pPr>
            <w:r>
              <w:rPr>
                <w:rFonts w:ascii="Arial" w:cs="Arial" w:eastAsia="Arial" w:hAnsi="Arial"/>
                <w:sz w:val="19"/>
                <w:szCs w:val="19"/>
                <w:color w:val="auto"/>
              </w:rPr>
              <w:t>Registrant’s telephone number, including area code (973) 455-2000</w:t>
            </w:r>
          </w:p>
        </w:tc>
        <w:tc>
          <w:tcPr>
            <w:tcW w:w="4340" w:type="dxa"/>
            <w:vAlign w:val="bottom"/>
          </w:tcPr>
          <w:p>
            <w:pPr>
              <w:spacing w:after="0"/>
              <w:rPr>
                <w:sz w:val="24"/>
                <w:szCs w:val="24"/>
                <w:color w:val="auto"/>
              </w:rPr>
            </w:pPr>
          </w:p>
        </w:tc>
      </w:tr>
      <w:tr>
        <w:trPr>
          <w:trHeight w:val="324"/>
        </w:trPr>
        <w:tc>
          <w:tcPr>
            <w:tcW w:w="7080" w:type="dxa"/>
            <w:vAlign w:val="bottom"/>
            <w:gridSpan w:val="4"/>
          </w:tcPr>
          <w:p>
            <w:pPr>
              <w:spacing w:after="0"/>
              <w:rPr>
                <w:sz w:val="20"/>
                <w:szCs w:val="20"/>
                <w:color w:val="auto"/>
              </w:rPr>
            </w:pPr>
            <w:r>
              <w:rPr>
                <w:rFonts w:ascii="Arial" w:cs="Arial" w:eastAsia="Arial" w:hAnsi="Arial"/>
                <w:sz w:val="19"/>
                <w:szCs w:val="19"/>
                <w:color w:val="auto"/>
              </w:rPr>
              <w:t>Securities registered pursuant to Section 12(b) of the Act:</w:t>
            </w:r>
          </w:p>
        </w:tc>
        <w:tc>
          <w:tcPr>
            <w:tcW w:w="4340" w:type="dxa"/>
            <w:vAlign w:val="bottom"/>
          </w:tcPr>
          <w:p>
            <w:pPr>
              <w:spacing w:after="0"/>
              <w:rPr>
                <w:sz w:val="24"/>
                <w:szCs w:val="24"/>
                <w:color w:val="auto"/>
              </w:rPr>
            </w:pPr>
          </w:p>
        </w:tc>
      </w:tr>
      <w:tr>
        <w:trPr>
          <w:trHeight w:val="266"/>
        </w:trPr>
        <w:tc>
          <w:tcPr>
            <w:tcW w:w="90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340" w:type="dxa"/>
            <w:vAlign w:val="bottom"/>
          </w:tcPr>
          <w:p>
            <w:pPr>
              <w:jc w:val="center"/>
              <w:ind w:right="1103"/>
              <w:spacing w:after="0"/>
              <w:rPr>
                <w:sz w:val="20"/>
                <w:szCs w:val="20"/>
                <w:color w:val="auto"/>
              </w:rPr>
            </w:pPr>
            <w:r>
              <w:rPr>
                <w:rFonts w:ascii="Arial" w:cs="Arial" w:eastAsia="Arial" w:hAnsi="Arial"/>
                <w:sz w:val="19"/>
                <w:szCs w:val="19"/>
                <w:color w:val="auto"/>
              </w:rPr>
              <w:t>Name of Each Exchange</w:t>
            </w:r>
          </w:p>
        </w:tc>
      </w:tr>
      <w:tr>
        <w:trPr>
          <w:trHeight w:val="230"/>
        </w:trPr>
        <w:tc>
          <w:tcPr>
            <w:tcW w:w="9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center"/>
              <w:ind w:right="783"/>
              <w:spacing w:after="0"/>
              <w:rPr>
                <w:sz w:val="20"/>
                <w:szCs w:val="20"/>
                <w:color w:val="auto"/>
              </w:rPr>
            </w:pPr>
            <w:r>
              <w:rPr>
                <w:rFonts w:ascii="Arial" w:cs="Arial" w:eastAsia="Arial" w:hAnsi="Arial"/>
                <w:sz w:val="19"/>
                <w:szCs w:val="19"/>
                <w:color w:val="auto"/>
              </w:rPr>
              <w:t>Title of Each Class</w:t>
            </w:r>
          </w:p>
        </w:tc>
        <w:tc>
          <w:tcPr>
            <w:tcW w:w="3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jc w:val="center"/>
              <w:ind w:right="1123"/>
              <w:spacing w:after="0"/>
              <w:rPr>
                <w:sz w:val="20"/>
                <w:szCs w:val="20"/>
                <w:color w:val="auto"/>
              </w:rPr>
            </w:pPr>
            <w:r>
              <w:rPr>
                <w:rFonts w:ascii="Arial" w:cs="Arial" w:eastAsia="Arial" w:hAnsi="Arial"/>
                <w:sz w:val="19"/>
                <w:szCs w:val="19"/>
                <w:color w:val="auto"/>
              </w:rPr>
              <w:t>on Which Registered</w:t>
            </w:r>
          </w:p>
        </w:tc>
      </w:tr>
      <w:tr>
        <w:trPr>
          <w:trHeight w:val="308"/>
        </w:trPr>
        <w:tc>
          <w:tcPr>
            <w:tcW w:w="7080" w:type="dxa"/>
            <w:vAlign w:val="bottom"/>
            <w:gridSpan w:val="4"/>
          </w:tcPr>
          <w:p>
            <w:pPr>
              <w:ind w:left="20"/>
              <w:spacing w:after="0"/>
              <w:rPr>
                <w:sz w:val="20"/>
                <w:szCs w:val="20"/>
                <w:color w:val="auto"/>
              </w:rPr>
            </w:pPr>
            <w:r>
              <w:rPr>
                <w:rFonts w:ascii="Arial" w:cs="Arial" w:eastAsia="Arial" w:hAnsi="Arial"/>
                <w:sz w:val="19"/>
                <w:szCs w:val="19"/>
                <w:color w:val="auto"/>
              </w:rPr>
              <w:t>Common Stock, par value $1 per share*</w:t>
            </w:r>
          </w:p>
        </w:tc>
        <w:tc>
          <w:tcPr>
            <w:tcW w:w="4340" w:type="dxa"/>
            <w:vAlign w:val="bottom"/>
          </w:tcPr>
          <w:p>
            <w:pPr>
              <w:jc w:val="center"/>
              <w:ind w:right="1123"/>
              <w:spacing w:after="0"/>
              <w:rPr>
                <w:sz w:val="20"/>
                <w:szCs w:val="20"/>
                <w:color w:val="auto"/>
              </w:rPr>
            </w:pPr>
            <w:r>
              <w:rPr>
                <w:rFonts w:ascii="Arial" w:cs="Arial" w:eastAsia="Arial" w:hAnsi="Arial"/>
                <w:sz w:val="19"/>
                <w:szCs w:val="19"/>
                <w:color w:val="auto"/>
              </w:rPr>
              <w:t>New York Stock Exchange</w:t>
            </w:r>
          </w:p>
        </w:tc>
      </w:tr>
      <w:tr>
        <w:trPr>
          <w:trHeight w:val="270"/>
        </w:trPr>
        <w:tc>
          <w:tcPr>
            <w:tcW w:w="90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340" w:type="dxa"/>
            <w:vAlign w:val="bottom"/>
          </w:tcPr>
          <w:p>
            <w:pPr>
              <w:jc w:val="center"/>
              <w:ind w:right="1123"/>
              <w:spacing w:after="0"/>
              <w:rPr>
                <w:sz w:val="20"/>
                <w:szCs w:val="20"/>
                <w:color w:val="auto"/>
              </w:rPr>
            </w:pPr>
            <w:r>
              <w:rPr>
                <w:rFonts w:ascii="Arial" w:cs="Arial" w:eastAsia="Arial" w:hAnsi="Arial"/>
                <w:sz w:val="19"/>
                <w:szCs w:val="19"/>
                <w:color w:val="auto"/>
              </w:rPr>
              <w:t>Chicago Stock Exchange</w:t>
            </w:r>
          </w:p>
        </w:tc>
      </w:tr>
      <w:tr>
        <w:trPr>
          <w:trHeight w:val="369"/>
        </w:trPr>
        <w:tc>
          <w:tcPr>
            <w:tcW w:w="7080" w:type="dxa"/>
            <w:vAlign w:val="bottom"/>
            <w:gridSpan w:val="4"/>
          </w:tcPr>
          <w:p>
            <w:pPr>
              <w:ind w:left="20"/>
              <w:spacing w:after="0"/>
              <w:rPr>
                <w:sz w:val="20"/>
                <w:szCs w:val="20"/>
                <w:color w:val="auto"/>
              </w:rPr>
            </w:pPr>
            <w:r>
              <w:rPr>
                <w:rFonts w:ascii="Arial" w:cs="Arial" w:eastAsia="Arial" w:hAnsi="Arial"/>
                <w:sz w:val="19"/>
                <w:szCs w:val="19"/>
                <w:color w:val="auto"/>
              </w:rPr>
              <w:t>9</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Debentures due June 1, 2016</w:t>
            </w:r>
          </w:p>
        </w:tc>
        <w:tc>
          <w:tcPr>
            <w:tcW w:w="4340" w:type="dxa"/>
            <w:vAlign w:val="bottom"/>
          </w:tcPr>
          <w:p>
            <w:pPr>
              <w:jc w:val="center"/>
              <w:ind w:right="1123"/>
              <w:spacing w:after="0"/>
              <w:rPr>
                <w:sz w:val="20"/>
                <w:szCs w:val="20"/>
                <w:color w:val="auto"/>
              </w:rPr>
            </w:pPr>
            <w:r>
              <w:rPr>
                <w:rFonts w:ascii="Arial" w:cs="Arial" w:eastAsia="Arial" w:hAnsi="Arial"/>
                <w:sz w:val="19"/>
                <w:szCs w:val="19"/>
                <w:color w:val="auto"/>
              </w:rPr>
              <w:t>New York Stock Exchange</w:t>
            </w:r>
          </w:p>
        </w:tc>
      </w:tr>
      <w:tr>
        <w:trPr>
          <w:trHeight w:val="110"/>
        </w:trPr>
        <w:tc>
          <w:tcPr>
            <w:tcW w:w="900" w:type="dxa"/>
            <w:vAlign w:val="bottom"/>
            <w:tcBorders>
              <w:bottom w:val="single" w:sz="8" w:color="auto"/>
            </w:tcBorders>
          </w:tcPr>
          <w:p>
            <w:pPr>
              <w:spacing w:after="0"/>
              <w:rPr>
                <w:sz w:val="9"/>
                <w:szCs w:val="9"/>
                <w:color w:val="auto"/>
              </w:rPr>
            </w:pPr>
          </w:p>
        </w:tc>
        <w:tc>
          <w:tcPr>
            <w:tcW w:w="6180" w:type="dxa"/>
            <w:vAlign w:val="bottom"/>
            <w:gridSpan w:val="3"/>
          </w:tcPr>
          <w:p>
            <w:pPr>
              <w:spacing w:after="0"/>
              <w:rPr>
                <w:sz w:val="9"/>
                <w:szCs w:val="9"/>
                <w:color w:val="auto"/>
              </w:rPr>
            </w:pPr>
          </w:p>
        </w:tc>
        <w:tc>
          <w:tcPr>
            <w:tcW w:w="4340" w:type="dxa"/>
            <w:vAlign w:val="bottom"/>
          </w:tcPr>
          <w:p>
            <w:pPr>
              <w:spacing w:after="0"/>
              <w:rPr>
                <w:sz w:val="9"/>
                <w:szCs w:val="9"/>
                <w:color w:val="auto"/>
              </w:rPr>
            </w:pPr>
          </w:p>
        </w:tc>
      </w:tr>
      <w:tr>
        <w:trPr>
          <w:trHeight w:val="392"/>
        </w:trPr>
        <w:tc>
          <w:tcPr>
            <w:tcW w:w="7080" w:type="dxa"/>
            <w:vAlign w:val="bottom"/>
            <w:gridSpan w:val="4"/>
          </w:tcPr>
          <w:p>
            <w:pPr>
              <w:ind w:left="20"/>
              <w:spacing w:after="0"/>
              <w:rPr>
                <w:sz w:val="20"/>
                <w:szCs w:val="20"/>
                <w:color w:val="auto"/>
              </w:rPr>
            </w:pPr>
            <w:r>
              <w:rPr>
                <w:rFonts w:ascii="Arial" w:cs="Arial" w:eastAsia="Arial" w:hAnsi="Arial"/>
                <w:sz w:val="19"/>
                <w:szCs w:val="19"/>
                <w:color w:val="auto"/>
              </w:rPr>
              <w:t>* The common stock is also listed for trading on the London Stock Exchange.</w:t>
            </w:r>
          </w:p>
        </w:tc>
        <w:tc>
          <w:tcPr>
            <w:tcW w:w="4340" w:type="dxa"/>
            <w:vAlign w:val="bottom"/>
          </w:tcPr>
          <w:p>
            <w:pPr>
              <w:spacing w:after="0"/>
              <w:rPr>
                <w:sz w:val="24"/>
                <w:szCs w:val="24"/>
                <w:color w:val="auto"/>
              </w:rPr>
            </w:pPr>
          </w:p>
        </w:tc>
      </w:tr>
      <w:tr>
        <w:trPr>
          <w:trHeight w:val="419"/>
        </w:trPr>
        <w:tc>
          <w:tcPr>
            <w:tcW w:w="7080" w:type="dxa"/>
            <w:vAlign w:val="bottom"/>
            <w:gridSpan w:val="4"/>
          </w:tcPr>
          <w:p>
            <w:pPr>
              <w:spacing w:after="0"/>
              <w:rPr>
                <w:sz w:val="20"/>
                <w:szCs w:val="20"/>
                <w:color w:val="auto"/>
              </w:rPr>
            </w:pPr>
            <w:r>
              <w:rPr>
                <w:rFonts w:ascii="Arial" w:cs="Arial" w:eastAsia="Arial" w:hAnsi="Arial"/>
                <w:sz w:val="19"/>
                <w:szCs w:val="19"/>
                <w:color w:val="auto"/>
              </w:rPr>
              <w:t>Securities registered pursuant to Section 12(g) of the Act: None</w:t>
            </w:r>
          </w:p>
        </w:tc>
        <w:tc>
          <w:tcPr>
            <w:tcW w:w="43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560705</wp:posOffset>
            </wp:positionH>
            <wp:positionV relativeFrom="paragraph">
              <wp:posOffset>-529590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-529590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a well-known seasoned issuer, as defined in Rule 405 of the Securities Act. Yes S No £</w:t>
      </w:r>
    </w:p>
    <w:p>
      <w:pPr>
        <w:spacing w:after="0" w:line="106" w:lineRule="exact"/>
        <w:rPr>
          <w:sz w:val="24"/>
          <w:szCs w:val="24"/>
          <w:color w:val="auto"/>
        </w:rPr>
      </w:pPr>
    </w:p>
    <w:p>
      <w:pPr>
        <w:ind w:right="280"/>
        <w:spacing w:after="0" w:line="253" w:lineRule="auto"/>
        <w:rPr>
          <w:sz w:val="20"/>
          <w:szCs w:val="20"/>
          <w:color w:val="auto"/>
        </w:rPr>
      </w:pPr>
      <w:r>
        <w:rPr>
          <w:rFonts w:ascii="Arial" w:cs="Arial" w:eastAsia="Arial" w:hAnsi="Arial"/>
          <w:sz w:val="19"/>
          <w:szCs w:val="19"/>
          <w:color w:val="auto"/>
        </w:rPr>
        <w:t>Indicate by check mark if the Registrant is not required to file reports pursuant to Section 13 or Section 15(d) of the Exchange Act. Yes £ No S</w:t>
      </w:r>
    </w:p>
    <w:p>
      <w:pPr>
        <w:spacing w:after="0" w:line="80" w:lineRule="exact"/>
        <w:rPr>
          <w:sz w:val="24"/>
          <w:szCs w:val="24"/>
          <w:color w:val="auto"/>
        </w:rPr>
      </w:pPr>
    </w:p>
    <w:p>
      <w:pPr>
        <w:ind w:right="380"/>
        <w:spacing w:after="0" w:line="245"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87" w:lineRule="exact"/>
        <w:rPr>
          <w:sz w:val="24"/>
          <w:szCs w:val="24"/>
          <w:color w:val="auto"/>
        </w:rPr>
      </w:pPr>
    </w:p>
    <w:p>
      <w:pPr>
        <w:ind w:right="200"/>
        <w:spacing w:after="0" w:line="245"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S No £</w:t>
      </w:r>
    </w:p>
    <w:p>
      <w:pPr>
        <w:spacing w:after="0" w:line="87" w:lineRule="exact"/>
        <w:rPr>
          <w:sz w:val="24"/>
          <w:szCs w:val="24"/>
          <w:color w:val="auto"/>
        </w:rPr>
      </w:pPr>
    </w:p>
    <w:p>
      <w:pPr>
        <w:ind w:right="80"/>
        <w:spacing w:after="0" w:line="245" w:lineRule="auto"/>
        <w:rPr>
          <w:sz w:val="20"/>
          <w:szCs w:val="20"/>
          <w:color w:val="auto"/>
        </w:rPr>
      </w:pPr>
      <w:r>
        <w:rPr>
          <w:rFonts w:ascii="Arial" w:cs="Arial" w:eastAsia="Arial" w:hAnsi="Arial"/>
          <w:sz w:val="19"/>
          <w:szCs w:val="19"/>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87" w:lineRule="exact"/>
        <w:rPr>
          <w:sz w:val="24"/>
          <w:szCs w:val="24"/>
          <w:color w:val="auto"/>
        </w:rPr>
      </w:pPr>
    </w:p>
    <w:p>
      <w:pPr>
        <w:ind w:right="60"/>
        <w:spacing w:after="0" w:line="245"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87" w:lineRule="exact"/>
        <w:rPr>
          <w:sz w:val="24"/>
          <w:szCs w:val="24"/>
          <w:color w:val="auto"/>
        </w:rPr>
      </w:pPr>
    </w:p>
    <w:p>
      <w:pPr>
        <w:spacing w:after="0"/>
        <w:tabs>
          <w:tab w:leader="none" w:pos="2420" w:val="left"/>
          <w:tab w:leader="none" w:pos="4280" w:val="left"/>
          <w:tab w:leader="none" w:pos="6500" w:val="left"/>
        </w:tabs>
        <w:rPr>
          <w:sz w:val="20"/>
          <w:szCs w:val="20"/>
          <w:color w:val="auto"/>
        </w:rPr>
      </w:pPr>
      <w:r>
        <w:rPr>
          <w:rFonts w:ascii="Arial" w:cs="Arial" w:eastAsia="Arial" w:hAnsi="Arial"/>
          <w:sz w:val="19"/>
          <w:szCs w:val="19"/>
          <w:color w:val="auto"/>
        </w:rPr>
        <w:t>Large accelerated filer S</w:t>
      </w:r>
      <w:r>
        <w:rPr>
          <w:sz w:val="20"/>
          <w:szCs w:val="20"/>
          <w:color w:val="auto"/>
        </w:rPr>
        <w:tab/>
      </w:r>
      <w:r>
        <w:rPr>
          <w:rFonts w:ascii="Arial" w:cs="Arial" w:eastAsia="Arial" w:hAnsi="Arial"/>
          <w:sz w:val="19"/>
          <w:szCs w:val="19"/>
          <w:color w:val="auto"/>
        </w:rPr>
        <w:t>Accelerated filer £</w:t>
      </w:r>
      <w:r>
        <w:rPr>
          <w:sz w:val="20"/>
          <w:szCs w:val="20"/>
          <w:color w:val="auto"/>
        </w:rPr>
        <w:tab/>
      </w:r>
      <w:r>
        <w:rPr>
          <w:rFonts w:ascii="Arial" w:cs="Arial" w:eastAsia="Arial" w:hAnsi="Arial"/>
          <w:sz w:val="19"/>
          <w:szCs w:val="19"/>
          <w:color w:val="auto"/>
        </w:rPr>
        <w:t>Non-accelerated filer £</w:t>
        <w:tab/>
        <w:t>Smaller reporting company £</w:t>
      </w:r>
    </w:p>
    <w:p>
      <w:pPr>
        <w:spacing w:after="0" w:line="10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Act). Yes £ No S</w:t>
      </w:r>
    </w:p>
    <w:p>
      <w:pPr>
        <w:spacing w:after="0" w:line="106" w:lineRule="exact"/>
        <w:rPr>
          <w:sz w:val="24"/>
          <w:szCs w:val="24"/>
          <w:color w:val="auto"/>
        </w:rPr>
      </w:pPr>
    </w:p>
    <w:p>
      <w:pPr>
        <w:ind w:right="360"/>
        <w:spacing w:after="0" w:line="253" w:lineRule="auto"/>
        <w:rPr>
          <w:sz w:val="20"/>
          <w:szCs w:val="20"/>
          <w:color w:val="auto"/>
        </w:rPr>
      </w:pPr>
      <w:r>
        <w:rPr>
          <w:rFonts w:ascii="Arial" w:cs="Arial" w:eastAsia="Arial" w:hAnsi="Arial"/>
          <w:sz w:val="19"/>
          <w:szCs w:val="19"/>
          <w:color w:val="auto"/>
        </w:rPr>
        <w:t>The aggregate market value of the voting stock held by nonaffiliates of the Registrant was approximately $23.2 billion at June 30, 2009.</w:t>
      </w:r>
    </w:p>
    <w:p>
      <w:pPr>
        <w:spacing w:after="0" w:line="80" w:lineRule="exact"/>
        <w:rPr>
          <w:sz w:val="24"/>
          <w:szCs w:val="24"/>
          <w:color w:val="auto"/>
        </w:rPr>
      </w:pPr>
    </w:p>
    <w:p>
      <w:pPr>
        <w:jc w:val="right"/>
        <w:ind w:right="4180"/>
        <w:spacing w:after="0"/>
        <w:rPr>
          <w:sz w:val="20"/>
          <w:szCs w:val="20"/>
          <w:color w:val="auto"/>
        </w:rPr>
      </w:pPr>
      <w:r>
        <w:rPr>
          <w:rFonts w:ascii="Arial" w:cs="Arial" w:eastAsia="Arial" w:hAnsi="Arial"/>
          <w:sz w:val="19"/>
          <w:szCs w:val="19"/>
          <w:color w:val="auto"/>
        </w:rPr>
        <w:t>There were 764,552,212 shares of Common Stock outstanding at January 31, 2010.</w:t>
      </w:r>
    </w:p>
    <w:p>
      <w:pPr>
        <w:spacing w:after="0" w:line="106" w:lineRule="exact"/>
        <w:rPr>
          <w:sz w:val="24"/>
          <w:szCs w:val="24"/>
          <w:color w:val="auto"/>
        </w:rPr>
      </w:pPr>
    </w:p>
    <w:p>
      <w:pPr>
        <w:jc w:val="right"/>
        <w:ind w:right="4040"/>
        <w:spacing w:after="0"/>
        <w:rPr>
          <w:sz w:val="20"/>
          <w:szCs w:val="20"/>
          <w:color w:val="auto"/>
        </w:rPr>
      </w:pPr>
      <w:r>
        <w:rPr>
          <w:rFonts w:ascii="Arial" w:cs="Arial" w:eastAsia="Arial" w:hAnsi="Arial"/>
          <w:sz w:val="19"/>
          <w:szCs w:val="19"/>
          <w:u w:val="single" w:color="auto"/>
          <w:color w:val="auto"/>
        </w:rPr>
        <w:t>Documents Incorporated by Reference</w:t>
      </w:r>
    </w:p>
    <w:p>
      <w:pPr>
        <w:spacing w:after="0" w:line="106" w:lineRule="exact"/>
        <w:rPr>
          <w:sz w:val="24"/>
          <w:szCs w:val="24"/>
          <w:color w:val="auto"/>
        </w:rPr>
      </w:pPr>
    </w:p>
    <w:p>
      <w:pPr>
        <w:jc w:val="right"/>
        <w:ind w:right="4000"/>
        <w:spacing w:after="0"/>
        <w:rPr>
          <w:sz w:val="20"/>
          <w:szCs w:val="20"/>
          <w:color w:val="auto"/>
        </w:rPr>
      </w:pPr>
      <w:r>
        <w:rPr>
          <w:rFonts w:ascii="Arial" w:cs="Arial" w:eastAsia="Arial" w:hAnsi="Arial"/>
          <w:sz w:val="19"/>
          <w:szCs w:val="19"/>
          <w:color w:val="auto"/>
        </w:rPr>
        <w:t>Part III: Proxy Statement for Annual Meeting of Shareowners to be held April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757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55880"/>
                    </a:xfrm>
                    <a:prstGeom prst="rect">
                      <a:avLst/>
                    </a:prstGeom>
                    <a:noFill/>
                  </pic:spPr>
                </pic:pic>
              </a:graphicData>
            </a:graphic>
          </wp:anchor>
        </w:drawing>
      </w:r>
    </w:p>
    <w:p>
      <w:pPr>
        <w:sectPr>
          <w:pgSz w:w="11900" w:h="16838" w:orient="portrait"/>
          <w:cols w:equalWidth="0" w:num="1">
            <w:col w:w="11420"/>
          </w:cols>
          <w:pgMar w:left="240" w:top="648"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520" w:type="dxa"/>
            <w:vAlign w:val="bottom"/>
            <w:gridSpan w:val="12"/>
          </w:tcPr>
          <w:p>
            <w:pPr>
              <w:ind w:left="180"/>
              <w:spacing w:after="0"/>
              <w:rPr>
                <w:sz w:val="20"/>
                <w:szCs w:val="20"/>
                <w:color w:val="auto"/>
              </w:rPr>
            </w:pPr>
            <w:r>
              <w:rPr>
                <w:rFonts w:ascii="Arial" w:cs="Arial" w:eastAsia="Arial" w:hAnsi="Arial"/>
                <w:sz w:val="19"/>
                <w:szCs w:val="19"/>
                <w:b w:val="1"/>
                <w:bCs w:val="1"/>
                <w:color w:val="auto"/>
              </w:rPr>
              <w:t>TABLE OF CONTENTS</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Item</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9"/>
                <w:szCs w:val="19"/>
                <w:color w:val="auto"/>
              </w:rPr>
              <w:t>Part I.</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320" w:type="dxa"/>
            <w:vAlign w:val="bottom"/>
          </w:tcPr>
          <w:p>
            <w:pPr>
              <w:spacing w:after="0"/>
              <w:rPr>
                <w:sz w:val="24"/>
                <w:szCs w:val="24"/>
                <w:color w:val="auto"/>
              </w:rPr>
            </w:pPr>
          </w:p>
        </w:tc>
        <w:tc>
          <w:tcPr>
            <w:tcW w:w="8940" w:type="dxa"/>
            <w:vAlign w:val="bottom"/>
            <w:gridSpan w:val="24"/>
          </w:tcPr>
          <w:p>
            <w:pPr>
              <w:spacing w:after="0"/>
              <w:rPr>
                <w:rFonts w:ascii="Arial" w:cs="Arial" w:eastAsia="Arial" w:hAnsi="Arial"/>
                <w:sz w:val="19"/>
                <w:szCs w:val="19"/>
                <w:color w:val="0000EE"/>
              </w:rPr>
            </w:pPr>
            <w:hyperlink w:anchor="page4">
              <w:r>
                <w:rPr>
                  <w:rFonts w:ascii="Arial" w:cs="Arial" w:eastAsia="Arial" w:hAnsi="Arial"/>
                  <w:sz w:val="19"/>
                  <w:szCs w:val="19"/>
                  <w:color w:val="0000EE"/>
                </w:rPr>
                <w:t>Business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9"/>
                <w:szCs w:val="19"/>
                <w:color w:val="auto"/>
              </w:rPr>
              <w:t>1A.</w:t>
            </w: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Borders>
              <w:bottom w:val="single" w:sz="8" w:color="0000EE"/>
            </w:tcBorders>
            <w:gridSpan w:val="5"/>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Risk Factors</w:t>
              </w:r>
            </w:hyperlink>
          </w:p>
        </w:tc>
        <w:tc>
          <w:tcPr>
            <w:tcW w:w="7860" w:type="dxa"/>
            <w:vAlign w:val="bottom"/>
            <w:gridSpan w:val="19"/>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1B.</w:t>
            </w:r>
          </w:p>
        </w:tc>
        <w:tc>
          <w:tcPr>
            <w:tcW w:w="320" w:type="dxa"/>
            <w:vAlign w:val="bottom"/>
          </w:tcPr>
          <w:p>
            <w:pPr>
              <w:spacing w:after="0"/>
              <w:rPr>
                <w:sz w:val="21"/>
                <w:szCs w:val="21"/>
                <w:color w:val="auto"/>
              </w:rPr>
            </w:pPr>
          </w:p>
        </w:tc>
        <w:tc>
          <w:tcPr>
            <w:tcW w:w="2420" w:type="dxa"/>
            <w:vAlign w:val="bottom"/>
            <w:tcBorders>
              <w:bottom w:val="single" w:sz="8" w:color="0000EE"/>
            </w:tcBorders>
            <w:gridSpan w:val="12"/>
          </w:tcPr>
          <w:p>
            <w:pPr>
              <w:spacing w:after="0"/>
              <w:rPr>
                <w:rFonts w:ascii="Arial" w:cs="Arial" w:eastAsia="Arial" w:hAnsi="Arial"/>
                <w:sz w:val="19"/>
                <w:szCs w:val="19"/>
                <w:color w:val="0000EE"/>
              </w:rPr>
            </w:pPr>
            <w:hyperlink w:anchor="page20">
              <w:r>
                <w:rPr>
                  <w:rFonts w:ascii="Arial" w:cs="Arial" w:eastAsia="Arial" w:hAnsi="Arial"/>
                  <w:sz w:val="19"/>
                  <w:szCs w:val="19"/>
                  <w:color w:val="0000EE"/>
                </w:rPr>
                <w:t>Unresolved Staff Comments</w:t>
              </w:r>
            </w:hyperlink>
          </w:p>
        </w:tc>
        <w:tc>
          <w:tcPr>
            <w:tcW w:w="6520" w:type="dxa"/>
            <w:vAlign w:val="bottom"/>
            <w:gridSpan w:val="12"/>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320" w:type="dxa"/>
            <w:vAlign w:val="bottom"/>
          </w:tcPr>
          <w:p>
            <w:pPr>
              <w:spacing w:after="0"/>
              <w:rPr>
                <w:sz w:val="21"/>
                <w:szCs w:val="21"/>
                <w:color w:val="auto"/>
              </w:rPr>
            </w:pPr>
          </w:p>
        </w:tc>
        <w:tc>
          <w:tcPr>
            <w:tcW w:w="880" w:type="dxa"/>
            <w:vAlign w:val="bottom"/>
            <w:tcBorders>
              <w:bottom w:val="single" w:sz="8" w:color="0000EE"/>
            </w:tcBorders>
            <w:gridSpan w:val="3"/>
          </w:tcPr>
          <w:p>
            <w:pPr>
              <w:spacing w:after="0"/>
              <w:rPr>
                <w:rFonts w:ascii="Arial" w:cs="Arial" w:eastAsia="Arial" w:hAnsi="Arial"/>
                <w:sz w:val="19"/>
                <w:szCs w:val="19"/>
                <w:color w:val="0000EE"/>
                <w:w w:val="99"/>
              </w:rPr>
            </w:pPr>
            <w:hyperlink w:anchor="page20">
              <w:r>
                <w:rPr>
                  <w:rFonts w:ascii="Arial" w:cs="Arial" w:eastAsia="Arial" w:hAnsi="Arial"/>
                  <w:sz w:val="19"/>
                  <w:szCs w:val="19"/>
                  <w:color w:val="0000EE"/>
                  <w:w w:val="99"/>
                </w:rPr>
                <w:t>Properties</w:t>
              </w:r>
            </w:hyperlink>
          </w:p>
        </w:tc>
        <w:tc>
          <w:tcPr>
            <w:tcW w:w="8060" w:type="dxa"/>
            <w:vAlign w:val="bottom"/>
            <w:gridSpan w:val="21"/>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21">
              <w:r>
                <w:rPr>
                  <w:rFonts w:ascii="Arial" w:cs="Arial" w:eastAsia="Arial" w:hAnsi="Arial"/>
                  <w:sz w:val="19"/>
                  <w:szCs w:val="19"/>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9"/>
                <w:szCs w:val="19"/>
                <w:color w:val="auto"/>
              </w:rPr>
              <w:t>4.</w:t>
            </w: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21">
              <w:r>
                <w:rPr>
                  <w:rFonts w:ascii="Arial" w:cs="Arial" w:eastAsia="Arial" w:hAnsi="Arial"/>
                  <w:sz w:val="19"/>
                  <w:szCs w:val="19"/>
                  <w:color w:val="0000EE"/>
                </w:rPr>
                <w:t>Submission of Matters to a Vote of Security Holders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40" w:type="dxa"/>
            <w:vAlign w:val="bottom"/>
            <w:tcBorders>
              <w:bottom w:val="single" w:sz="8" w:color="0000EE"/>
            </w:tcBorders>
            <w:gridSpan w:val="12"/>
          </w:tcPr>
          <w:p>
            <w:pPr>
              <w:spacing w:after="0" w:line="210" w:lineRule="exact"/>
              <w:rPr>
                <w:rFonts w:ascii="Arial" w:cs="Arial" w:eastAsia="Arial" w:hAnsi="Arial"/>
                <w:sz w:val="19"/>
                <w:szCs w:val="19"/>
                <w:color w:val="0000EE"/>
              </w:rPr>
            </w:pPr>
            <w:hyperlink w:anchor="page22">
              <w:r>
                <w:rPr>
                  <w:rFonts w:ascii="Arial" w:cs="Arial" w:eastAsia="Arial" w:hAnsi="Arial"/>
                  <w:sz w:val="19"/>
                  <w:szCs w:val="19"/>
                  <w:color w:val="0000EE"/>
                </w:rPr>
                <w:t>Executive Officers of the Registrant</w:t>
              </w:r>
            </w:hyperlink>
          </w:p>
        </w:tc>
        <w:tc>
          <w:tcPr>
            <w:tcW w:w="2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2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9"/>
                <w:szCs w:val="19"/>
                <w:color w:val="auto"/>
              </w:rPr>
              <w:t>Part II.</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320" w:type="dxa"/>
            <w:vAlign w:val="bottom"/>
          </w:tcPr>
          <w:p>
            <w:pPr>
              <w:spacing w:after="0"/>
              <w:rPr>
                <w:sz w:val="24"/>
                <w:szCs w:val="24"/>
                <w:color w:val="auto"/>
              </w:rPr>
            </w:pPr>
          </w:p>
        </w:tc>
        <w:tc>
          <w:tcPr>
            <w:tcW w:w="8940" w:type="dxa"/>
            <w:vAlign w:val="bottom"/>
            <w:gridSpan w:val="24"/>
          </w:tcPr>
          <w:p>
            <w:pPr>
              <w:spacing w:after="0"/>
              <w:rPr>
                <w:rFonts w:ascii="Arial" w:cs="Arial" w:eastAsia="Arial" w:hAnsi="Arial"/>
                <w:sz w:val="19"/>
                <w:szCs w:val="19"/>
                <w:color w:val="0000EE"/>
              </w:rPr>
            </w:pPr>
            <w:hyperlink w:anchor="page23">
              <w:r>
                <w:rPr>
                  <w:rFonts w:ascii="Arial" w:cs="Arial" w:eastAsia="Arial" w:hAnsi="Arial"/>
                  <w:sz w:val="19"/>
                  <w:szCs w:val="19"/>
                  <w:color w:val="0000EE"/>
                </w:rPr>
                <w:t>Market for Registrant’s Common Equity, Related Stockholder Matters and Issuer Purchases of</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9"/>
                <w:szCs w:val="19"/>
                <w:color w:val="0000EE"/>
              </w:rPr>
            </w:pPr>
            <w:hyperlink w:anchor="page23">
              <w:r>
                <w:rPr>
                  <w:rFonts w:ascii="Arial" w:cs="Arial" w:eastAsia="Arial" w:hAnsi="Arial"/>
                  <w:sz w:val="19"/>
                  <w:szCs w:val="19"/>
                  <w:color w:val="0000EE"/>
                </w:rPr>
                <w:t>Equity Securities</w:t>
              </w:r>
            </w:hyperlink>
          </w:p>
        </w:tc>
        <w:tc>
          <w:tcPr>
            <w:tcW w:w="6260" w:type="dxa"/>
            <w:vAlign w:val="bottom"/>
            <w:tcBorders>
              <w:top w:val="single" w:sz="8" w:color="0000EE"/>
            </w:tcBorders>
            <w:gridSpan w:val="15"/>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6.</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25">
              <w:r>
                <w:rPr>
                  <w:rFonts w:ascii="Arial" w:cs="Arial" w:eastAsia="Arial" w:hAnsi="Arial"/>
                  <w:sz w:val="19"/>
                  <w:szCs w:val="19"/>
                  <w:color w:val="0000EE"/>
                </w:rPr>
                <w:t>Selected Financial Data</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9"/>
                <w:szCs w:val="19"/>
                <w:color w:val="auto"/>
              </w:rPr>
              <w:t>7.</w:t>
            </w:r>
          </w:p>
        </w:tc>
        <w:tc>
          <w:tcPr>
            <w:tcW w:w="32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25">
              <w:r>
                <w:rPr>
                  <w:rFonts w:ascii="Arial" w:cs="Arial" w:eastAsia="Arial" w:hAnsi="Arial"/>
                  <w:sz w:val="19"/>
                  <w:szCs w:val="19"/>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7A.</w:t>
            </w:r>
          </w:p>
        </w:tc>
        <w:tc>
          <w:tcPr>
            <w:tcW w:w="320" w:type="dxa"/>
            <w:vAlign w:val="bottom"/>
          </w:tcPr>
          <w:p>
            <w:pPr>
              <w:spacing w:after="0"/>
              <w:rPr>
                <w:sz w:val="21"/>
                <w:szCs w:val="21"/>
                <w:color w:val="auto"/>
              </w:rPr>
            </w:pPr>
          </w:p>
        </w:tc>
        <w:tc>
          <w:tcPr>
            <w:tcW w:w="5080" w:type="dxa"/>
            <w:vAlign w:val="bottom"/>
            <w:tcBorders>
              <w:top w:val="single" w:sz="8" w:color="0000EE"/>
              <w:bottom w:val="single" w:sz="8" w:color="0000EE"/>
            </w:tcBorders>
            <w:gridSpan w:val="19"/>
          </w:tcPr>
          <w:p>
            <w:pPr>
              <w:spacing w:after="0"/>
              <w:rPr>
                <w:rFonts w:ascii="Arial" w:cs="Arial" w:eastAsia="Arial" w:hAnsi="Arial"/>
                <w:sz w:val="19"/>
                <w:szCs w:val="19"/>
                <w:color w:val="0000EE"/>
              </w:rPr>
            </w:pPr>
            <w:hyperlink w:anchor="page52">
              <w:r>
                <w:rPr>
                  <w:rFonts w:ascii="Arial" w:cs="Arial" w:eastAsia="Arial" w:hAnsi="Arial"/>
                  <w:sz w:val="19"/>
                  <w:szCs w:val="19"/>
                  <w:color w:val="0000EE"/>
                </w:rPr>
                <w:t>Quantitative and Qualitative Disclosures About Market Risk</w:t>
              </w:r>
            </w:hyperlink>
          </w:p>
        </w:tc>
        <w:tc>
          <w:tcPr>
            <w:tcW w:w="2540" w:type="dxa"/>
            <w:vAlign w:val="bottom"/>
            <w:tcBorders>
              <w:top w:val="single" w:sz="8" w:color="0000EE"/>
            </w:tcBorders>
          </w:tcPr>
          <w:p>
            <w:pPr>
              <w:spacing w:after="0"/>
              <w:rPr>
                <w:sz w:val="21"/>
                <w:szCs w:val="21"/>
                <w:color w:val="auto"/>
              </w:rPr>
            </w:pPr>
          </w:p>
        </w:tc>
        <w:tc>
          <w:tcPr>
            <w:tcW w:w="1320" w:type="dxa"/>
            <w:vAlign w:val="bottom"/>
            <w:gridSpan w:val="4"/>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53">
              <w:r>
                <w:rPr>
                  <w:rFonts w:ascii="Arial" w:cs="Arial" w:eastAsia="Arial" w:hAnsi="Arial"/>
                  <w:sz w:val="19"/>
                  <w:szCs w:val="19"/>
                  <w:color w:val="0000EE"/>
                </w:rPr>
                <w:t>Financial Statements and Supplementary Data</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9"/>
                <w:szCs w:val="19"/>
                <w:color w:val="auto"/>
              </w:rPr>
              <w:t>9.</w:t>
            </w:r>
          </w:p>
        </w:tc>
        <w:tc>
          <w:tcPr>
            <w:tcW w:w="32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108">
              <w:r>
                <w:rPr>
                  <w:rFonts w:ascii="Arial" w:cs="Arial" w:eastAsia="Arial" w:hAnsi="Arial"/>
                  <w:sz w:val="19"/>
                  <w:szCs w:val="19"/>
                  <w:color w:val="0000EE"/>
                </w:rPr>
                <w:t>Changes in and Disagreements with Accountants on Accounting and Financial Disclosure</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9A.</w:t>
            </w:r>
          </w:p>
        </w:tc>
        <w:tc>
          <w:tcPr>
            <w:tcW w:w="320" w:type="dxa"/>
            <w:vAlign w:val="bottom"/>
          </w:tcPr>
          <w:p>
            <w:pPr>
              <w:spacing w:after="0"/>
              <w:rPr>
                <w:sz w:val="21"/>
                <w:szCs w:val="21"/>
                <w:color w:val="auto"/>
              </w:rPr>
            </w:pPr>
          </w:p>
        </w:tc>
        <w:tc>
          <w:tcPr>
            <w:tcW w:w="2160" w:type="dxa"/>
            <w:vAlign w:val="bottom"/>
            <w:tcBorders>
              <w:top w:val="single" w:sz="8" w:color="0000EE"/>
              <w:bottom w:val="single" w:sz="8" w:color="0000EE"/>
            </w:tcBorders>
            <w:gridSpan w:val="11"/>
          </w:tcPr>
          <w:p>
            <w:pPr>
              <w:spacing w:after="0"/>
              <w:rPr>
                <w:rFonts w:ascii="Arial" w:cs="Arial" w:eastAsia="Arial" w:hAnsi="Arial"/>
                <w:sz w:val="19"/>
                <w:szCs w:val="19"/>
                <w:color w:val="0000EE"/>
              </w:rPr>
            </w:pPr>
            <w:hyperlink w:anchor="page108">
              <w:r>
                <w:rPr>
                  <w:rFonts w:ascii="Arial" w:cs="Arial" w:eastAsia="Arial" w:hAnsi="Arial"/>
                  <w:sz w:val="19"/>
                  <w:szCs w:val="19"/>
                  <w:color w:val="0000EE"/>
                </w:rPr>
                <w:t>Controls and Procedures</w:t>
              </w:r>
            </w:hyperlink>
          </w:p>
        </w:tc>
        <w:tc>
          <w:tcPr>
            <w:tcW w:w="5520" w:type="dxa"/>
            <w:vAlign w:val="bottom"/>
            <w:tcBorders>
              <w:top w:val="single" w:sz="8" w:color="0000EE"/>
            </w:tcBorders>
            <w:gridSpan w:val="10"/>
          </w:tcPr>
          <w:p>
            <w:pPr>
              <w:spacing w:after="0"/>
              <w:rPr>
                <w:sz w:val="21"/>
                <w:szCs w:val="21"/>
                <w:color w:val="auto"/>
              </w:rPr>
            </w:pPr>
          </w:p>
        </w:tc>
        <w:tc>
          <w:tcPr>
            <w:tcW w:w="1260" w:type="dxa"/>
            <w:vAlign w:val="bottom"/>
            <w:gridSpan w:val="3"/>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9B.</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109">
              <w:r>
                <w:rPr>
                  <w:rFonts w:ascii="Arial" w:cs="Arial" w:eastAsia="Arial" w:hAnsi="Arial"/>
                  <w:sz w:val="19"/>
                  <w:szCs w:val="19"/>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9"/>
                <w:szCs w:val="19"/>
                <w:color w:val="auto"/>
              </w:rPr>
              <w:t>Part III.</w:t>
            </w:r>
          </w:p>
        </w:tc>
        <w:tc>
          <w:tcPr>
            <w:tcW w:w="600" w:type="dxa"/>
            <w:vAlign w:val="bottom"/>
            <w:gridSpan w:val="2"/>
            <w:vMerge w:val="restart"/>
          </w:tcPr>
          <w:p>
            <w:pPr>
              <w:jc w:val="right"/>
              <w:spacing w:after="0"/>
              <w:rPr>
                <w:sz w:val="20"/>
                <w:szCs w:val="20"/>
                <w:color w:val="auto"/>
              </w:rPr>
            </w:pPr>
            <w:r>
              <w:rPr>
                <w:rFonts w:ascii="Arial" w:cs="Arial" w:eastAsia="Arial" w:hAnsi="Arial"/>
                <w:sz w:val="19"/>
                <w:szCs w:val="19"/>
                <w:color w:val="auto"/>
              </w:rPr>
              <w:t>10.</w:t>
            </w:r>
          </w:p>
        </w:tc>
        <w:tc>
          <w:tcPr>
            <w:tcW w:w="32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tcBorders>
              <w:bottom w:val="single" w:sz="8" w:color="0000EE"/>
            </w:tcBorders>
            <w:gridSpan w:val="17"/>
          </w:tcPr>
          <w:p>
            <w:pPr>
              <w:spacing w:after="0"/>
              <w:rPr>
                <w:rFonts w:ascii="Arial" w:cs="Arial" w:eastAsia="Arial" w:hAnsi="Arial"/>
                <w:sz w:val="19"/>
                <w:szCs w:val="19"/>
                <w:color w:val="0000EE"/>
              </w:rPr>
            </w:pPr>
            <w:hyperlink w:anchor="page109">
              <w:r>
                <w:rPr>
                  <w:rFonts w:ascii="Arial" w:cs="Arial" w:eastAsia="Arial" w:hAnsi="Arial"/>
                  <w:sz w:val="19"/>
                  <w:szCs w:val="19"/>
                  <w:color w:val="0000EE"/>
                </w:rPr>
                <w:t>Directors and Executive Officers of the Registrant</w:t>
              </w:r>
            </w:hyperlink>
          </w:p>
        </w:tc>
        <w:tc>
          <w:tcPr>
            <w:tcW w:w="47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11.</w:t>
            </w:r>
          </w:p>
        </w:tc>
        <w:tc>
          <w:tcPr>
            <w:tcW w:w="320" w:type="dxa"/>
            <w:vAlign w:val="bottom"/>
          </w:tcPr>
          <w:p>
            <w:pPr>
              <w:spacing w:after="0"/>
              <w:rPr>
                <w:sz w:val="21"/>
                <w:szCs w:val="21"/>
                <w:color w:val="auto"/>
              </w:rPr>
            </w:pPr>
          </w:p>
        </w:tc>
        <w:tc>
          <w:tcPr>
            <w:tcW w:w="2160" w:type="dxa"/>
            <w:vAlign w:val="bottom"/>
            <w:tcBorders>
              <w:bottom w:val="single" w:sz="8" w:color="0000EE"/>
            </w:tcBorders>
            <w:gridSpan w:val="11"/>
          </w:tcPr>
          <w:p>
            <w:pPr>
              <w:spacing w:after="0"/>
              <w:rPr>
                <w:rFonts w:ascii="Arial" w:cs="Arial" w:eastAsia="Arial" w:hAnsi="Arial"/>
                <w:sz w:val="19"/>
                <w:szCs w:val="19"/>
                <w:color w:val="0000EE"/>
              </w:rPr>
            </w:pPr>
            <w:hyperlink w:anchor="page109">
              <w:r>
                <w:rPr>
                  <w:rFonts w:ascii="Arial" w:cs="Arial" w:eastAsia="Arial" w:hAnsi="Arial"/>
                  <w:sz w:val="19"/>
                  <w:szCs w:val="19"/>
                  <w:color w:val="0000EE"/>
                </w:rPr>
                <w:t>Executive Compensation</w:t>
              </w:r>
            </w:hyperlink>
          </w:p>
        </w:tc>
        <w:tc>
          <w:tcPr>
            <w:tcW w:w="6780" w:type="dxa"/>
            <w:vAlign w:val="bottom"/>
            <w:gridSpan w:val="13"/>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12.</w:t>
            </w:r>
          </w:p>
        </w:tc>
        <w:tc>
          <w:tcPr>
            <w:tcW w:w="320" w:type="dxa"/>
            <w:vAlign w:val="bottom"/>
          </w:tcPr>
          <w:p>
            <w:pPr>
              <w:spacing w:after="0"/>
              <w:rPr>
                <w:sz w:val="19"/>
                <w:szCs w:val="19"/>
                <w:color w:val="auto"/>
              </w:rPr>
            </w:pPr>
          </w:p>
        </w:tc>
        <w:tc>
          <w:tcPr>
            <w:tcW w:w="8940" w:type="dxa"/>
            <w:vAlign w:val="bottom"/>
            <w:gridSpan w:val="24"/>
          </w:tcPr>
          <w:p>
            <w:pPr>
              <w:spacing w:after="0"/>
              <w:rPr>
                <w:rFonts w:ascii="Arial" w:cs="Arial" w:eastAsia="Arial" w:hAnsi="Arial"/>
                <w:sz w:val="19"/>
                <w:szCs w:val="19"/>
                <w:color w:val="0000EE"/>
              </w:rPr>
            </w:pPr>
            <w:hyperlink w:anchor="page109">
              <w:r>
                <w:rPr>
                  <w:rFonts w:ascii="Arial" w:cs="Arial" w:eastAsia="Arial" w:hAnsi="Arial"/>
                  <w:sz w:val="19"/>
                  <w:szCs w:val="19"/>
                  <w:color w:val="0000EE"/>
                </w:rPr>
                <w:t>Security Ownership of Certain Beneficial Owners and Management and Related Stockholder</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9"/>
                <w:szCs w:val="19"/>
                <w:color w:val="0000EE"/>
                <w:w w:val="97"/>
              </w:rPr>
            </w:pPr>
            <w:hyperlink w:anchor="page109">
              <w:r>
                <w:rPr>
                  <w:rFonts w:ascii="Arial" w:cs="Arial" w:eastAsia="Arial" w:hAnsi="Arial"/>
                  <w:sz w:val="19"/>
                  <w:szCs w:val="19"/>
                  <w:color w:val="0000EE"/>
                  <w:w w:val="97"/>
                </w:rPr>
                <w:t>Matters</w:t>
              </w:r>
            </w:hyperlink>
          </w:p>
        </w:tc>
        <w:tc>
          <w:tcPr>
            <w:tcW w:w="6920" w:type="dxa"/>
            <w:vAlign w:val="bottom"/>
            <w:tcBorders>
              <w:top w:val="single" w:sz="8" w:color="0000EE"/>
            </w:tcBorders>
            <w:gridSpan w:val="18"/>
          </w:tcPr>
          <w:p>
            <w:pPr>
              <w:spacing w:after="0"/>
              <w:rPr>
                <w:sz w:val="17"/>
                <w:szCs w:val="17"/>
                <w:color w:val="auto"/>
              </w:rPr>
            </w:pPr>
          </w:p>
        </w:tc>
        <w:tc>
          <w:tcPr>
            <w:tcW w:w="10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13.</w:t>
            </w:r>
          </w:p>
        </w:tc>
        <w:tc>
          <w:tcPr>
            <w:tcW w:w="320" w:type="dxa"/>
            <w:vAlign w:val="bottom"/>
          </w:tcPr>
          <w:p>
            <w:pPr>
              <w:spacing w:after="0"/>
              <w:rPr>
                <w:sz w:val="21"/>
                <w:szCs w:val="21"/>
                <w:color w:val="auto"/>
              </w:rPr>
            </w:pPr>
          </w:p>
        </w:tc>
        <w:tc>
          <w:tcPr>
            <w:tcW w:w="4100" w:type="dxa"/>
            <w:vAlign w:val="bottom"/>
            <w:tcBorders>
              <w:bottom w:val="single" w:sz="8" w:color="0000EE"/>
            </w:tcBorders>
            <w:gridSpan w:val="16"/>
          </w:tcPr>
          <w:p>
            <w:pPr>
              <w:spacing w:after="0"/>
              <w:rPr>
                <w:rFonts w:ascii="Arial" w:cs="Arial" w:eastAsia="Arial" w:hAnsi="Arial"/>
                <w:sz w:val="19"/>
                <w:szCs w:val="19"/>
                <w:color w:val="0000EE"/>
              </w:rPr>
            </w:pPr>
            <w:hyperlink w:anchor="page112">
              <w:r>
                <w:rPr>
                  <w:rFonts w:ascii="Arial" w:cs="Arial" w:eastAsia="Arial" w:hAnsi="Arial"/>
                  <w:sz w:val="19"/>
                  <w:szCs w:val="19"/>
                  <w:color w:val="0000EE"/>
                </w:rPr>
                <w:t>Certain Relationships and Related Transactions</w:t>
              </w:r>
            </w:hyperlink>
          </w:p>
        </w:tc>
        <w:tc>
          <w:tcPr>
            <w:tcW w:w="4840" w:type="dxa"/>
            <w:vAlign w:val="bottom"/>
            <w:gridSpan w:val="8"/>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14.</w:t>
            </w:r>
          </w:p>
        </w:tc>
        <w:tc>
          <w:tcPr>
            <w:tcW w:w="320" w:type="dxa"/>
            <w:vAlign w:val="bottom"/>
          </w:tcPr>
          <w:p>
            <w:pPr>
              <w:spacing w:after="0"/>
              <w:rPr>
                <w:sz w:val="21"/>
                <w:szCs w:val="21"/>
                <w:color w:val="auto"/>
              </w:rPr>
            </w:pPr>
          </w:p>
        </w:tc>
        <w:tc>
          <w:tcPr>
            <w:tcW w:w="3420" w:type="dxa"/>
            <w:vAlign w:val="bottom"/>
            <w:tcBorders>
              <w:bottom w:val="single" w:sz="8" w:color="0000EE"/>
            </w:tcBorders>
            <w:gridSpan w:val="13"/>
          </w:tcPr>
          <w:p>
            <w:pPr>
              <w:spacing w:after="0"/>
              <w:rPr>
                <w:rFonts w:ascii="Arial" w:cs="Arial" w:eastAsia="Arial" w:hAnsi="Arial"/>
                <w:sz w:val="19"/>
                <w:szCs w:val="19"/>
                <w:color w:val="0000EE"/>
              </w:rPr>
            </w:pPr>
            <w:hyperlink w:anchor="page112">
              <w:r>
                <w:rPr>
                  <w:rFonts w:ascii="Arial" w:cs="Arial" w:eastAsia="Arial" w:hAnsi="Arial"/>
                  <w:sz w:val="19"/>
                  <w:szCs w:val="19"/>
                  <w:color w:val="0000EE"/>
                </w:rPr>
                <w:t>Principal Accounting Fees and Services</w:t>
              </w:r>
            </w:hyperlink>
          </w:p>
        </w:tc>
        <w:tc>
          <w:tcPr>
            <w:tcW w:w="5520" w:type="dxa"/>
            <w:vAlign w:val="bottom"/>
            <w:gridSpan w:val="11"/>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9"/>
                <w:szCs w:val="19"/>
                <w:color w:val="auto"/>
              </w:rPr>
              <w:t>Part IV.</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15.</w:t>
            </w:r>
          </w:p>
        </w:tc>
        <w:tc>
          <w:tcPr>
            <w:tcW w:w="320" w:type="dxa"/>
            <w:vAlign w:val="bottom"/>
          </w:tcPr>
          <w:p>
            <w:pPr>
              <w:spacing w:after="0"/>
              <w:rPr>
                <w:sz w:val="24"/>
                <w:szCs w:val="24"/>
                <w:color w:val="auto"/>
              </w:rPr>
            </w:pPr>
          </w:p>
        </w:tc>
        <w:tc>
          <w:tcPr>
            <w:tcW w:w="8940" w:type="dxa"/>
            <w:vAlign w:val="bottom"/>
            <w:gridSpan w:val="24"/>
          </w:tcPr>
          <w:p>
            <w:pPr>
              <w:spacing w:after="0"/>
              <w:rPr>
                <w:rFonts w:ascii="Arial" w:cs="Arial" w:eastAsia="Arial" w:hAnsi="Arial"/>
                <w:sz w:val="19"/>
                <w:szCs w:val="19"/>
                <w:color w:val="0000EE"/>
              </w:rPr>
            </w:pPr>
            <w:hyperlink w:anchor="page113">
              <w:r>
                <w:rPr>
                  <w:rFonts w:ascii="Arial" w:cs="Arial" w:eastAsia="Arial" w:hAnsi="Arial"/>
                  <w:sz w:val="19"/>
                  <w:szCs w:val="19"/>
                  <w:color w:val="0000EE"/>
                </w:rPr>
                <w:t>Exhibits and Financial Statement Schedules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Borders>
              <w:bottom w:val="single" w:sz="8" w:color="0000EE"/>
            </w:tcBorders>
          </w:tcPr>
          <w:p>
            <w:pPr>
              <w:spacing w:after="0" w:line="204" w:lineRule="exact"/>
              <w:rPr>
                <w:rFonts w:ascii="Arial" w:cs="Arial" w:eastAsia="Arial" w:hAnsi="Arial"/>
                <w:sz w:val="19"/>
                <w:szCs w:val="19"/>
                <w:color w:val="0000EE"/>
                <w:w w:val="99"/>
              </w:rPr>
            </w:pPr>
            <w:hyperlink w:anchor="page114">
              <w:r>
                <w:rPr>
                  <w:rFonts w:ascii="Arial" w:cs="Arial" w:eastAsia="Arial" w:hAnsi="Arial"/>
                  <w:sz w:val="19"/>
                  <w:szCs w:val="19"/>
                  <w:color w:val="0000EE"/>
                  <w:w w:val="99"/>
                </w:rPr>
                <w:t>Signatures</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line="216" w:lineRule="exact"/>
              <w:rPr>
                <w:sz w:val="20"/>
                <w:szCs w:val="20"/>
                <w:color w:val="auto"/>
              </w:rPr>
            </w:pPr>
            <w:r>
              <w:rPr>
                <w:rFonts w:ascii="Arial" w:cs="Arial" w:eastAsia="Arial" w:hAnsi="Arial"/>
                <w:sz w:val="19"/>
                <w:szCs w:val="19"/>
                <w:color w:val="auto"/>
              </w:rPr>
              <w:t>110</w:t>
            </w:r>
          </w:p>
        </w:tc>
        <w:tc>
          <w:tcPr>
            <w:tcW w:w="0" w:type="dxa"/>
            <w:vAlign w:val="bottom"/>
          </w:tcPr>
          <w:p>
            <w:pPr>
              <w:spacing w:after="0"/>
              <w:rPr>
                <w:sz w:val="1"/>
                <w:szCs w:val="1"/>
                <w:color w:val="auto"/>
              </w:rPr>
            </w:pPr>
          </w:p>
        </w:tc>
      </w:tr>
      <w:tr>
        <w:trPr>
          <w:trHeight w:val="274"/>
        </w:trPr>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b w:val="1"/>
          <w:bCs w:val="1"/>
          <w:color w:val="auto"/>
        </w:rPr>
        <w:t>PART I.</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147" w:lineRule="exact"/>
        <w:rPr>
          <w:sz w:val="20"/>
          <w:szCs w:val="20"/>
          <w:color w:val="auto"/>
        </w:rPr>
      </w:pPr>
    </w:p>
    <w:p>
      <w:pPr>
        <w:ind w:right="220" w:firstLine="357"/>
        <w:spacing w:after="0" w:line="241" w:lineRule="auto"/>
        <w:rPr>
          <w:sz w:val="20"/>
          <w:szCs w:val="20"/>
          <w:color w:val="auto"/>
        </w:rPr>
      </w:pPr>
      <w:r>
        <w:rPr>
          <w:rFonts w:ascii="Arial" w:cs="Arial" w:eastAsia="Arial" w:hAnsi="Arial"/>
          <w:sz w:val="19"/>
          <w:szCs w:val="19"/>
          <w:color w:val="auto"/>
        </w:rPr>
        <w:t>Honeywell International Inc. (Honeywell) is a diversified technology and manufacturing company, serving customers worldwide with aerospace products and services, control, sensing and security technologies for buildings, homes and industry, turbochargers, automotive products, specialty chemicals, electronic and advanced materials, process technology for refining and petrochemicals, and energy efficient products and solutions for homes, business and transportation. Honeywell was incorporated in Delaware in 1985.</w:t>
      </w:r>
    </w:p>
    <w:p>
      <w:pPr>
        <w:spacing w:after="0" w:line="91"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We maintain an internet website at http://www.honeywell.com. Our Annual Report on Form 10-K, Quarterly Reports on Form 10-Q, Current Reports on Form 8-K and any amendments to those reports, are available free of charge on our website under the heading “Investor Relations” (see “SEC Filings &amp; Reports”) immediately after they are filed with, or furnished to, the Securities and Exchange Commission (SEC). In addition, in this Form 10-K, the Company incorporates by reference certain information from parts of its proxy statement for the 2010 Annual Meeting of Stockholders, which we expect to file with the SEC on or about March 11, 2010, and which will also be available free of charge on our website.</w:t>
      </w:r>
    </w:p>
    <w:p>
      <w:pPr>
        <w:spacing w:after="0" w:line="94" w:lineRule="exact"/>
        <w:rPr>
          <w:sz w:val="20"/>
          <w:szCs w:val="20"/>
          <w:color w:val="auto"/>
        </w:rPr>
      </w:pPr>
    </w:p>
    <w:p>
      <w:pPr>
        <w:ind w:right="200" w:firstLine="357"/>
        <w:spacing w:after="0" w:line="241" w:lineRule="auto"/>
        <w:rPr>
          <w:sz w:val="20"/>
          <w:szCs w:val="20"/>
          <w:color w:val="auto"/>
        </w:rPr>
      </w:pPr>
      <w:r>
        <w:rPr>
          <w:rFonts w:ascii="Arial" w:cs="Arial" w:eastAsia="Arial" w:hAnsi="Arial"/>
          <w:sz w:val="19"/>
          <w:szCs w:val="19"/>
          <w:color w:val="auto"/>
        </w:rPr>
        <w:t>Information relating to corporate governance at Honeywell, including Honeywell’s Code of Business Conduct, Corporate Governance Guidelines and Charters of the Committees of the Board of Directors are also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Major Businesses</w:t>
      </w:r>
    </w:p>
    <w:p>
      <w:pPr>
        <w:spacing w:after="0" w:line="130" w:lineRule="exact"/>
        <w:rPr>
          <w:sz w:val="20"/>
          <w:szCs w:val="20"/>
          <w:color w:val="auto"/>
        </w:rPr>
      </w:pPr>
    </w:p>
    <w:p>
      <w:pPr>
        <w:ind w:right="360" w:firstLine="357"/>
        <w:spacing w:after="0" w:line="245" w:lineRule="auto"/>
        <w:rPr>
          <w:sz w:val="20"/>
          <w:szCs w:val="20"/>
          <w:color w:val="auto"/>
        </w:rPr>
      </w:pPr>
      <w:r>
        <w:rPr>
          <w:rFonts w:ascii="Arial" w:cs="Arial" w:eastAsia="Arial" w:hAnsi="Arial"/>
          <w:sz w:val="19"/>
          <w:szCs w:val="19"/>
          <w:color w:val="auto"/>
        </w:rPr>
        <w:t>We globally manage our business operations through four businesses that are reported as operating segments: Aerospace, Automation and Control Solutions, Specialty Materials and Transportation Systems. Financial information related to our operating segments is included in Note 23 of Notes to Financial Statements in “Item 8. Financial Statements and Supplementary Data.”</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major products/services, customers/uses and key competitors of each of our operating segments follows: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w:t>
      </w:r>
    </w:p>
    <w:p>
      <w:pPr>
        <w:spacing w:after="0" w:line="130"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Our Aerospace segment is a leading global provider of integrated avionics, engines, systems and service solutions for aircraft manufacturers, airlines, business and general aviation, military, space and airport operations.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Turbine propulsion engines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TFE731 turbofan</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Business, regional, general</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TFE1042 turbofan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aviation and military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Rolls Royce/Allison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ATF3 turbofan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trainer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Turbomeca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F124 turbofan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and military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Williams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ALF502 turbofan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helicopters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LF507 turbofan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vehicles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CFE738 turbofan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HTF 7000 turbofan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T53, T55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T800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TF40B/50A</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HTS900</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LT101-650/750/850</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TPE 331 turboprop</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AGT1500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Repair, overhaul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spare parts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Auxiliary power units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Airborne auxiliary power</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(APUs)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units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business and military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Jet fuel starters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aircraft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Secondary power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Ground power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Ground power units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Repair, overhaul and spare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parts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Environmental control</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Air management systems: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Auxilec</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systems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 conditioning</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general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Barber Colman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Bleed air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Dukes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Cabin pressure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Ground vehicles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Eaton-Vickers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340"/>
              <w:spacing w:after="0" w:line="176" w:lineRule="exact"/>
              <w:rPr>
                <w:sz w:val="20"/>
                <w:szCs w:val="20"/>
                <w:color w:val="auto"/>
              </w:rPr>
            </w:pPr>
            <w:r>
              <w:rPr>
                <w:rFonts w:ascii="Arial" w:cs="Arial" w:eastAsia="Arial" w:hAnsi="Arial"/>
                <w:sz w:val="16"/>
                <w:szCs w:val="16"/>
                <w:color w:val="auto"/>
              </w:rPr>
              <w:t>control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Spacecraft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 purification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Goodrich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340"/>
              <w:spacing w:after="0" w:line="176" w:lineRule="exact"/>
              <w:rPr>
                <w:sz w:val="20"/>
                <w:szCs w:val="20"/>
                <w:color w:val="auto"/>
              </w:rPr>
            </w:pPr>
            <w:r>
              <w:rPr>
                <w:rFonts w:ascii="Arial" w:cs="Arial" w:eastAsia="Arial" w:hAnsi="Arial"/>
                <w:sz w:val="16"/>
                <w:szCs w:val="16"/>
                <w:color w:val="auto"/>
              </w:rPr>
              <w:t>treatment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Liebherr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Gas Processing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Pacific Scientific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Heat Exchangers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Parker Hannifin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Turbo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TAT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Repair, overhaul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spare parts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Electric power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Generators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Power distribution &amp; control</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business and military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Goodrich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Power conditioning</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Safran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Repair, overhaul and spare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parts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Engine systems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Electronic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BAE Controls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accessories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hydromechanical fuel</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general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Goodrich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controls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Parker Hannifin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Engine start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Electronic engine controls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Sensors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Valves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Electric and pneumatic</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power generation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Thrust reverser actuation,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pneumatic and electric</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Avionics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Flight safety systems: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business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Enhanced Ground</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general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Boeing/Jeppesen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Proximity Warning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Government aviation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Garmin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 (EGPWS)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Traffic Alert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Goodrich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Collision Avoidance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Kaiser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 (TCAS)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L3</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Windshear detection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Lockheed Martin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Flight data and cockpit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Rockwell Collins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voice recorders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Thales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Weather radar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Trimble/Terra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Communication, navigation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Universal Avionics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surveillance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Universal Weather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Navigation &amp; guidance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Global positioning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Satellite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Integrated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Flight management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Cockpit display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Data management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aircraft performance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monitoring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Aircraft information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Network file servers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Wireless network</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transceivers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Weather information network</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Navigation database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information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Cabin management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Vibration detection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monitoring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Mission management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Tactical data management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systems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Aircraft and Obstruction</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Inset lights</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Bruce</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lighting</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Regulators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business, helicopter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Hella/Goodrich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Tower and obstruction lights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military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LSI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Interior and exterior</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(operators, OEMs, parts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Luminator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aircraft lighting</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distributors and MRO</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Siemens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service providers)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Whelen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General contractors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(building and tower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manufacturers),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cell-phone companies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Inertial sensor</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Inertial sensor systems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Military and commercial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Astronautics-Kearfott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for guidance, stabilization,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vehicles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navigation and control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spacecraft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Ball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Gyroscopes, accelerometers,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launch vehicles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inertial measurement units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regional,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thermal switches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business and military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L3 Com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KVH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Transportation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Missiles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Rockwell</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Munitions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Control products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Radar altimeters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Military aircraft</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Ball Brothers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Pressure products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Missiles, UAVs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Air data products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applications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Druck</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Thermal switches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Goodrich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Magnetic sensors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NavCom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Rosemount</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Solarton</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Space products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Guidance subsystems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subsystems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Control subsystems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military-spacecraft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Ithaco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Processing subsystems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DoD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L3</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Radiation hardened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FAA</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electronics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NASA</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Raytheon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integrated circuits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GPS-based range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safety systems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Management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Maintenance/operation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U.S. government space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Bechtel</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technical services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provision of space</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(NASA)</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Boeing</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 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DoD (logistics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Computer Sciences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facilities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information 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Dyncorp</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Systems engineering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FAA</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ITT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integration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DoE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Lockheed Martin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Information technology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Local governments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Raytheon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space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SAIC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Logistics and sustainment</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ground segment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The Washington Group</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systems and services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United Space Alliance</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Landing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Wheels and brakes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airline, regional,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Dunlop Standard Aerospace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Wheel and brake repair and</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business and military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Goodrich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overhaul services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K&amp;F Industries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High performance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Messier-BugattiN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commercial vehicles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ASCO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USAF, DoD, DoE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Boeing, Airbus, Lockheed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Martin</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Automation and Control Solutions</w:t>
      </w:r>
    </w:p>
    <w:p>
      <w:pPr>
        <w:spacing w:after="0" w:line="116"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Our Automation and Control Solutions segment is a leading global provider of environmental and combustion controls, sensing controls, security and life safety products and services, scanning and mobility devices and process automation and building solutions and services for homes, buildings and industrial facilities.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Environmental and</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Heating, ventilating and</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Original equipment</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Bosch</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combustion controls;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air conditioning controls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manufacturers (OEMs)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Cherry</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sensing controls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components for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Distributors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Danfoss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homes and buildings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Contractors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Eaton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Indoor air quality products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Retailers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Emerson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including zoning, air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System integrators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Endress &amp; Hauser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cleaners, humidification,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customers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Holmes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heat and energy recovery</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homeowners served by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Invensys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ventilators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the distributor, wholesaler,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Johnson Controls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Controls plus integrated</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contractor, retail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Motorola</w:t>
            </w:r>
          </w:p>
        </w:tc>
      </w:tr>
      <w:tr>
        <w:trPr>
          <w:trHeight w:val="189"/>
        </w:trPr>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tcPr>
          <w:p>
            <w:pPr>
              <w:ind w:left="200"/>
              <w:spacing w:after="0"/>
              <w:rPr>
                <w:sz w:val="20"/>
                <w:szCs w:val="20"/>
                <w:color w:val="auto"/>
              </w:rPr>
            </w:pPr>
            <w:r>
              <w:rPr>
                <w:rFonts w:ascii="Arial" w:cs="Arial" w:eastAsia="Arial" w:hAnsi="Arial"/>
                <w:sz w:val="16"/>
                <w:szCs w:val="16"/>
                <w:color w:val="auto"/>
              </w:rPr>
              <w:t>electronic systems for</w:t>
            </w:r>
          </w:p>
        </w:tc>
        <w:tc>
          <w:tcPr>
            <w:tcW w:w="300" w:type="dxa"/>
            <w:vAlign w:val="bottom"/>
          </w:tcPr>
          <w:p>
            <w:pPr>
              <w:spacing w:after="0"/>
              <w:rPr>
                <w:sz w:val="16"/>
                <w:szCs w:val="16"/>
                <w:color w:val="auto"/>
              </w:rPr>
            </w:pPr>
          </w:p>
        </w:tc>
        <w:tc>
          <w:tcPr>
            <w:tcW w:w="2620" w:type="dxa"/>
            <w:vAlign w:val="bottom"/>
          </w:tcPr>
          <w:p>
            <w:pPr>
              <w:ind w:left="200"/>
              <w:spacing w:after="0"/>
              <w:rPr>
                <w:sz w:val="20"/>
                <w:szCs w:val="20"/>
                <w:color w:val="auto"/>
              </w:rPr>
            </w:pPr>
            <w:r>
              <w:rPr>
                <w:rFonts w:ascii="Arial" w:cs="Arial" w:eastAsia="Arial" w:hAnsi="Arial"/>
                <w:sz w:val="16"/>
                <w:szCs w:val="16"/>
                <w:color w:val="auto"/>
              </w:rPr>
              <w:t>utility channels</w:t>
            </w:r>
          </w:p>
        </w:tc>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tcPr>
          <w:p>
            <w:pPr>
              <w:ind w:left="200"/>
              <w:spacing w:after="0"/>
              <w:rPr>
                <w:sz w:val="20"/>
                <w:szCs w:val="20"/>
                <w:color w:val="auto"/>
              </w:rPr>
            </w:pPr>
            <w:r>
              <w:rPr>
                <w:rFonts w:ascii="Arial" w:cs="Arial" w:eastAsia="Arial" w:hAnsi="Arial"/>
                <w:sz w:val="16"/>
                <w:szCs w:val="16"/>
                <w:color w:val="auto"/>
              </w:rPr>
              <w:t>burners, boilers and</w:t>
            </w:r>
          </w:p>
        </w:tc>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Schneider</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furnaces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Siemens</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Environmental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Consumer household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Package and materials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combustion controls;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products including</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handling operations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Yamatake</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sensing controls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humidifiers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Appliance manufacturers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(continued)</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thermostats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Automotive companies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Electrical devices ands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Aviation companies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witches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Food and beverage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Water controls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processors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Sensors, measurement,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Medical equipment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control and industrial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Heat treat processors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components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Computer and business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equipment manufacturers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Security and life safety</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Security products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OEMs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Bosch</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products and services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Retailers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Draeger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Fire products and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Distributors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Access controls and closed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customers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Hubbell Inc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circuit television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homeowners served by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Mine Safety Appliances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Home health monitoring</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the distributor, wholesaler,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Pelco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nurse call systems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contractor, retail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Phillips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Gas detection products and</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utility channels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Riken Keiki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Health care organizations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SiemensTyco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Emergency lighting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Security monitoring service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Distribution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providers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3M, Sperian Protection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Personal protection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Industrial, fire service, utility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equipment</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distributors and U.S.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Government</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Scanning and mobility</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Hand held and hands free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OEMs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Datalogic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image and laser based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Retailers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Intermec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bar code scanners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Distributors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Motorola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Scan engines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customers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Mobile and wireless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served by the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computers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transportation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logistics, manufacturing,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healthcare and retail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channels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Process automation</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Advanced control software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Refining and petrochemical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ABB</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products and solutions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industrial automation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companies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AspenTech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 for control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Chemical 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Emerson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monitoring of continuous,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Oil and gas producers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Invensys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batch and hybrid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Food and beverage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Siemens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operations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processors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Yokogawa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Production management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Pharmaceutical companies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software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Utilities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Communications systems for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Film and coated producers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Industrial Control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Pulp and paper industry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equipment and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Continuous web producers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Consulting, networking</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 the paper, plastics,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engineering and</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metals, rubber, non-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installation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wovens and printing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Terminal automation</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industries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solutions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Mining and mineral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Process control</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industries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instrumentation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Field instrumentation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Analyti cal instrumentation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Recorders Controllers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Critical environment control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solutions and services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Aftermarket maintenance,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repair and upgrade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Gas control, measurement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and analyzing equipment</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Building solutions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HVAC and building control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Building managers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Ameresco</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services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solutions and services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owners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GroupMac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Energy management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Contractors, architects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Ingersoll Rand</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solutions and services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developers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Invensys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Security and asset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Consulting engineers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Johnson Controls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management solutions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Security directors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Local contractors and</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Plant managers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utilities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Enterprise building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Utilities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Safegate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integration solutions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Large global corporations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Schneider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Building information 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Public school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Siemens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Airport lighting and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Universities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Trane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visual docking guidance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Local governments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Thorn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Public housing agencies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Airports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154"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Specialty Materials</w:t>
      </w:r>
    </w:p>
    <w:p>
      <w:pPr>
        <w:spacing w:after="0" w:line="130"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Our Specialty Materials segment is a global leader in providing customers with high-performance specialty materials, including hydrocarbon processing technologies, catalysts, adsorbents, equipment and services, fluorine products, specialty films and additives, advanced fibers and composites, intermediates, specialty chemicals, electronic materials and chemicals.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Resins &amp; chemicals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Nylon polymer</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Nylon for carpet fibers,</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Caprolactam</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engineered resins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DSM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Ammonium sulfate</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packaging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Sinopec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Cyclohexanone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Fertilizer ingredients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Cyclophexanol (KA Oil)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Specialty chemicals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MEKO</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Hydrofluoric acid (HF)</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Anhydrous and aqueous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Fluorocarbons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Mexichem Flour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hydrofluoric acid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Steel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Solvay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Oil refining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Chemical intermediates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Fluorocarbons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Refrigerants, aerosol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Refrigeration</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Arkema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insulation foam blowing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Air conditioning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Dupont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agents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Polyurethane foam</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Solvay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Genesolv® solvents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Precision cleaning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Ineos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Oxyfume sterilant gases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Optical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Ennovate 3000 blowing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Appliances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agent for refrigeration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Hospitals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insulation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Medical equipment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manufacturers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Fluorine specialties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Sulfur hexafluoride (SF</w:t>
            </w:r>
            <w:r>
              <w:rPr>
                <w:rFonts w:ascii="Arial" w:cs="Arial" w:eastAsia="Arial" w:hAnsi="Arial"/>
                <w:sz w:val="10"/>
                <w:szCs w:val="10"/>
                <w:color w:val="auto"/>
              </w:rPr>
              <w:t>6</w:t>
            </w: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Air Products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Iodine pentafluoride (IF)</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Magnesium gear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Asahi Glass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Antimony pentafluoride</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Solvay</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(SbF</w:t>
            </w:r>
            <w:r>
              <w:rPr>
                <w:rFonts w:ascii="Arial" w:cs="Arial" w:eastAsia="Arial" w:hAnsi="Arial"/>
                <w:sz w:val="10"/>
                <w:szCs w:val="10"/>
                <w:color w:val="auto"/>
              </w:rPr>
              <w:t>5</w:t>
            </w:r>
            <w:r>
              <w:rPr>
                <w:rFonts w:ascii="Arial" w:cs="Arial" w:eastAsia="Arial" w:hAnsi="Arial"/>
                <w:sz w:val="16"/>
                <w:szCs w:val="16"/>
                <w:color w:val="auto"/>
              </w:rPr>
              <w:t>)</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LiMing</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Nuclear services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UF</w:t>
            </w:r>
            <w:r>
              <w:rPr>
                <w:rFonts w:ascii="Arial" w:cs="Arial" w:eastAsia="Arial" w:hAnsi="Arial"/>
                <w:sz w:val="10"/>
                <w:szCs w:val="10"/>
                <w:color w:val="auto"/>
              </w:rPr>
              <w:t>6</w:t>
            </w:r>
            <w:r>
              <w:rPr>
                <w:rFonts w:ascii="Arial" w:cs="Arial" w:eastAsia="Arial" w:hAnsi="Arial"/>
                <w:sz w:val="16"/>
                <w:szCs w:val="16"/>
                <w:color w:val="auto"/>
              </w:rPr>
              <w:t xml:space="preserve"> conversion services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Nuclear fuel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Cameco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Comurhex</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Rosatom</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Research and fine chemicals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Oxime-based fine chemicals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Agrichemicals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Avecia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Fluoroaromatics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Biotech</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Degussa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High-purity solvents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DSM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 Merck</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Thermo Fisher Scientific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Lonza</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Sigma-Aldrich</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Performance chemicals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HF derivatives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Diverse by product type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Atotech</w:t>
            </w:r>
          </w:p>
        </w:tc>
      </w:tr>
      <w:tr>
        <w:trPr>
          <w:trHeight w:val="176"/>
        </w:trPr>
        <w:tc>
          <w:tcPr>
            <w:tcW w:w="2640" w:type="dxa"/>
            <w:vAlign w:val="bottom"/>
          </w:tcPr>
          <w:p>
            <w:pPr>
              <w:ind w:left="20"/>
              <w:spacing w:after="0" w:line="176" w:lineRule="exact"/>
              <w:rPr>
                <w:sz w:val="20"/>
                <w:szCs w:val="20"/>
                <w:color w:val="auto"/>
              </w:rPr>
            </w:pPr>
            <w:r>
              <w:rPr>
                <w:rFonts w:ascii="Arial" w:cs="Arial" w:eastAsia="Arial" w:hAnsi="Arial"/>
                <w:sz w:val="16"/>
                <w:szCs w:val="16"/>
                <w:color w:val="auto"/>
              </w:rPr>
              <w:t>Imaging chemicals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Fluoroaromatics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ind w:left="20"/>
              <w:spacing w:after="0" w:line="176" w:lineRule="exact"/>
              <w:rPr>
                <w:sz w:val="20"/>
                <w:szCs w:val="20"/>
                <w:color w:val="auto"/>
              </w:rPr>
            </w:pPr>
            <w:r>
              <w:rPr>
                <w:rFonts w:ascii="Arial" w:cs="Arial" w:eastAsia="Arial" w:hAnsi="Arial"/>
                <w:sz w:val="16"/>
                <w:szCs w:val="16"/>
                <w:color w:val="auto"/>
              </w:rPr>
              <w:t>Chemical processing</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Catalysts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DSM</w:t>
            </w:r>
          </w:p>
        </w:tc>
      </w:tr>
      <w:tr>
        <w:trPr>
          <w:trHeight w:val="184"/>
        </w:trPr>
        <w:tc>
          <w:tcPr>
            <w:tcW w:w="26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sealants</w:t>
            </w: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Oxime-silanes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Advanced fibers &amp;</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High modulus polyethylene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Bullet resistant vests,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DuPont</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composites</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fiber and shield</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helmets and other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DSM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composites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armor applications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Teijin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Aramid shield composites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Cut-resistant gloves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Rope &amp; cordage</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Specialty films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Cast nylon film</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Food and pharmaceutical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American Biaxis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Bi-axially oriented nylon film</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packaging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CFP</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Fluoropolymer film</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Daikin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Kolon</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Unitika</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Specialty additives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Polyethylene waxes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Coatings and inks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Paraffin waxes and blends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PVC pipe, siding &amp; profiles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Clariant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PVC lubricant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Plastics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Eastman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Processing aids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Reflective coatings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Luminescent pigments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Safety &amp; security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applications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Electronic chemicals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Ultra high-purity HF</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Semiconductors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KMG</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Inorganic acids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Photovoltaics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BASF</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Hi-purity solvents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General Chemical</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Semiconductor materials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Interconnect-dielectrics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Semiconductors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services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Interconnect-metals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Microelectronics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Brewer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Semiconductor packaging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Telecommunications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Dow Corning</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materials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Foxconn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Advanced polymers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Japan Energy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Sapphire substrates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Kyocera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Anti-reflective coatings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Shinko</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Thermo-couples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149" w:lineRule="exact"/>
        <w:rPr>
          <w:sz w:val="20"/>
          <w:szCs w:val="20"/>
          <w:color w:val="auto"/>
        </w:rPr>
      </w:pPr>
    </w:p>
    <w:p>
      <w:pPr>
        <w:sectPr>
          <w:pgSz w:w="11900" w:h="16838" w:orient="portrait"/>
          <w:cols w:equalWidth="0" w:num="1">
            <w:col w:w="11420"/>
          </w:cols>
          <w:pgMar w:left="240" w:top="116"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Catalysts, adsorbents and</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Catalysts</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Petroleum, refining,</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Axens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Specialties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Molecular sieves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petrochemical, gas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Adsorbents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processing,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WR Grace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Customer catalyst</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manufacturing industries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Haldor</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manufacturing</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Shell/Criterion</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Process technology</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Technology licensing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Petroleum refining,</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Axens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and equipment</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engineering design of</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petrochemical,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BP/Amoco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process units and systems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gas processing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Exxon-Mobil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Engineered products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Chevron Lummus Global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Proprietary equipment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Chicago Bridge &amp; Iron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Training and development of</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Koch Glitsch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technical personnel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Linde AG</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Gas processing technology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Natco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Shaw Group</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Shell/SGS</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Renewable fuels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Technology licensing of</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Agricultural products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Neste Oy</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chemicals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Process, catalysts,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Lurgi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absorbents,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Syntroleum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Refining equipment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Dynamotive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Services for producing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renewable-based fuels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and chemicals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Transportation Systems</w:t>
      </w:r>
    </w:p>
    <w:p>
      <w:pPr>
        <w:spacing w:after="0" w:line="130" w:lineRule="exact"/>
        <w:rPr>
          <w:sz w:val="20"/>
          <w:szCs w:val="20"/>
          <w:color w:val="auto"/>
        </w:rPr>
      </w:pPr>
    </w:p>
    <w:p>
      <w:pPr>
        <w:ind w:right="320" w:firstLine="357"/>
        <w:spacing w:after="0" w:line="253" w:lineRule="auto"/>
        <w:rPr>
          <w:sz w:val="20"/>
          <w:szCs w:val="20"/>
          <w:color w:val="auto"/>
        </w:rPr>
      </w:pPr>
      <w:r>
        <w:rPr>
          <w:rFonts w:ascii="Arial" w:cs="Arial" w:eastAsia="Arial" w:hAnsi="Arial"/>
          <w:sz w:val="19"/>
          <w:szCs w:val="19"/>
          <w:color w:val="auto"/>
        </w:rPr>
        <w:t>Our Transportation Systems segment is one of the leading manufacturers of engine boosting systems for passenger cars and commercial vehicles, as well as a leading provider of automotive care and braking products.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Charge-air systems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Turbochargers for gasoline</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Passenger car, truck and</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Borg-Warner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diesel engines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off-highway OEMs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Holset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Engine 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IHI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Aftermarket distributors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MHI</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dealers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Thermal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Exhaust gas coolers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Passenger car, truck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Behr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Charge-air coolers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off-highway OEMs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Modine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Aluminum radiators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Engine 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Valeo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Aluminum cooling modules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Aftermarket distributors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dealers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Aftermarket filters, spark</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Oil, air, fuel, transmission</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Automotive and heavy</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AC Delco</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plugs, electronic</w:t>
            </w: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and coolant filters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vehicle aftermarket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Bosch</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components and car care</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PCV valves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channels, OEMs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Champion</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products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Spark plugs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Original Equipment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Mann &amp; Hummel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Wire and cable</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Service Providers (OES)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NGK</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Antifreeze/coolant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Auto supply retailers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Peak/Old World Industries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Windshield washer fluids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Specialty installers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Purolator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Waxes, washes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Mass merchandisers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STP/ArmorAll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specialty cleaners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Turtle Wax</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Zerex/Valvoline</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Brake hard parts and other</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Disc brake pads and shoes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Automotive and heavy</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Advics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friction materials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Drum brake linings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vehicle OEMs, OES,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Akebono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Brake blocks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brake manufacturers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Continental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Disc and drum brake</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aftermarket channels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Federal-Mogul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components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Installers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ITT Corp</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Brake hydraulic components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Railway and commercial/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JBI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Brake fluid</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military aircraft OEMs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Nisshinbo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Aircraft brake linings</w:t>
            </w:r>
          </w:p>
        </w:tc>
        <w:tc>
          <w:tcPr>
            <w:tcW w:w="300" w:type="dxa"/>
            <w:vAlign w:val="bottom"/>
          </w:tcPr>
          <w:p>
            <w:pPr>
              <w:spacing w:after="0"/>
              <w:rPr>
                <w:sz w:val="15"/>
                <w:szCs w:val="15"/>
                <w:color w:val="auto"/>
              </w:rPr>
            </w:pPr>
          </w:p>
        </w:tc>
        <w:tc>
          <w:tcPr>
            <w:tcW w:w="2620" w:type="dxa"/>
            <w:vAlign w:val="bottom"/>
          </w:tcPr>
          <w:p>
            <w:pPr>
              <w:ind w:left="200"/>
              <w:spacing w:after="0" w:line="176" w:lineRule="exact"/>
              <w:rPr>
                <w:sz w:val="20"/>
                <w:szCs w:val="20"/>
                <w:color w:val="auto"/>
              </w:rPr>
            </w:pPr>
            <w:r>
              <w:rPr>
                <w:rFonts w:ascii="Arial" w:cs="Arial" w:eastAsia="Arial" w:hAnsi="Arial"/>
                <w:sz w:val="16"/>
                <w:szCs w:val="16"/>
                <w:color w:val="auto"/>
              </w:rPr>
              <w:t>brake 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TMD Friction</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Railway linings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TRW</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 Sales</w:t>
      </w:r>
    </w:p>
    <w:p>
      <w:pPr>
        <w:spacing w:after="0" w:line="116"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Our sales to aerospace customers were 35 percent of our total sales in each of 2009, 2008 and 2007, respectively. Our sales to commercial aerospace original equipment manufacturers were 7, 9 and 10 percent of our total sales in 2009, 2008 and 2007, respectively. In addition, our sales to commercial aftermarket customers of aerospace products and services were 10, 11 and 11 percent of our total sales in 2009, 2008 and 2007, respectively. Our Aerospace results of operations can be impacted by various industry and economic conditions. See “Item 1A. Risk Factors.”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auto"/>
        </w:rPr>
        <w:t>U.S. Government Sales</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Sales to the U.S. Government (principally by our Aerospace segment), acting through its various departments and agencies and through prime contractors, amounted to $ 4,288, $4,240 and $4,011 million in 2009, 2008 and 2007, respectively, which included sales to the U.S. Department of Defense, as a prime contractor and subcontractor, of $3,455, $ 3,412 and $3,192 million in 2009, 2008 and 2007, respectively. U.S. defense spending increased in 2009 and is also expected to increase in 2010. We do not expect to be significantly affected by any proposed changes in 2010 federal spending due principally to the varied mix of the government programs which impact us (OEM production, engineering development programs, aftermarket spares and repairs and overhaul programs). Our contracts with the U.S. Government are subject to audits, investigations, and termination by the government. See “Item 1A. Risk Factors.”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Backlog</w:t>
      </w:r>
    </w:p>
    <w:p>
      <w:pPr>
        <w:spacing w:after="0" w:line="130" w:lineRule="exact"/>
        <w:rPr>
          <w:sz w:val="20"/>
          <w:szCs w:val="20"/>
          <w:color w:val="auto"/>
        </w:rPr>
      </w:pPr>
    </w:p>
    <w:p>
      <w:pPr>
        <w:ind w:right="140" w:firstLine="357"/>
        <w:spacing w:after="0" w:line="245" w:lineRule="auto"/>
        <w:rPr>
          <w:sz w:val="20"/>
          <w:szCs w:val="20"/>
          <w:color w:val="auto"/>
        </w:rPr>
      </w:pPr>
      <w:r>
        <w:rPr>
          <w:rFonts w:ascii="Arial" w:cs="Arial" w:eastAsia="Arial" w:hAnsi="Arial"/>
          <w:sz w:val="19"/>
          <w:szCs w:val="19"/>
          <w:color w:val="auto"/>
        </w:rPr>
        <w:t>Our total backlog at December 31, 2009 and 2008 was $13,182 and $ 12,972 million, respectively. We anticipate that approximately $9,339 million of the 2009 backlog will be filled in 2010. We believe that backlog is not necessarily a reliable indicator of our future sales because a substantial portion of the orders constituting this backlog may be canceled at the customer’s option.</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30"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We are subject to active competition in substantially all product and service areas. Competition is expected to continue in all geographic regions. Competitive conditions vary widely among the thousands of products and services provided by us, and vary by country. Depending on the particular customer or market involved, our businesses compete on a variety of factors, such as price, quality, reliability, delivery, customer service, performance, applied technology, product innovation and product recognition. Brand identity, service to customers and quality are generally important competitive factors for our products and services, and there is considerable price competition. Other competitive factors for certain products include breadth of product line, research and development efforts and technical and managerial capability. While our competitive position varies among our products and services, we believe we are a significant competitor in each of our major product and service classes. However, a number of our products and services are sold in competition with those of a large number of other companies, some of which have substantial financial resources and significant technological capabilities. In addition, some of our products compete with the captive component divisions of original equipment manufacturers. See Item 1A “Risk Factors” for further discussion.</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Operations</w:t>
      </w:r>
    </w:p>
    <w:p>
      <w:pPr>
        <w:spacing w:after="0" w:line="130"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We are engaged in manufacturing, sales, service and research and development mainly in the United States, Europe, Canada, Asia and Latin America. U.S. exports and foreign manufactured products are significant to our operations. U.S. exports comprised 12, 10 and 10 percent of our total sales in 2009, 2008 and 2007, respectively. Foreign manufactured products and services, mainly in Europe, were 39 percent of our total sales in 2009, 2008 and 2007.</w:t>
      </w:r>
    </w:p>
    <w:p>
      <w:pPr>
        <w:spacing w:after="0" w:line="91" w:lineRule="exact"/>
        <w:rPr>
          <w:sz w:val="20"/>
          <w:szCs w:val="20"/>
          <w:color w:val="auto"/>
        </w:rPr>
      </w:pPr>
    </w:p>
    <w:p>
      <w:pPr>
        <w:ind w:right="280" w:firstLine="357"/>
        <w:spacing w:after="0" w:line="241" w:lineRule="auto"/>
        <w:rPr>
          <w:sz w:val="20"/>
          <w:szCs w:val="20"/>
          <w:color w:val="auto"/>
        </w:rPr>
      </w:pPr>
      <w:r>
        <w:rPr>
          <w:rFonts w:ascii="Arial" w:cs="Arial" w:eastAsia="Arial" w:hAnsi="Arial"/>
          <w:sz w:val="19"/>
          <w:szCs w:val="19"/>
          <w:color w:val="auto"/>
        </w:rPr>
        <w:t>Approximately 18 percent of total 2009 sales of Aerospace-related products and services were exports of U.S. manufactured products and systems and performance of services such as aircraft repair and overhaul. Exports were principally made to Europe, Canada, Asia and Latin America. Foreign manufactured products and systems and performance of services comprised approximately 15 percent of total 2009 Aerospace sales. The principal manufacturing facilities outside the U.S. are in Europe, with less significant operations in Canada, Mexico and Asia.</w:t>
      </w:r>
    </w:p>
    <w:p>
      <w:pPr>
        <w:spacing w:after="0" w:line="91"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Approximately 2 percent of total 2009 sales of Automation and Control Solutions products were exports of U.S. manufactured products. Foreign manufactured products and performance of services accounted for 57 percent of total 2009 Automation and Control Solutions sales. The principal manufacturing facilities outside the U.S. are in Europe with less significant operations in Asia and Canada.</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 w:name="page11"/>
    <w:bookmarkEnd w:id="10"/>
    <w:p>
      <w:pPr>
        <w:ind w:right="280" w:firstLine="357"/>
        <w:spacing w:after="0" w:line="242" w:lineRule="auto"/>
        <w:rPr>
          <w:sz w:val="20"/>
          <w:szCs w:val="20"/>
          <w:color w:val="auto"/>
        </w:rPr>
      </w:pPr>
      <w:r>
        <w:rPr>
          <w:rFonts w:ascii="Arial" w:cs="Arial" w:eastAsia="Arial" w:hAnsi="Arial"/>
          <w:sz w:val="19"/>
          <w:szCs w:val="19"/>
          <w:color w:val="auto"/>
        </w:rPr>
        <w:t>Approximately 31 percent of total 2009 sales of Specialty Materials products and services were exports of U.S. manufactured products. Exports were principally made to Asia and Latin America. Foreign manufactured products and performance of services comprised 25 percent of total 2009 Specialty Materials sales. The principal manufacturing facilities outside the U.S. are in Europe, with less significant operations in Asia and Canada.</w:t>
      </w:r>
    </w:p>
    <w:p>
      <w:pPr>
        <w:spacing w:after="0" w:line="199"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Exports of U.S. manufactured products comprised 1 percent of total 2009 sales of Transportation Systems products. Foreign manufactured products accounted for 68 percent of total 2009 sales of Transportation Systems. The principal manufacturing facilities outside the U.S. are in Europe, with less significant operations in Asia and Latin America.</w:t>
      </w:r>
    </w:p>
    <w:p>
      <w:pPr>
        <w:spacing w:after="0" w:line="87" w:lineRule="exact"/>
        <w:rPr>
          <w:sz w:val="20"/>
          <w:szCs w:val="20"/>
          <w:color w:val="auto"/>
        </w:rPr>
      </w:pPr>
    </w:p>
    <w:p>
      <w:pPr>
        <w:ind w:right="420" w:firstLine="357"/>
        <w:spacing w:after="0" w:line="245" w:lineRule="auto"/>
        <w:rPr>
          <w:sz w:val="20"/>
          <w:szCs w:val="20"/>
          <w:color w:val="auto"/>
        </w:rPr>
      </w:pPr>
      <w:r>
        <w:rPr>
          <w:rFonts w:ascii="Arial" w:cs="Arial" w:eastAsia="Arial" w:hAnsi="Arial"/>
          <w:sz w:val="19"/>
          <w:szCs w:val="19"/>
          <w:color w:val="auto"/>
        </w:rPr>
        <w:t>Financial information including net sales and long-lived assets related to geographic areas is included in Note 24 of Notes to Financial Statements in “Item 8. Financial Statements and Supplementary Data”. Information regarding the economic, political, regulatory and other risks associated with international operations is included in “Item 1A. 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Raw Materials</w:t>
      </w:r>
    </w:p>
    <w:p>
      <w:pPr>
        <w:spacing w:after="0" w:line="130"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The principal raw materials used in our operations are generally readily available. We experienced no significant problems in the purchase of key raw materials and commodities in 2009. We are not dependent on any one supplier for a material amount of our raw materials, except related to phenol, a raw material used in our Specialty Materials segment. We purchase phenol under a supply agreement with one supplier.</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costs of certain key raw materials, including natural gas, benzene (the key component in phenol), ethylene, fluorspar and sulfur in our Specialty Materials business, steel, nickel, other metals and ethylene glycol in our Transportation Systems business, and nickel, titanium and other metals in our Aerospace business, are expected to remain volatile. In addition, in 2009 certain large long-term fixed supplier price agreements expired, primarily relating to components used by our Aerospace business, which in the aggregate, subjected us to higher volatility in certain component costs. We will continue to attempt to offset raw material cost increases with formula or long-term supply agreements, price increases and hedging activities where feasible. We do not anticipate that a shortage of raw materials will cause any material adverse impacts during 2010. See “Item 1A. Risk Factors” for further discussion.</w:t>
      </w:r>
    </w:p>
    <w:p>
      <w:pPr>
        <w:spacing w:after="0" w:line="294"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We are highly dependent on our suppliers and subcontractors in order to meet commitments to our customers. In addition, many major components and product equipment items are procured or subcontracted on a single-source basis with a number of domestic and foreign companies. We maintain a qualification and performance surveillance process to control risk associated with such reliance on third parties. While we believe that sources of supply for raw materials and components are generally adequate, it is difficult to predict what effects shortages or price increases may have in the future. Furthermore, the inability of these suppliers to meet their quality and/or delivery commitments to us, due to bankruptcy, natural disasters or any other reason, may result in significant costs and delay, including those in connection with the required recertification of parts from new suppliers with our customers or regulatory agencies.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Patents, Trademarks, Licenses and Distribution Rights</w:t>
      </w:r>
    </w:p>
    <w:p>
      <w:pPr>
        <w:spacing w:after="0" w:line="130"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Our segments are not dependent upon any single patent or related group of patents, or any licenses or distribution rights. We own, or are licensed under, a large number of patents, patent applications and trademarks acquired over a period of many years, which relate to many of our products or improvements to those products and which are of importance to our business. From time to time, new patents and trademarks are obtained, and patent and trademark licenses and rights are acquired from others. We also have distribution rights of varying terms for a number of products and services produced by other companies. In our judgment, those rights are adequate for the conduct of our business. We believe that, in the aggregate, the rights under our patents, trademarks and licenses are generally important to our operations, but we do not consider any patent, trademark or related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spacing w:after="0" w:line="253" w:lineRule="auto"/>
        <w:rPr>
          <w:sz w:val="20"/>
          <w:szCs w:val="20"/>
          <w:color w:val="auto"/>
        </w:rPr>
      </w:pPr>
      <w:r>
        <w:rPr>
          <w:rFonts w:ascii="Arial" w:cs="Arial" w:eastAsia="Arial" w:hAnsi="Arial"/>
          <w:sz w:val="19"/>
          <w:szCs w:val="19"/>
          <w:color w:val="auto"/>
        </w:rPr>
        <w:t>group of patents, or any licensing or distribution rights related to a specific process or product, to be of material importance in relation to our total business. See “Item 1A. Risk Factors” for further discussion.</w:t>
      </w:r>
    </w:p>
    <w:p>
      <w:pPr>
        <w:spacing w:after="0" w:line="188"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We have registered trademarks for a number of our products and services, including Honeywell, Aclar, Ademco, Autolite, Bendix, Enovate, Fire-Lite, FRAM, Garrett, Hand Held, Holts, Jurid, Metrologic, MK, North, Notifier, Novar, Prestone, Redex, RMG, Simoniz, Spectra, System Sensor and UOP.</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30"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Our research activities are directed toward the discovery and development of new products, technologies and processes and the development of new uses for existing products. The Company has research and development activities in the U.S., Europe, India and China.</w:t>
      </w:r>
    </w:p>
    <w:p>
      <w:pPr>
        <w:spacing w:after="0" w:line="87"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Research and development (R&amp;D) expense totaled $1,330, $1,543 and $1,459 million in 2009, 2008 and 2007, respectively. The decrease in R&amp;D expense in 2009 compared to 2008 of 14 percent was consistent with our 15 percent decrease in net sales. However, as a percentage of sales, R&amp;D increased to 4.3 percent in 2009 compared to 4.2 percent in 2008. The increase as a percentage of sales was driven by lower sales, product, design and development costs in Automation and Control Solutions and Specialty Materials as well as expenditures on the development of turbocharging systems for new platforms, partially offset by lower R&amp;D expense in Aerospace primarily due to major program completions. The increase in R&amp;D expense in 2008 compared to 2007 of 6 percent was mainly due to additional product, design and development costs in Automation and Control Solutions, increased expenditures on the development of products for new aircraft platforms and increased expenditures on the development of turbocharging systems for new platforms. Customer-sponsored (principally the U.S. Government) R&amp;D activities amounted to an additional $852, $903 and $881 million in 2009, 2008 and 2007,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w:t>
      </w:r>
    </w:p>
    <w:p>
      <w:pPr>
        <w:spacing w:after="0" w:line="130"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We are subject to various federal, state, local and foreign government requirements regulating the discharge of materials into the environment or otherwise relating to the protection of the environment. It is our policy to comply with these requirements, and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91"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We are and have been engaged in the handling, manufacture, use and disposal of many substances classified as hazardous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possible, however,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91"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Superfund priority list. Although, under some court interpretations of these laws, there is a possibility that a responsible party might have to bear more than its proportional share of the cleanup costs if it is unable to obtain appropriate contribution from other responsible parties, we have not had to bear significantly more than our proportional share in multi-party situations taken as a whole.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2" w:name="page13"/>
    <w:bookmarkEnd w:id="12"/>
    <w:p>
      <w:pPr>
        <w:ind w:firstLine="357"/>
        <w:spacing w:after="0" w:line="245" w:lineRule="auto"/>
        <w:rPr>
          <w:sz w:val="20"/>
          <w:szCs w:val="20"/>
          <w:color w:val="auto"/>
        </w:rPr>
      </w:pPr>
      <w:r>
        <w:rPr>
          <w:rFonts w:ascii="Arial" w:cs="Arial" w:eastAsia="Arial" w:hAnsi="Arial"/>
          <w:sz w:val="19"/>
          <w:szCs w:val="19"/>
          <w:color w:val="auto"/>
        </w:rPr>
        <w:t>We do not believe that existing or pending climate change legislation, regulation, or international treaties or accords are reasonably likely to have a material effect in the foreseeable future on the Company’s business or markets that it serves, nor on its results of operations, capital expenditures or financial position. We will continue to monitor emerging developments in this area.</w:t>
      </w:r>
    </w:p>
    <w:p>
      <w:pPr>
        <w:spacing w:after="0" w:line="195" w:lineRule="exact"/>
        <w:rPr>
          <w:sz w:val="20"/>
          <w:szCs w:val="20"/>
          <w:color w:val="auto"/>
        </w:rPr>
      </w:pPr>
    </w:p>
    <w:p>
      <w:pPr>
        <w:ind w:right="480" w:firstLine="357"/>
        <w:spacing w:after="0" w:line="242" w:lineRule="auto"/>
        <w:rPr>
          <w:sz w:val="20"/>
          <w:szCs w:val="20"/>
          <w:color w:val="auto"/>
        </w:rPr>
      </w:pPr>
      <w:r>
        <w:rPr>
          <w:rFonts w:ascii="Arial" w:cs="Arial" w:eastAsia="Arial" w:hAnsi="Arial"/>
          <w:sz w:val="19"/>
          <w:szCs w:val="19"/>
          <w:color w:val="auto"/>
        </w:rPr>
        <w:t>Further information, including the current status of significant environmental matters and the financial impact incurred for remediation of such environmental matters, if any, is included in “Item 7. Management’s Discussion and Analysis of Financial Condition and Results of Operations,” in Note 21 of Notes to Financial Statements in “Item 8. Financial Statements and Supplementary Data,” and in “Item 1A. 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130"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We have approximately 122,000 employees at December 31, 2009, of which approximately 54,000 were located in the United States.</w:t>
      </w:r>
    </w:p>
    <w:p>
      <w:pPr>
        <w:spacing w:after="0" w:line="80"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0" w:right="499" w:bottom="1440" w:gutter="0" w:footer="0" w:header="0"/>
        </w:sectPr>
      </w:pPr>
    </w:p>
    <w:bookmarkStart w:id="13" w:name="page14"/>
    <w:bookmarkEnd w:id="13"/>
    <w:p>
      <w:pPr>
        <w:spacing w:after="0"/>
        <w:rPr>
          <w:sz w:val="20"/>
          <w:szCs w:val="20"/>
          <w:color w:val="auto"/>
        </w:rPr>
      </w:pPr>
      <w:r>
        <w:rPr>
          <w:rFonts w:ascii="Arial" w:cs="Arial" w:eastAsia="Arial" w:hAnsi="Arial"/>
          <w:sz w:val="23"/>
          <w:szCs w:val="23"/>
          <w:b w:val="1"/>
          <w:bCs w:val="1"/>
          <w:color w:val="auto"/>
        </w:rPr>
        <w:t>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 about Forward-Looking Statements</w:t>
      </w:r>
    </w:p>
    <w:p>
      <w:pPr>
        <w:spacing w:after="0" w:line="130" w:lineRule="exact"/>
        <w:rPr>
          <w:sz w:val="20"/>
          <w:szCs w:val="20"/>
          <w:color w:val="auto"/>
        </w:rPr>
      </w:pPr>
    </w:p>
    <w:p>
      <w:pPr>
        <w:ind w:right="200" w:firstLine="357"/>
        <w:spacing w:after="0" w:line="241" w:lineRule="auto"/>
        <w:rPr>
          <w:sz w:val="20"/>
          <w:szCs w:val="20"/>
          <w:color w:val="auto"/>
        </w:rPr>
      </w:pPr>
      <w:r>
        <w:rPr>
          <w:rFonts w:ascii="Arial" w:cs="Arial" w:eastAsia="Arial" w:hAnsi="Arial"/>
          <w:sz w:val="19"/>
          <w:szCs w:val="19"/>
          <w:color w:val="auto"/>
        </w:rPr>
        <w:t>We have described many of the trends and other factors that drive our business and future results in “Item 7. Management’s Discussion and Analysis of Financial Condition and Results of Operations”, including the overview of the Company and each of our segments and the discussion of their respective economic and other factors and areas of focus for 2010. These sections and other parts of this report (including this Item 1A) contain “forward-looking statements” within the meaning of Section 21E of the Securities Exchange Act of 1934.</w:t>
      </w:r>
    </w:p>
    <w:p>
      <w:pPr>
        <w:spacing w:after="0" w:line="91"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Factors</w:t>
      </w:r>
    </w:p>
    <w:p>
      <w:pPr>
        <w:spacing w:after="0" w:line="130"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Our business, operating results, cash flows and financial condition are subject to various risks and uncertainties, including, without limitation, those set forth below, any one of which could cause our actual results to vary materially from recent results or from our anticipated future results.</w:t>
      </w:r>
    </w:p>
    <w:p>
      <w:pPr>
        <w:spacing w:after="0" w:line="279" w:lineRule="exact"/>
        <w:rPr>
          <w:sz w:val="20"/>
          <w:szCs w:val="20"/>
          <w:color w:val="auto"/>
        </w:rPr>
      </w:pPr>
    </w:p>
    <w:p>
      <w:pPr>
        <w:ind w:right="380"/>
        <w:spacing w:after="0" w:line="280" w:lineRule="auto"/>
        <w:rPr>
          <w:sz w:val="20"/>
          <w:szCs w:val="20"/>
          <w:color w:val="auto"/>
        </w:rPr>
      </w:pPr>
      <w:r>
        <w:rPr>
          <w:rFonts w:ascii="Arial" w:cs="Arial" w:eastAsia="Arial" w:hAnsi="Arial"/>
          <w:sz w:val="19"/>
          <w:szCs w:val="19"/>
          <w:b w:val="1"/>
          <w:bCs w:val="1"/>
          <w:i w:val="1"/>
          <w:iCs w:val="1"/>
          <w:color w:val="auto"/>
        </w:rPr>
        <w:t>Industry and economic conditions may adversely affect the market and operating conditions of our customers, which in turn can affect demand for our products and services and our results of operations.</w:t>
      </w:r>
    </w:p>
    <w:p>
      <w:pPr>
        <w:spacing w:after="0" w:line="54" w:lineRule="exact"/>
        <w:rPr>
          <w:sz w:val="20"/>
          <w:szCs w:val="20"/>
          <w:color w:val="auto"/>
        </w:rPr>
      </w:pPr>
    </w:p>
    <w:p>
      <w:pPr>
        <w:ind w:firstLine="357"/>
        <w:spacing w:after="0" w:line="238" w:lineRule="auto"/>
        <w:rPr>
          <w:sz w:val="20"/>
          <w:szCs w:val="20"/>
          <w:color w:val="auto"/>
        </w:rPr>
      </w:pPr>
      <w:r>
        <w:rPr>
          <w:rFonts w:ascii="Arial" w:cs="Arial" w:eastAsia="Arial" w:hAnsi="Arial"/>
          <w:sz w:val="19"/>
          <w:szCs w:val="19"/>
          <w:color w:val="auto"/>
        </w:rPr>
        <w:t>The operating results of our segments are impacted by general global industry and economic conditions that can cause changes in spending and capital investment patterns, demand for our products and services and the level of our manufacturing and shipping costs. The operating results of our Aerospace segment, which generated 35 percent of our consolidated revenues in 2009, are directly tied to cyclical industry and economic conditions, including global demand for air travel as reflected in new aircraft production, the deferral or cancellation of orders for new aircraft, delays in launch schedules for new aircraft platforms, the retirement of aircraft, global flying hours, and business and general aviation aircraft utilization rates, as well as changes in customer buying patterns with respect to aftermarket parts, supplier consolidation, factory transitions, capacity constraints, and the level and mix of U.S. Government appropriations for defense and space programs (as further discussed in other risk factors below). The challenging operating environment faced by the commercial airline industry is expected to continue and may be influenced by a wide variety of factors including global flying hours, aircraft fuel prices, labor issues, airline consolidation, airline insolvencies, terrorism and safety concerns as well as changes in regulations. Future terrorist actions or pandemic health issues could dramatically reduce both the demand for air travel and our Aerospace aftermarket sales and margins. The operating results of our Automation and Control Solutions (ACS) segment, which generated 41 percent of our consolidated revenues in 2009, are impacted by the level of global residential and commercial construction (including retrofits and upgrades), capital spending and operating expenditures on building and process automation, industrial plant capacity utilization and expansion, inventory levels in distribution channels, and global economic growth rates. Specialty Materials’ operating results, which generated 13 percent of our consolidated revenues in 2009, are impacted by global economic growth rates, capacity utilization for chemical, industrial, refining, petrochemical and semiconductor plants, our customers’ availability of capital for refinery construction and expansion, and commodity demand volatility. Transportation Systems’ operating results, which generated 11 percent of our consolidated revenues in 2009, are impacted by global production and demand for automobiles and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trucks equipped with turbochargers, and regulatory changes regarding automobile and truck emissions and fuel economy, delays in launch schedules for new automotive platforms, and consumer demand and spending for automotive aftermarket and car care products. The challenging operating environment faced by global automotive and truck manufacturers is expected to continue and may be influenced by a wide variety of factors, including access to and terms of government assistance, ability to reduce high inventory levels, ability to reduce operating costs, and the ability of consumers to obtain financing for new vehicle purchases. Each of the segments is impacted by volatility in raw material prices (as further described below) and non-material inflation.</w:t>
      </w:r>
    </w:p>
    <w:p>
      <w:pPr>
        <w:spacing w:after="0" w:line="286"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i w:val="1"/>
          <w:iCs w:val="1"/>
          <w:color w:val="auto"/>
        </w:rPr>
        <w:t>Raw material price fluctuations and the ability of key suppliers to meet quality and delivery requirements can increase the cost of our products and services and impact our ability to meet commitments to customers.</w:t>
      </w:r>
    </w:p>
    <w:p>
      <w:pPr>
        <w:spacing w:after="0" w:line="54" w:lineRule="exact"/>
        <w:rPr>
          <w:sz w:val="20"/>
          <w:szCs w:val="20"/>
          <w:color w:val="auto"/>
        </w:rPr>
      </w:pPr>
    </w:p>
    <w:p>
      <w:pPr>
        <w:ind w:right="160" w:firstLine="357"/>
        <w:spacing w:after="0" w:line="241" w:lineRule="auto"/>
        <w:rPr>
          <w:sz w:val="20"/>
          <w:szCs w:val="20"/>
          <w:color w:val="auto"/>
        </w:rPr>
      </w:pPr>
      <w:r>
        <w:rPr>
          <w:rFonts w:ascii="Arial" w:cs="Arial" w:eastAsia="Arial" w:hAnsi="Arial"/>
          <w:sz w:val="19"/>
          <w:szCs w:val="19"/>
          <w:color w:val="auto"/>
        </w:rPr>
        <w:t>The cost of raw materials is a key element in the cost of our products, particularly in our Specialty Materials (benzene (the key component in phenol), natural gas, ethylene, fluorspar and sulfur), Transportation Systems (nickel, steel, other metals and ethylene glycol) and Aerospace (nickel, titanium and other metals) segments. Our inability to offset material price inflation through increased prices to customers, formula or long -term fixed price contracts with suppliers, productivity actions or through commodity hedges could adversely affect our results of operations.</w:t>
      </w:r>
    </w:p>
    <w:p>
      <w:pPr>
        <w:spacing w:after="0" w:line="91" w:lineRule="exact"/>
        <w:rPr>
          <w:sz w:val="20"/>
          <w:szCs w:val="20"/>
          <w:color w:val="auto"/>
        </w:rPr>
      </w:pPr>
    </w:p>
    <w:p>
      <w:pPr>
        <w:ind w:right="60" w:firstLine="357"/>
        <w:spacing w:after="0" w:line="238" w:lineRule="auto"/>
        <w:rPr>
          <w:sz w:val="20"/>
          <w:szCs w:val="20"/>
          <w:color w:val="auto"/>
        </w:rPr>
      </w:pPr>
      <w:r>
        <w:rPr>
          <w:rFonts w:ascii="Arial" w:cs="Arial" w:eastAsia="Arial" w:hAnsi="Arial"/>
          <w:sz w:val="19"/>
          <w:szCs w:val="19"/>
          <w:color w:val="auto"/>
        </w:rPr>
        <w:t>Our manufacturing operations are also highly dependent upon the delivery of materials (including raw materials) by outside suppliers and their assembly of major components and subsystems used in our products in a timely manner and in full compliance with purchase order terms and conditions, quality standards, and applicable laws and regulations. In addition, many major components and product equipment items are procured or subcontracted on a single-source basis; in limited circumstances these suppliers are the sole source of the component or equipment. Our ability to manage inventory and meet delivery requirements may be constrained by our suppliers’ ability to adjust delivery of long-lead time products during times of volatile demand. Our suppliers may fail to perform according to specifications as and when required and we may be unable to identify alternate suppliers or to otherwise mitigate the consequences of their non-performance. The supply chains for our businesses could also be disrupted by external events such as natural disasters, extreme weather events, pandemic health issues, terrorist actions, labor disputes, governmental actions and legislative or regulatory changes (e.g., product certification or stewardship requirements, sourcing restrictions, climate change or greenhouse gas emission standards, etc.). Our inability to fill our supply needs would jeopardize our ability to fulfill obligations under commercial and government contracts, which could, in turn, result in reduced sales and profits, contract penalties or terminations, and damage to customer relationships. Transitions to new suppliers may result in significant costs and delays, including those related to the required recertification of parts obtained from new suppliers with our customers and/or regulatory agencies. In addition, because our businesses cannot always immediately adapt their cost structure to changing market conditions, our manufacturing capacity for certain products may at times exceed or fall short of our production requirements, which could adversely impact our operating costs, profitability and customer and supplier relationships.</w:t>
      </w:r>
    </w:p>
    <w:p>
      <w:pPr>
        <w:spacing w:after="0" w:line="277"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i w:val="1"/>
          <w:iCs w:val="1"/>
          <w:color w:val="auto"/>
        </w:rPr>
        <w:t>Our future growth is largely dependent upon our ability to develop new technologies that achieve market acceptance with acceptable margins.</w:t>
      </w:r>
    </w:p>
    <w:p>
      <w:pPr>
        <w:spacing w:after="0" w:line="54" w:lineRule="exact"/>
        <w:rPr>
          <w:sz w:val="20"/>
          <w:szCs w:val="20"/>
          <w:color w:val="auto"/>
        </w:rPr>
      </w:pPr>
    </w:p>
    <w:p>
      <w:pPr>
        <w:ind w:right="200" w:firstLine="357"/>
        <w:spacing w:after="0"/>
        <w:rPr>
          <w:sz w:val="20"/>
          <w:szCs w:val="20"/>
          <w:color w:val="auto"/>
        </w:rPr>
      </w:pPr>
      <w:r>
        <w:rPr>
          <w:rFonts w:ascii="Arial" w:cs="Arial" w:eastAsia="Arial" w:hAnsi="Arial"/>
          <w:sz w:val="19"/>
          <w:szCs w:val="19"/>
          <w:color w:val="auto"/>
        </w:rPr>
        <w:t>Our businesses operate in global markets that are characterized by rapidly changing technologies and evolving industry standards. Accordingly, our future growth rate depends upon a number of factors, including our ability to (i) identify emerging technological trends in our target end-markets, (ii) develop and maintain competitive products, (iii) enhance our products by adding innovative features that differentiate our products from those of our competitors and prevent commoditization of our products, (iv) develop, manufacture and bring products to market quickly and cost-effectively, and (v) develop and retain individuals with the requisite expertise.</w:t>
      </w:r>
    </w:p>
    <w:p>
      <w:pPr>
        <w:spacing w:after="0" w:line="94"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Our ability to develop new products based on technological innovation can affect our competitive position and requires the investment of significant resources. These development efforts divert resources from other potential investments in our businesses, and they may not lead to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5" w:name="page16"/>
    <w:bookmarkEnd w:id="15"/>
    <w:p>
      <w:pPr>
        <w:spacing w:after="0" w:line="242" w:lineRule="auto"/>
        <w:rPr>
          <w:sz w:val="20"/>
          <w:szCs w:val="20"/>
          <w:color w:val="auto"/>
        </w:rPr>
      </w:pPr>
      <w:r>
        <w:rPr>
          <w:rFonts w:ascii="Arial" w:cs="Arial" w:eastAsia="Arial" w:hAnsi="Arial"/>
          <w:sz w:val="19"/>
          <w:szCs w:val="19"/>
          <w:color w:val="auto"/>
        </w:rPr>
        <w:t>development of new technologies or products on a timely basis or that meet the needs of our customers as fully as competitive offerings. In addition, the markets for our products may not develop or grow as we currently anticipate. The failure of our technologies or products to gain market acceptance due to more attractive offerings by our competitors could significantly reduce our revenues and adversely affect our competitive standing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Protecting our intellectual property is critical to our innovation efforts.</w:t>
      </w:r>
    </w:p>
    <w:p>
      <w:pPr>
        <w:spacing w:after="0" w:line="130"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We own or are licensed under a large number of U.S. and non-U.S. patents and patent applications, trademarks and copyrights. Our intellectual property rights may expire or be challenged, invalidated or infringed upon by third parties or we may be unable to maintain, renew or enter into new licenses of third party proprietary intellectual property on commercially reasonable terms. In some non-U.S. countries, laws affecting intellectual property are uncertain in their application, which can affect the scope or enforceability of our patents and other intellectual property rights. Any of these events or factors could diminish or cause us to lose the competitive advantages associated with our intellectual property, subject us to judgments, penalties and significant litigation costs, and/or temporarily or permanently disrupt our sales and marketing of the affected products or services.</w:t>
      </w:r>
    </w:p>
    <w:p>
      <w:pPr>
        <w:spacing w:after="0" w:line="283"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i w:val="1"/>
          <w:iCs w:val="1"/>
          <w:color w:val="auto"/>
        </w:rPr>
        <w:t>An increasing percentage of our sales and operations is in non-U.S. jurisdictions and is subject to the economic, political, regulatory and other risks of international operations.</w:t>
      </w:r>
    </w:p>
    <w:p>
      <w:pPr>
        <w:spacing w:after="0" w:line="41"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Our international operations, including U.S. exports, comprise a growing proportion of our operating results. Our strategy calls for increasing sales to and operations in overseas markets, including developing markets such as Mexico, China, India, the Middle East and Eastern Europe. In 2009, 51 percent of our total sales (including products manufactured in the U.S. and in international locations) were outside of the U.S. including 28 percent in Europe and 11 percent in Asia. Risks related to international operations include exchange control regulations, wage and price controls, employment regulations, foreign investment laws, import, export and other trade restrictions (such as embargoes and trade restrictions), changes in regulations regarding transactions with state-owned enterprises, nationalization of private enterprises, government instability, and our ability to hire and maintain qualified staff and maintain the safety of our employees in these regions. The cost of compliance with increasingly complex and often conflicting regulations worldwide can also impair our flexibility in modifying product, marketing, pricing or other strategies for growing our businesses, as well as our ability to improve productivity and maintain acceptable operating margins.</w:t>
      </w:r>
    </w:p>
    <w:p>
      <w:pPr>
        <w:spacing w:after="0" w:line="93"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As we continue to grow our businesses internationally, our operating results could be increasingly affected by the relative strength of the European and Asian economies and the impact of exchange rate fluctuations. We do have a policy to reduce the risk of volatility through hedging activities, but such activities bear a financial cost and may not always be available to us and may not be successful in eliminating such volatility.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required to recognize impairment charges for our long-lived assets or available for sale investments.</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At December 31, 2009, the net carrying value of long-lived assets (property, plant and equipment, goodwill and other intangible assets) and available for sale securities totaled approximately $17.5 billion and $0.1 billion, respectively. In accordance with generally accepted accounting principles, we periodically assess these assets to determine if they are impaired. Significant negative industry or economic trends, disruptions to our business, unexpected significant changes or planned changes in use of the assets, divestitures and market capitalization declines may result in impairments to goodwill and other long-lived assets. An other than temporary decline in the market value of our available for sale securities may also result in an impairment charge. Future impairment charges could significantly affect our results of operations in the periods recognized. Impairment charges would also reduce our consolidated shareowners’ equity and increase our debt-to-total-capitalization ratio, which could negatively impact our credit rating and access to the public debt and equity markets.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 w:name="page17"/>
    <w:bookmarkEnd w:id="16"/>
    <w:p>
      <w:pPr>
        <w:ind w:right="560"/>
        <w:spacing w:after="0" w:line="280" w:lineRule="auto"/>
        <w:rPr>
          <w:sz w:val="20"/>
          <w:szCs w:val="20"/>
          <w:color w:val="auto"/>
        </w:rPr>
      </w:pPr>
      <w:r>
        <w:rPr>
          <w:rFonts w:ascii="Arial" w:cs="Arial" w:eastAsia="Arial" w:hAnsi="Arial"/>
          <w:sz w:val="19"/>
          <w:szCs w:val="19"/>
          <w:b w:val="1"/>
          <w:bCs w:val="1"/>
          <w:i w:val="1"/>
          <w:iCs w:val="1"/>
          <w:color w:val="auto"/>
        </w:rPr>
        <w:t>A change in the level of U.S. Government defense and space funding or the mix of programs to which such funding is allocated could adversely impact sales of Aerospace’s defense and space-related product and services.</w:t>
      </w:r>
    </w:p>
    <w:p>
      <w:pPr>
        <w:spacing w:after="0" w:line="54"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Sales of our defense and space-related products and services are largely dependent upon government budgets, particularly the U.S. defense budget. Sales as a prime contractor and subcontractor to the U.S. Department of Defense comprised approximately 32 and 11 percent of Aerospace and total sales, respectively, for the year ended December 31, 2009. Although U.S. defense spending increased in 2009 and is expected to increase again in 2010, we cannot predict the extent to which total funding and/or funding for individual programs will be included, increased or reduced as part of the 2011 and subsequent budgets ultimately approved by Congress, or be included in the scope of separate supplemental appropriations. We also cannot predict the impact of potential changes in priorities due to military transformation and planning and/or the nature of war-related activity on existing, follow-on or replacement programs. A shift in defense or space spending to programs in which we do not participate and/or reductions in funding for or termination of existing programs could adversely impact our results of operations.</w:t>
      </w:r>
    </w:p>
    <w:p>
      <w:pPr>
        <w:spacing w:after="0" w:line="287"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b w:val="1"/>
          <w:bCs w:val="1"/>
          <w:i w:val="1"/>
          <w:iCs w:val="1"/>
          <w:color w:val="auto"/>
        </w:rPr>
        <w:t>As a supplier of military and other equipment to the U.S. Government, we are subject to unusual risks, such as the right of the U.S. Government to terminate contracts for convenience and to conduct audits and investigations of our operations and performance.</w:t>
      </w:r>
    </w:p>
    <w:p>
      <w:pPr>
        <w:spacing w:after="0" w:line="76"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In addition to normal business risks, companies like Honeywell that supply military and other equipment to the U.S. Government are subject to unusual risks, including dependence on Congressional appropriations and administrative allotment of funds, changes in governmental procurement legislation and regulations and other policies that reflect military and political developments, significant changes in contract scheduling, complexity of designs and the rapidity with which they become obsolete, necessity for constant design improvements, intense competition for U.S. Government business necessitating increases in time and investment for design and development, difficulty of forecasting costs and schedules when bidding on developmental and highly sophisticated technical work, and other factors characteristic of the industry, such as contract award protests and delays in the timing of contract approvals. Changes are customary over the life of U.S. Government contracts, particularly development contracts, and generally result in adjustments of contract prices.</w:t>
      </w:r>
    </w:p>
    <w:p>
      <w:pPr>
        <w:spacing w:after="0" w:line="95" w:lineRule="exact"/>
        <w:rPr>
          <w:sz w:val="20"/>
          <w:szCs w:val="20"/>
          <w:color w:val="auto"/>
        </w:rPr>
      </w:pPr>
    </w:p>
    <w:p>
      <w:pPr>
        <w:ind w:right="140" w:firstLine="357"/>
        <w:spacing w:after="0" w:line="242" w:lineRule="auto"/>
        <w:rPr>
          <w:sz w:val="20"/>
          <w:szCs w:val="20"/>
          <w:color w:val="auto"/>
        </w:rPr>
      </w:pPr>
      <w:r>
        <w:rPr>
          <w:rFonts w:ascii="Arial" w:cs="Arial" w:eastAsia="Arial" w:hAnsi="Arial"/>
          <w:sz w:val="19"/>
          <w:szCs w:val="19"/>
          <w:color w:val="auto"/>
        </w:rPr>
        <w:t>Our contracts with the U.S. Government are subject to audits. Like many other government contractors, we have received audit reports that recommend downward price adjustments to certain contracts or changes to certain accounting systems or controls to comply with various government regulations. We have made adjustments and paid voluntary refunds in appropriate cases and may do so in the future.</w:t>
      </w:r>
    </w:p>
    <w:p>
      <w:pPr>
        <w:spacing w:after="0" w:line="78"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U.S. Government contracts are subject to termination by the government, either for the convenience of the government or for our failure to perform under the applicable contract. In the case of a termination for convenience, we are typically entitled to reimbursement for our allowable costs incurred, plus termination costs and a reasonable profit. If a contract is terminated by the government for our failure to perform we could be liable for additional costs incurred by the government in acquiring undelivered goods or services from any other source and any other damages suffered by the government.</w:t>
      </w:r>
    </w:p>
    <w:p>
      <w:pPr>
        <w:spacing w:after="0" w:line="91" w:lineRule="exact"/>
        <w:rPr>
          <w:sz w:val="20"/>
          <w:szCs w:val="20"/>
          <w:color w:val="auto"/>
        </w:rPr>
      </w:pPr>
    </w:p>
    <w:p>
      <w:pPr>
        <w:ind w:right="160" w:firstLine="357"/>
        <w:spacing w:after="0"/>
        <w:rPr>
          <w:sz w:val="20"/>
          <w:szCs w:val="20"/>
          <w:color w:val="auto"/>
        </w:rPr>
      </w:pPr>
      <w:r>
        <w:rPr>
          <w:rFonts w:ascii="Arial" w:cs="Arial" w:eastAsia="Arial" w:hAnsi="Arial"/>
          <w:sz w:val="19"/>
          <w:szCs w:val="19"/>
          <w:color w:val="auto"/>
        </w:rPr>
        <w:t>We are also subject to government investigations of business practices and compliance with government procurement regulations. If Honeywell or one of its businesses were charged with wrongdoing as a result of any such investigation or other government investigations (including violations of certain environmental or export laws), it could be suspended from bidding on or receiving awards of new government contracts, suspended from contract performance pending the completion of legal proceedings and/or have its export privileges suspended. The U.S. Government also reserves the right to debar a contractor from receiving new government contracts for fraudulent, criminal or other egregious misconduct. Debarment generally does not exceed three years.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7" w:name="page18"/>
    <w:bookmarkEnd w:id="17"/>
    <w:p>
      <w:pPr>
        <w:ind w:right="500"/>
        <w:spacing w:after="0" w:line="280" w:lineRule="auto"/>
        <w:rPr>
          <w:sz w:val="20"/>
          <w:szCs w:val="20"/>
          <w:color w:val="auto"/>
        </w:rPr>
      </w:pPr>
      <w:r>
        <w:rPr>
          <w:rFonts w:ascii="Arial" w:cs="Arial" w:eastAsia="Arial" w:hAnsi="Arial"/>
          <w:sz w:val="19"/>
          <w:szCs w:val="19"/>
          <w:b w:val="1"/>
          <w:bCs w:val="1"/>
          <w:i w:val="1"/>
          <w:iCs w:val="1"/>
          <w:color w:val="auto"/>
        </w:rPr>
        <w:t>Our reputation and ability to do business may be impacted by the improper conduct of employees, agents or business partners.</w:t>
      </w:r>
    </w:p>
    <w:p>
      <w:pPr>
        <w:spacing w:after="0" w:line="54"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We cannot ensure that our extensive compliance controls, policies and procedures will in all instances protect us from reckless or criminal acts committed by our employees, agents or business partners that would violate the laws of the jurisdictions in which the Company operates, including laws governing payments to government officials, competition and data privacy. Any improper actions could subject us to civil or criminal investigations, monetary and non-monetary penalties and could adversely impact our ability to conduct business, results of operations and reputation.</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legislation or government regulations or policies can have a significant impact on our results of operations.</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The sales and margins of each of our segments are directly impacted by government regulations. Safety and performance regulations (including mandates of the Federal Aviation Administration and other similar international regulatory bodies requiring the installation of equipment on aircraft), product certification requirements and government procurement practices can impact Aerospace sales, research and development expenditures, operating costs and profitability. The demand for and cost of providing Automation and Control Solutions products, services and solutions can be impacted by fire, security, safety, health care, environmental and energy efficiency standards and regulations. Specialty Materials’ results of operations can be affected by environmental (e.g. government regulation of fluorocarbons), safety and energy efficiency standards and regulations, while emissions and energy efficiency standards and regulations can impact the demand for turbochargers in our Transportation Systems segment. Legislation or regulations regarding areas such as labor and employment, employee benefit plans, tax, health and safety matters, import, export and trade, intellectual property, product certification, product liability and environmental remediation may impact the results of each of our operating segments and our consolidated results.</w:t>
      </w:r>
    </w:p>
    <w:p>
      <w:pPr>
        <w:spacing w:after="0" w:line="270" w:lineRule="exact"/>
        <w:rPr>
          <w:sz w:val="20"/>
          <w:szCs w:val="20"/>
          <w:color w:val="auto"/>
        </w:rPr>
      </w:pPr>
    </w:p>
    <w:p>
      <w:pPr>
        <w:ind w:right="460"/>
        <w:spacing w:after="0" w:line="280" w:lineRule="auto"/>
        <w:rPr>
          <w:sz w:val="20"/>
          <w:szCs w:val="20"/>
          <w:color w:val="auto"/>
        </w:rPr>
      </w:pPr>
      <w:r>
        <w:rPr>
          <w:rFonts w:ascii="Arial" w:cs="Arial" w:eastAsia="Arial" w:hAnsi="Arial"/>
          <w:sz w:val="19"/>
          <w:szCs w:val="19"/>
          <w:b w:val="1"/>
          <w:bCs w:val="1"/>
          <w:i w:val="1"/>
          <w:iCs w:val="1"/>
          <w:color w:val="auto"/>
        </w:rPr>
        <w:t>Completed acquisitions may not perform as anticipated or be integrated as planned, and divestitures may not occur as planned.</w:t>
      </w:r>
    </w:p>
    <w:p>
      <w:pPr>
        <w:spacing w:after="0" w:line="54"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(ii) the discovery of unanticipated issues or liabilities, (iii) the failure to integrate acquired businesses into Honeywell on schedule and/or to achieve synergies in the planned amount or within the expected timeframe, (iv) the inability to dispose of non-core assets and businesses on satisfactory terms and conditions and within the expected timeframe, and (v) the degree of protection provided by indemnities from sellers of acquired companies and the obligations under indemnities provided to purchasers of our divested businesses.</w:t>
      </w:r>
    </w:p>
    <w:p>
      <w:pPr>
        <w:spacing w:after="0" w:line="283" w:lineRule="exact"/>
        <w:rPr>
          <w:sz w:val="20"/>
          <w:szCs w:val="20"/>
          <w:color w:val="auto"/>
        </w:rPr>
      </w:pPr>
    </w:p>
    <w:p>
      <w:pPr>
        <w:ind w:right="260"/>
        <w:spacing w:after="0" w:line="280" w:lineRule="auto"/>
        <w:rPr>
          <w:sz w:val="20"/>
          <w:szCs w:val="20"/>
          <w:color w:val="auto"/>
        </w:rPr>
      </w:pPr>
      <w:r>
        <w:rPr>
          <w:rFonts w:ascii="Arial" w:cs="Arial" w:eastAsia="Arial" w:hAnsi="Arial"/>
          <w:sz w:val="19"/>
          <w:szCs w:val="19"/>
          <w:b w:val="1"/>
          <w:bCs w:val="1"/>
          <w:i w:val="1"/>
          <w:iCs w:val="1"/>
          <w:color w:val="auto"/>
        </w:rPr>
        <w:t>We cannot predict with certainty the outcome of litigation matters, government proceedings and other contingencies and uncertainties.</w:t>
      </w:r>
    </w:p>
    <w:p>
      <w:pPr>
        <w:spacing w:after="0" w:line="54"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import and export matters and environmental, health and safety matters. Resolution of these matters can be prolonged and costly, and the ultimate results or judgments are uncertain due to the inherent uncertainty in litigation and other proceedings. Moreover, our potential liabilities are subject to change over time due to new developments, changes in settlement strategy or the impact of evidentiary requirements, and we may be required to pay damage awards or settlements, or become subject to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It also is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ind w:right="40"/>
        <w:spacing w:after="0" w:line="245" w:lineRule="auto"/>
        <w:rPr>
          <w:sz w:val="20"/>
          <w:szCs w:val="20"/>
          <w:color w:val="auto"/>
        </w:rPr>
      </w:pPr>
      <w:r>
        <w:rPr>
          <w:rFonts w:ascii="Arial" w:cs="Arial" w:eastAsia="Arial" w:hAnsi="Arial"/>
          <w:sz w:val="19"/>
          <w:szCs w:val="19"/>
          <w:color w:val="auto"/>
        </w:rPr>
        <w:t>not possible to obtain insurance to protect against all our operational risks and liabilities. The incurrence of significant liabilities for which there is no or insufficient insurance coverage could adversely affect our results of operations, cash flows, liquidity and financial condition.</w:t>
      </w:r>
    </w:p>
    <w:p>
      <w:pPr>
        <w:spacing w:after="0" w:line="279" w:lineRule="exact"/>
        <w:rPr>
          <w:sz w:val="20"/>
          <w:szCs w:val="20"/>
          <w:color w:val="auto"/>
        </w:rPr>
      </w:pPr>
    </w:p>
    <w:p>
      <w:pPr>
        <w:ind w:right="820"/>
        <w:spacing w:after="0" w:line="280" w:lineRule="auto"/>
        <w:rPr>
          <w:sz w:val="20"/>
          <w:szCs w:val="20"/>
          <w:color w:val="auto"/>
        </w:rPr>
      </w:pPr>
      <w:r>
        <w:rPr>
          <w:rFonts w:ascii="Arial" w:cs="Arial" w:eastAsia="Arial" w:hAnsi="Arial"/>
          <w:sz w:val="19"/>
          <w:szCs w:val="19"/>
          <w:b w:val="1"/>
          <w:bCs w:val="1"/>
          <w:i w:val="1"/>
          <w:iCs w:val="1"/>
          <w:color w:val="auto"/>
        </w:rPr>
        <w:t>Our operations and the prior operations of predecessor companies expose us to the risk of material environmental liabilities.</w:t>
      </w:r>
    </w:p>
    <w:p>
      <w:pPr>
        <w:spacing w:after="0" w:line="54" w:lineRule="exact"/>
        <w:rPr>
          <w:sz w:val="20"/>
          <w:szCs w:val="20"/>
          <w:color w:val="auto"/>
        </w:rPr>
      </w:pPr>
    </w:p>
    <w:p>
      <w:pPr>
        <w:ind w:right="60" w:firstLine="357"/>
        <w:spacing w:after="0" w:line="238" w:lineRule="auto"/>
        <w:rPr>
          <w:sz w:val="20"/>
          <w:szCs w:val="20"/>
          <w:color w:val="auto"/>
        </w:rPr>
      </w:pPr>
      <w:r>
        <w:rPr>
          <w:rFonts w:ascii="Arial" w:cs="Arial" w:eastAsia="Arial" w:hAnsi="Arial"/>
          <w:sz w:val="19"/>
          <w:szCs w:val="19"/>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We are subject to various federal, state, local and foreign government requirements regulating the discharge of materials into the environment or otherwise relating to the protection of the environment. These laws and regulations can impose substantial fines and criminal sanctions for violations, and require installation of costly equipment or operational changes to limit emissions and/or decrease the likelihood of accidental hazardous substance releases. We incur, and expect to continue to incur capital and operating costs to comply with these laws and regulations. In addition, changes in laws, regulations and enforcement of policies, the discovery of previously unknown contamination or new technology or information related to individual sites, or the imposition of new clean-up requirements or remedial techniques could require us to incur costs in the future that would have a negative effect on our financial condition or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expenses include significant costs related to employee and retiree health benefits.</w:t>
      </w:r>
    </w:p>
    <w:p>
      <w:pPr>
        <w:spacing w:after="0" w:line="11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With approximately 122,000 employees, including approximately 54,000 in the U.S., our expenses relating to employee health and retiree health benefits are significant. In recent years, we have experienced significant increases in certain of these costs, largely as a result of economic factors beyond our control, in particular, ongoing increases in health care costs well in excess of the rate of inflation. Continued increasing health-care costs, legislative or regulatory changes, and volatility in discount rates, as well as changes in other assumptions used to calculate retiree health benefit expenses, may adversely affect our financial position and results of operations.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related to our defined benefit pension plans may adversely impact our results of operations and cash flow.</w:t>
      </w:r>
    </w:p>
    <w:p>
      <w:pPr>
        <w:spacing w:after="0" w:line="130"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Significant changes in actual investment return on pension assets, discount rates, and other factors could adversely affect our results of operations and pension contributions in future periods. U.S. generally accepted accounting principles require that we calculate income or expense for the plans using actuarial valuations. These valuations reflect assumptions about financial markets and interest rates, which may change based on economic conditions. Funding requirements for our U.S. pension plans may become more significant. However, the ultimate amounts to be contributed are dependent upon, among other things, interest rates, underlying asset returns and the impact of legislative or regulatory changes related to pension funding obligations. For a discussion regarding the significant assumptions used to estimate pension expense, including discount rate and the expected long-term rate of return on plan assets, and how our financial statements can be affected by pension plan accounting policies, see “Critical Accounting Policies” included in “Item 7. Management’s Discussion and Analysis of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Additional tax expense or additional tax exposures could affect our future profitability.</w:t>
      </w:r>
    </w:p>
    <w:p>
      <w:pPr>
        <w:spacing w:after="0" w:line="130"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We are subject to income taxes in both the United States and various non-U.S. jurisdictions, and our domestic and international tax liabilities are dependent upon the distribution of income among these different jurisdictions. In 2009, our tax expense represented 26.5 percent of our income before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 w:name="page20"/>
    <w:bookmarkEnd w:id="19"/>
    <w:p>
      <w:pPr>
        <w:ind w:right="20"/>
        <w:spacing w:after="0"/>
        <w:rPr>
          <w:sz w:val="20"/>
          <w:szCs w:val="20"/>
          <w:color w:val="auto"/>
        </w:rPr>
      </w:pPr>
      <w:r>
        <w:rPr>
          <w:rFonts w:ascii="Arial" w:cs="Arial" w:eastAsia="Arial" w:hAnsi="Arial"/>
          <w:sz w:val="19"/>
          <w:szCs w:val="19"/>
          <w:color w:val="auto"/>
        </w:rPr>
        <w:t>tax, and includes estimates of additional tax which may be incurred for tax exposures and reflects various estimates and assumptions, including assessments of future earnings of the Company that could effect the valuation of our deferred tax assets. Our future results could be adversely affected by changes in the effective tax rate as a result of a change in the mix of earnings in countries with differing statutory tax rates, changes in the overall profitability of the Company, changes in tax legislation, changes in the valuation of deferred tax assets and liabilities, the results of audits and examinations of previously filed tax returns and continuing assessments of our tax exposures.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Volatility of credit markets or macro-economic factors could adversely affect our business.</w:t>
      </w:r>
    </w:p>
    <w:p>
      <w:pPr>
        <w:spacing w:after="0" w:line="130"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Changes in U.S. and global financial and equity markets, including market disruptions, limited liquidity, and interest rate volatility, may increase the cost of financing as well as the risks of refinancing maturing debt. In addition, our borrowing costs can be affected by short and long-term ratings assigned by independent rating agencies. A decrease in these ratings could increase our cost of borrowing.</w:t>
      </w:r>
    </w:p>
    <w:p>
      <w:pPr>
        <w:spacing w:after="0" w:line="91" w:lineRule="exact"/>
        <w:rPr>
          <w:sz w:val="20"/>
          <w:szCs w:val="20"/>
          <w:color w:val="auto"/>
        </w:rPr>
      </w:pPr>
    </w:p>
    <w:p>
      <w:pPr>
        <w:jc w:val="both"/>
        <w:ind w:right="120" w:firstLine="357"/>
        <w:spacing w:after="0" w:line="242" w:lineRule="auto"/>
        <w:rPr>
          <w:sz w:val="20"/>
          <w:szCs w:val="20"/>
          <w:color w:val="auto"/>
        </w:rPr>
      </w:pPr>
      <w:r>
        <w:rPr>
          <w:rFonts w:ascii="Arial" w:cs="Arial" w:eastAsia="Arial" w:hAnsi="Arial"/>
          <w:sz w:val="19"/>
          <w:szCs w:val="19"/>
          <w:color w:val="auto"/>
        </w:rPr>
        <w:t>Delays in our customers’ ability to obtain financing, or the unavailability of financing to our customers, could adversely affect our results of operations and cash flow. The inability of our suppliers to obtain financing could result in the need to transition to alternate suppliers, which could result in significant incremental cost and delay, as discussed above. Lastly, disruptions in the U.S. and global financial markets could impact the financial institutions with which we do business.</w:t>
      </w:r>
    </w:p>
    <w:p>
      <w:pPr>
        <w:spacing w:after="0" w:line="2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Properties</w:t>
      </w:r>
    </w:p>
    <w:p>
      <w:pPr>
        <w:spacing w:after="0" w:line="147" w:lineRule="exact"/>
        <w:rPr>
          <w:sz w:val="20"/>
          <w:szCs w:val="20"/>
          <w:color w:val="auto"/>
        </w:rPr>
      </w:pPr>
    </w:p>
    <w:p>
      <w:pPr>
        <w:ind w:right="140" w:firstLine="357"/>
        <w:spacing w:after="0" w:line="239" w:lineRule="auto"/>
        <w:rPr>
          <w:sz w:val="20"/>
          <w:szCs w:val="20"/>
          <w:color w:val="auto"/>
        </w:rPr>
      </w:pPr>
      <w:r>
        <w:rPr>
          <w:rFonts w:ascii="Arial" w:cs="Arial" w:eastAsia="Arial" w:hAnsi="Arial"/>
          <w:sz w:val="19"/>
          <w:szCs w:val="19"/>
          <w:color w:val="auto"/>
        </w:rPr>
        <w:t>We have approximately 1,300 locations consisting of plants, research laboratories, sales offices and other facilities. Our headquarters and administrative complex is located at Morris Township, New Jersey. Our plants are generally located to serve large marketing areas and to provide accessibility to raw materials and labor pools. Our properties are generally maintained in good operating condition. Utilization of these plants may vary with sales to customers and other business conditions; however, no major operating facility is significantly idle. We own or lease warehouses, railroad cars, barges, automobiles, trucks, airplanes and materials handling and data processing equipment. We also lease space for administrative and sales staffs. Our properties and equipment are in good operating condition and are adequate for our present needs. We do not anticipate difficulty in renewing existing leases as they expire or in finding alternative facilities.</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principal plants, which are owned in fee unless otherwise indicated,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80" w:type="dxa"/>
            <w:vAlign w:val="bottom"/>
            <w:gridSpan w:val="3"/>
          </w:tcPr>
          <w:p>
            <w:pPr>
              <w:jc w:val="center"/>
              <w:ind w:right="1800"/>
              <w:spacing w:after="0"/>
              <w:rPr>
                <w:sz w:val="20"/>
                <w:szCs w:val="20"/>
                <w:color w:val="auto"/>
              </w:rPr>
            </w:pPr>
            <w:r>
              <w:rPr>
                <w:rFonts w:ascii="Arial" w:cs="Arial" w:eastAsia="Arial" w:hAnsi="Arial"/>
                <w:sz w:val="19"/>
                <w:szCs w:val="19"/>
                <w:b w:val="1"/>
                <w:bCs w:val="1"/>
                <w:color w:val="auto"/>
              </w:rPr>
              <w:t>Aerospace</w:t>
            </w:r>
          </w:p>
        </w:tc>
        <w:tc>
          <w:tcPr>
            <w:tcW w:w="3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77"/>
        </w:trPr>
        <w:tc>
          <w:tcPr>
            <w:tcW w:w="4460" w:type="dxa"/>
            <w:vAlign w:val="bottom"/>
          </w:tcPr>
          <w:p>
            <w:pPr>
              <w:ind w:left="20"/>
              <w:spacing w:after="0"/>
              <w:rPr>
                <w:sz w:val="20"/>
                <w:szCs w:val="20"/>
                <w:color w:val="auto"/>
              </w:rPr>
            </w:pPr>
            <w:r>
              <w:rPr>
                <w:rFonts w:ascii="Arial" w:cs="Arial" w:eastAsia="Arial" w:hAnsi="Arial"/>
                <w:sz w:val="19"/>
                <w:szCs w:val="19"/>
                <w:color w:val="auto"/>
              </w:rPr>
              <w:t>Anniston, AL (leased)</w:t>
            </w:r>
          </w:p>
        </w:tc>
        <w:tc>
          <w:tcPr>
            <w:tcW w:w="3860" w:type="dxa"/>
            <w:vAlign w:val="bottom"/>
            <w:gridSpan w:val="4"/>
          </w:tcPr>
          <w:p>
            <w:pPr>
              <w:jc w:val="center"/>
              <w:ind w:right="720"/>
              <w:spacing w:after="0"/>
              <w:rPr>
                <w:sz w:val="20"/>
                <w:szCs w:val="20"/>
                <w:color w:val="auto"/>
              </w:rPr>
            </w:pPr>
            <w:r>
              <w:rPr>
                <w:rFonts w:ascii="Arial" w:cs="Arial" w:eastAsia="Arial" w:hAnsi="Arial"/>
                <w:sz w:val="19"/>
                <w:szCs w:val="19"/>
                <w:color w:val="auto"/>
              </w:rPr>
              <w:t>South Bend, IN</w:t>
            </w:r>
          </w:p>
        </w:tc>
        <w:tc>
          <w:tcPr>
            <w:tcW w:w="3100" w:type="dxa"/>
            <w:vAlign w:val="bottom"/>
          </w:tcPr>
          <w:p>
            <w:pPr>
              <w:ind w:left="720"/>
              <w:spacing w:after="0"/>
              <w:rPr>
                <w:sz w:val="20"/>
                <w:szCs w:val="20"/>
                <w:color w:val="auto"/>
              </w:rPr>
            </w:pPr>
            <w:r>
              <w:rPr>
                <w:rFonts w:ascii="Arial" w:cs="Arial" w:eastAsia="Arial" w:hAnsi="Arial"/>
                <w:sz w:val="19"/>
                <w:szCs w:val="19"/>
                <w:color w:val="auto"/>
              </w:rPr>
              <w:t>Greer, SC</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Glendale, AZ (leased)</w:t>
            </w:r>
          </w:p>
        </w:tc>
        <w:tc>
          <w:tcPr>
            <w:tcW w:w="1080" w:type="dxa"/>
            <w:vAlign w:val="bottom"/>
          </w:tcPr>
          <w:p>
            <w:pPr>
              <w:spacing w:after="0"/>
              <w:rPr>
                <w:sz w:val="18"/>
                <w:szCs w:val="18"/>
                <w:color w:val="auto"/>
              </w:rPr>
            </w:pPr>
          </w:p>
        </w:tc>
        <w:tc>
          <w:tcPr>
            <w:tcW w:w="2780" w:type="dxa"/>
            <w:vAlign w:val="bottom"/>
            <w:gridSpan w:val="3"/>
          </w:tcPr>
          <w:p>
            <w:pPr>
              <w:jc w:val="center"/>
              <w:ind w:right="1800"/>
              <w:spacing w:after="0" w:line="216" w:lineRule="exact"/>
              <w:rPr>
                <w:sz w:val="20"/>
                <w:szCs w:val="20"/>
                <w:color w:val="auto"/>
              </w:rPr>
            </w:pPr>
            <w:r>
              <w:rPr>
                <w:rFonts w:ascii="Arial" w:cs="Arial" w:eastAsia="Arial" w:hAnsi="Arial"/>
                <w:sz w:val="19"/>
                <w:szCs w:val="19"/>
                <w:color w:val="auto"/>
              </w:rPr>
              <w:t>Olathe, KS</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Toronto, Canada</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Phoenix, AZ</w:t>
            </w:r>
          </w:p>
        </w:tc>
        <w:tc>
          <w:tcPr>
            <w:tcW w:w="3860" w:type="dxa"/>
            <w:vAlign w:val="bottom"/>
            <w:gridSpan w:val="4"/>
          </w:tcPr>
          <w:p>
            <w:pPr>
              <w:jc w:val="center"/>
              <w:ind w:right="700"/>
              <w:spacing w:after="0" w:line="216" w:lineRule="exact"/>
              <w:rPr>
                <w:sz w:val="20"/>
                <w:szCs w:val="20"/>
                <w:color w:val="auto"/>
              </w:rPr>
            </w:pPr>
            <w:r>
              <w:rPr>
                <w:rFonts w:ascii="Arial" w:cs="Arial" w:eastAsia="Arial" w:hAnsi="Arial"/>
                <w:sz w:val="19"/>
                <w:szCs w:val="19"/>
                <w:color w:val="auto"/>
              </w:rPr>
              <w:t>Minneapolis, MN (partially leased)</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Raunheim, Germany</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Tempe, AZ</w:t>
            </w:r>
          </w:p>
        </w:tc>
        <w:tc>
          <w:tcPr>
            <w:tcW w:w="3860" w:type="dxa"/>
            <w:vAlign w:val="bottom"/>
            <w:gridSpan w:val="4"/>
          </w:tcPr>
          <w:p>
            <w:pPr>
              <w:jc w:val="center"/>
              <w:ind w:right="720"/>
              <w:spacing w:after="0" w:line="216" w:lineRule="exact"/>
              <w:rPr>
                <w:sz w:val="20"/>
                <w:szCs w:val="20"/>
                <w:color w:val="auto"/>
              </w:rPr>
            </w:pPr>
            <w:r>
              <w:rPr>
                <w:rFonts w:ascii="Arial" w:cs="Arial" w:eastAsia="Arial" w:hAnsi="Arial"/>
                <w:sz w:val="19"/>
                <w:szCs w:val="19"/>
                <w:color w:val="auto"/>
              </w:rPr>
              <w:t>Plymouth, MN</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Penang, Malaysia</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Tucson, AZ</w:t>
            </w:r>
          </w:p>
        </w:tc>
        <w:tc>
          <w:tcPr>
            <w:tcW w:w="3860" w:type="dxa"/>
            <w:vAlign w:val="bottom"/>
            <w:gridSpan w:val="4"/>
          </w:tcPr>
          <w:p>
            <w:pPr>
              <w:jc w:val="center"/>
              <w:ind w:right="700"/>
              <w:spacing w:after="0" w:line="216" w:lineRule="exact"/>
              <w:rPr>
                <w:sz w:val="20"/>
                <w:szCs w:val="20"/>
                <w:color w:val="auto"/>
              </w:rPr>
            </w:pPr>
            <w:r>
              <w:rPr>
                <w:rFonts w:ascii="Arial" w:cs="Arial" w:eastAsia="Arial" w:hAnsi="Arial"/>
                <w:sz w:val="19"/>
                <w:szCs w:val="19"/>
                <w:color w:val="auto"/>
              </w:rPr>
              <w:t>Rocky Mount, NC</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Singapore (leased)</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Torrance, CA</w:t>
            </w:r>
          </w:p>
        </w:tc>
        <w:tc>
          <w:tcPr>
            <w:tcW w:w="3860" w:type="dxa"/>
            <w:vAlign w:val="bottom"/>
            <w:gridSpan w:val="4"/>
          </w:tcPr>
          <w:p>
            <w:pPr>
              <w:jc w:val="center"/>
              <w:ind w:right="720"/>
              <w:spacing w:after="0" w:line="216" w:lineRule="exact"/>
              <w:rPr>
                <w:sz w:val="20"/>
                <w:szCs w:val="20"/>
                <w:color w:val="auto"/>
              </w:rPr>
            </w:pPr>
            <w:r>
              <w:rPr>
                <w:rFonts w:ascii="Arial" w:cs="Arial" w:eastAsia="Arial" w:hAnsi="Arial"/>
                <w:sz w:val="19"/>
                <w:szCs w:val="19"/>
                <w:color w:val="auto"/>
              </w:rPr>
              <w:t>Albuquerque, NM</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Yeovil, UK (leased)</w:t>
            </w:r>
          </w:p>
        </w:tc>
      </w:tr>
      <w:tr>
        <w:trPr>
          <w:trHeight w:val="219"/>
        </w:trPr>
        <w:tc>
          <w:tcPr>
            <w:tcW w:w="4460" w:type="dxa"/>
            <w:vAlign w:val="bottom"/>
          </w:tcPr>
          <w:p>
            <w:pPr>
              <w:ind w:left="20"/>
              <w:spacing w:after="0"/>
              <w:rPr>
                <w:sz w:val="20"/>
                <w:szCs w:val="20"/>
                <w:color w:val="auto"/>
              </w:rPr>
            </w:pPr>
            <w:r>
              <w:rPr>
                <w:rFonts w:ascii="Arial" w:cs="Arial" w:eastAsia="Arial" w:hAnsi="Arial"/>
                <w:sz w:val="19"/>
                <w:szCs w:val="19"/>
                <w:color w:val="auto"/>
              </w:rPr>
              <w:t>Clearwater, FL</w:t>
            </w:r>
          </w:p>
        </w:tc>
        <w:tc>
          <w:tcPr>
            <w:tcW w:w="3860" w:type="dxa"/>
            <w:vAlign w:val="bottom"/>
            <w:gridSpan w:val="4"/>
          </w:tcPr>
          <w:p>
            <w:pPr>
              <w:jc w:val="center"/>
              <w:ind w:right="720"/>
              <w:spacing w:after="0"/>
              <w:rPr>
                <w:sz w:val="20"/>
                <w:szCs w:val="20"/>
                <w:color w:val="auto"/>
              </w:rPr>
            </w:pPr>
            <w:r>
              <w:rPr>
                <w:rFonts w:ascii="Arial" w:cs="Arial" w:eastAsia="Arial" w:hAnsi="Arial"/>
                <w:sz w:val="19"/>
                <w:szCs w:val="19"/>
                <w:color w:val="auto"/>
              </w:rPr>
              <w:t>Urbana, OH</w:t>
            </w:r>
          </w:p>
        </w:tc>
        <w:tc>
          <w:tcPr>
            <w:tcW w:w="3100" w:type="dxa"/>
            <w:vAlign w:val="bottom"/>
          </w:tcPr>
          <w:p>
            <w:pPr>
              <w:spacing w:after="0"/>
              <w:rPr>
                <w:sz w:val="19"/>
                <w:szCs w:val="19"/>
                <w:color w:val="auto"/>
              </w:rPr>
            </w:pPr>
          </w:p>
        </w:tc>
      </w:tr>
      <w:tr>
        <w:trPr>
          <w:trHeight w:val="213"/>
        </w:trPr>
        <w:tc>
          <w:tcPr>
            <w:tcW w:w="4460" w:type="dxa"/>
            <w:vAlign w:val="bottom"/>
          </w:tcPr>
          <w:p>
            <w:pPr>
              <w:spacing w:after="0"/>
              <w:rPr>
                <w:sz w:val="18"/>
                <w:szCs w:val="18"/>
                <w:color w:val="auto"/>
              </w:rPr>
            </w:pPr>
          </w:p>
        </w:tc>
        <w:tc>
          <w:tcPr>
            <w:tcW w:w="3860" w:type="dxa"/>
            <w:vAlign w:val="bottom"/>
            <w:gridSpan w:val="4"/>
          </w:tcPr>
          <w:p>
            <w:pPr>
              <w:jc w:val="center"/>
              <w:ind w:right="720"/>
              <w:spacing w:after="0" w:line="213" w:lineRule="exact"/>
              <w:rPr>
                <w:sz w:val="20"/>
                <w:szCs w:val="20"/>
                <w:color w:val="auto"/>
              </w:rPr>
            </w:pPr>
            <w:r>
              <w:rPr>
                <w:rFonts w:ascii="Arial" w:cs="Arial" w:eastAsia="Arial" w:hAnsi="Arial"/>
                <w:sz w:val="19"/>
                <w:szCs w:val="19"/>
                <w:b w:val="1"/>
                <w:bCs w:val="1"/>
                <w:color w:val="auto"/>
              </w:rPr>
              <w:t>Automation and Control Solutions</w:t>
            </w:r>
          </w:p>
        </w:tc>
        <w:tc>
          <w:tcPr>
            <w:tcW w:w="3100" w:type="dxa"/>
            <w:vAlign w:val="bottom"/>
          </w:tcPr>
          <w:p>
            <w:pPr>
              <w:spacing w:after="0"/>
              <w:rPr>
                <w:sz w:val="18"/>
                <w:szCs w:val="18"/>
                <w:color w:val="auto"/>
              </w:rPr>
            </w:pPr>
          </w:p>
        </w:tc>
      </w:tr>
      <w:tr>
        <w:trPr>
          <w:trHeight w:val="277"/>
        </w:trPr>
        <w:tc>
          <w:tcPr>
            <w:tcW w:w="4460" w:type="dxa"/>
            <w:vAlign w:val="bottom"/>
          </w:tcPr>
          <w:p>
            <w:pPr>
              <w:ind w:left="20"/>
              <w:spacing w:after="0"/>
              <w:rPr>
                <w:sz w:val="20"/>
                <w:szCs w:val="20"/>
                <w:color w:val="auto"/>
              </w:rPr>
            </w:pPr>
            <w:r>
              <w:rPr>
                <w:rFonts w:ascii="Arial" w:cs="Arial" w:eastAsia="Arial" w:hAnsi="Arial"/>
                <w:sz w:val="19"/>
                <w:szCs w:val="19"/>
                <w:color w:val="auto"/>
              </w:rPr>
              <w:t>Phoenix, AZ (leased)</w:t>
            </w:r>
          </w:p>
        </w:tc>
        <w:tc>
          <w:tcPr>
            <w:tcW w:w="314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rPr>
              <w:t>Skaneateles Falls, NY</w:t>
            </w:r>
          </w:p>
        </w:tc>
        <w:tc>
          <w:tcPr>
            <w:tcW w:w="720" w:type="dxa"/>
            <w:vAlign w:val="bottom"/>
          </w:tcPr>
          <w:p>
            <w:pPr>
              <w:spacing w:after="0"/>
              <w:rPr>
                <w:sz w:val="24"/>
                <w:szCs w:val="24"/>
                <w:color w:val="auto"/>
              </w:rPr>
            </w:pPr>
          </w:p>
        </w:tc>
        <w:tc>
          <w:tcPr>
            <w:tcW w:w="3100" w:type="dxa"/>
            <w:vAlign w:val="bottom"/>
          </w:tcPr>
          <w:p>
            <w:pPr>
              <w:ind w:left="720"/>
              <w:spacing w:after="0"/>
              <w:rPr>
                <w:sz w:val="20"/>
                <w:szCs w:val="20"/>
                <w:color w:val="auto"/>
              </w:rPr>
            </w:pPr>
            <w:r>
              <w:rPr>
                <w:rFonts w:ascii="Arial" w:cs="Arial" w:eastAsia="Arial" w:hAnsi="Arial"/>
                <w:sz w:val="19"/>
                <w:szCs w:val="19"/>
                <w:color w:val="auto"/>
              </w:rPr>
              <w:t>Juarez, Mexico (partially</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San Diego, CA (leased)</w:t>
            </w:r>
          </w:p>
        </w:tc>
        <w:tc>
          <w:tcPr>
            <w:tcW w:w="3860" w:type="dxa"/>
            <w:vAlign w:val="bottom"/>
            <w:gridSpan w:val="4"/>
          </w:tcPr>
          <w:p>
            <w:pPr>
              <w:jc w:val="center"/>
              <w:ind w:right="720"/>
              <w:spacing w:after="0" w:line="216" w:lineRule="exact"/>
              <w:rPr>
                <w:sz w:val="20"/>
                <w:szCs w:val="20"/>
                <w:color w:val="auto"/>
              </w:rPr>
            </w:pPr>
            <w:r>
              <w:rPr>
                <w:rFonts w:ascii="Arial" w:cs="Arial" w:eastAsia="Arial" w:hAnsi="Arial"/>
                <w:sz w:val="19"/>
                <w:szCs w:val="19"/>
                <w:color w:val="auto"/>
              </w:rPr>
              <w:t>Suzhou, China</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leased)</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Northford, CT</w:t>
            </w:r>
          </w:p>
        </w:tc>
        <w:tc>
          <w:tcPr>
            <w:tcW w:w="3860" w:type="dxa"/>
            <w:vAlign w:val="bottom"/>
            <w:gridSpan w:val="4"/>
          </w:tcPr>
          <w:p>
            <w:pPr>
              <w:jc w:val="center"/>
              <w:ind w:right="720"/>
              <w:spacing w:after="0" w:line="216" w:lineRule="exact"/>
              <w:rPr>
                <w:sz w:val="20"/>
                <w:szCs w:val="20"/>
                <w:color w:val="auto"/>
              </w:rPr>
            </w:pPr>
            <w:r>
              <w:rPr>
                <w:rFonts w:ascii="Arial" w:cs="Arial" w:eastAsia="Arial" w:hAnsi="Arial"/>
                <w:sz w:val="19"/>
                <w:szCs w:val="19"/>
                <w:color w:val="auto"/>
              </w:rPr>
              <w:t>Mosbach, Germany</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Tijuana, Mexico (leased)</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Freeport, IL</w:t>
            </w:r>
          </w:p>
        </w:tc>
        <w:tc>
          <w:tcPr>
            <w:tcW w:w="3860" w:type="dxa"/>
            <w:vAlign w:val="bottom"/>
            <w:gridSpan w:val="4"/>
          </w:tcPr>
          <w:p>
            <w:pPr>
              <w:jc w:val="center"/>
              <w:ind w:right="720"/>
              <w:spacing w:after="0" w:line="216" w:lineRule="exact"/>
              <w:rPr>
                <w:sz w:val="20"/>
                <w:szCs w:val="20"/>
                <w:color w:val="auto"/>
              </w:rPr>
            </w:pPr>
            <w:r>
              <w:rPr>
                <w:rFonts w:ascii="Arial" w:cs="Arial" w:eastAsia="Arial" w:hAnsi="Arial"/>
                <w:sz w:val="19"/>
                <w:szCs w:val="19"/>
                <w:color w:val="auto"/>
              </w:rPr>
              <w:t>Neuss, Germany (leased)</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Emmen, Netherlands</w:t>
            </w:r>
          </w:p>
        </w:tc>
      </w:tr>
      <w:tr>
        <w:trPr>
          <w:trHeight w:val="216"/>
        </w:trPr>
        <w:tc>
          <w:tcPr>
            <w:tcW w:w="4460" w:type="dxa"/>
            <w:vAlign w:val="bottom"/>
          </w:tcPr>
          <w:p>
            <w:pPr>
              <w:ind w:left="20"/>
              <w:spacing w:after="0" w:line="216" w:lineRule="exact"/>
              <w:rPr>
                <w:sz w:val="20"/>
                <w:szCs w:val="20"/>
                <w:color w:val="auto"/>
              </w:rPr>
            </w:pPr>
            <w:r>
              <w:rPr>
                <w:rFonts w:ascii="Arial" w:cs="Arial" w:eastAsia="Arial" w:hAnsi="Arial"/>
                <w:sz w:val="19"/>
                <w:szCs w:val="19"/>
                <w:color w:val="auto"/>
              </w:rPr>
              <w:t>St. Charles, IL (leased)</w:t>
            </w:r>
          </w:p>
        </w:tc>
        <w:tc>
          <w:tcPr>
            <w:tcW w:w="3860" w:type="dxa"/>
            <w:vAlign w:val="bottom"/>
            <w:gridSpan w:val="4"/>
          </w:tcPr>
          <w:p>
            <w:pPr>
              <w:jc w:val="center"/>
              <w:ind w:right="720"/>
              <w:spacing w:after="0" w:line="216" w:lineRule="exact"/>
              <w:rPr>
                <w:sz w:val="20"/>
                <w:szCs w:val="20"/>
                <w:color w:val="auto"/>
              </w:rPr>
            </w:pPr>
            <w:r>
              <w:rPr>
                <w:rFonts w:ascii="Arial" w:cs="Arial" w:eastAsia="Arial" w:hAnsi="Arial"/>
                <w:sz w:val="19"/>
                <w:szCs w:val="19"/>
                <w:color w:val="auto"/>
              </w:rPr>
              <w:t>Schonaich, Germany (leased)</w:t>
            </w:r>
          </w:p>
        </w:tc>
        <w:tc>
          <w:tcPr>
            <w:tcW w:w="3100" w:type="dxa"/>
            <w:vAlign w:val="bottom"/>
          </w:tcPr>
          <w:p>
            <w:pPr>
              <w:ind w:left="720"/>
              <w:spacing w:after="0" w:line="216" w:lineRule="exact"/>
              <w:rPr>
                <w:sz w:val="20"/>
                <w:szCs w:val="20"/>
                <w:color w:val="auto"/>
              </w:rPr>
            </w:pPr>
            <w:r>
              <w:rPr>
                <w:rFonts w:ascii="Arial" w:cs="Arial" w:eastAsia="Arial" w:hAnsi="Arial"/>
                <w:sz w:val="19"/>
                <w:szCs w:val="19"/>
                <w:color w:val="auto"/>
              </w:rPr>
              <w:t>Newhouse, Scotland</w:t>
            </w:r>
          </w:p>
        </w:tc>
      </w:tr>
      <w:tr>
        <w:trPr>
          <w:trHeight w:val="234"/>
        </w:trPr>
        <w:tc>
          <w:tcPr>
            <w:tcW w:w="4460" w:type="dxa"/>
            <w:vAlign w:val="bottom"/>
          </w:tcPr>
          <w:p>
            <w:pPr>
              <w:ind w:left="20"/>
              <w:spacing w:after="0"/>
              <w:rPr>
                <w:sz w:val="20"/>
                <w:szCs w:val="20"/>
                <w:color w:val="auto"/>
              </w:rPr>
            </w:pPr>
            <w:r>
              <w:rPr>
                <w:rFonts w:ascii="Arial" w:cs="Arial" w:eastAsia="Arial" w:hAnsi="Arial"/>
                <w:sz w:val="19"/>
                <w:szCs w:val="19"/>
                <w:color w:val="auto"/>
              </w:rPr>
              <w:t>Golden Valley, MN</w:t>
            </w:r>
          </w:p>
        </w:tc>
        <w:tc>
          <w:tcPr>
            <w:tcW w:w="3860" w:type="dxa"/>
            <w:vAlign w:val="bottom"/>
            <w:gridSpan w:val="4"/>
          </w:tcPr>
          <w:p>
            <w:pPr>
              <w:jc w:val="center"/>
              <w:ind w:right="720"/>
              <w:spacing w:after="0"/>
              <w:rPr>
                <w:sz w:val="20"/>
                <w:szCs w:val="20"/>
                <w:color w:val="auto"/>
              </w:rPr>
            </w:pPr>
            <w:r>
              <w:rPr>
                <w:rFonts w:ascii="Arial" w:cs="Arial" w:eastAsia="Arial" w:hAnsi="Arial"/>
                <w:sz w:val="19"/>
                <w:szCs w:val="19"/>
                <w:color w:val="auto"/>
              </w:rPr>
              <w:t>Pune, India (leased)</w:t>
            </w:r>
          </w:p>
        </w:tc>
        <w:tc>
          <w:tcPr>
            <w:tcW w:w="3100" w:type="dxa"/>
            <w:vAlign w:val="bottom"/>
          </w:tcPr>
          <w:p>
            <w:pPr>
              <w:ind w:left="720"/>
              <w:spacing w:after="0"/>
              <w:rPr>
                <w:sz w:val="20"/>
                <w:szCs w:val="20"/>
                <w:color w:val="auto"/>
              </w:rPr>
            </w:pPr>
            <w:r>
              <w:rPr>
                <w:rFonts w:ascii="Arial" w:cs="Arial" w:eastAsia="Arial" w:hAnsi="Arial"/>
                <w:sz w:val="19"/>
                <w:szCs w:val="19"/>
                <w:color w:val="auto"/>
              </w:rPr>
              <w:t>Chihuahua, Mexico</w:t>
            </w:r>
          </w:p>
        </w:tc>
      </w:tr>
      <w:tr>
        <w:trPr>
          <w:trHeight w:val="338"/>
        </w:trPr>
        <w:tc>
          <w:tcPr>
            <w:tcW w:w="4460" w:type="dxa"/>
            <w:vAlign w:val="bottom"/>
          </w:tcPr>
          <w:p>
            <w:pPr>
              <w:spacing w:after="0"/>
              <w:rPr>
                <w:sz w:val="24"/>
                <w:szCs w:val="24"/>
                <w:color w:val="auto"/>
              </w:rPr>
            </w:pPr>
          </w:p>
        </w:tc>
        <w:tc>
          <w:tcPr>
            <w:tcW w:w="2060" w:type="dxa"/>
            <w:vAlign w:val="bottom"/>
            <w:gridSpan w:val="2"/>
          </w:tcPr>
          <w:p>
            <w:pPr>
              <w:jc w:val="right"/>
              <w:ind w:right="603"/>
              <w:spacing w:after="0"/>
              <w:rPr>
                <w:sz w:val="20"/>
                <w:szCs w:val="20"/>
                <w:color w:val="auto"/>
              </w:rPr>
            </w:pPr>
            <w:r>
              <w:rPr>
                <w:rFonts w:ascii="Arial" w:cs="Arial" w:eastAsia="Arial" w:hAnsi="Arial"/>
                <w:sz w:val="19"/>
                <w:szCs w:val="19"/>
                <w:color w:val="auto"/>
              </w:rPr>
              <w:t>17</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09"/>
        </w:trPr>
        <w:tc>
          <w:tcPr>
            <w:tcW w:w="4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218"/>
        </w:trPr>
        <w:tc>
          <w:tcPr>
            <w:tcW w:w="3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9"/>
                <w:szCs w:val="19"/>
                <w:b w:val="1"/>
                <w:bCs w:val="1"/>
                <w:color w:val="auto"/>
              </w:rPr>
              <w:t>Specialty Materials</w:t>
            </w:r>
          </w:p>
        </w:tc>
        <w:tc>
          <w:tcPr>
            <w:tcW w:w="4120" w:type="dxa"/>
            <w:vAlign w:val="bottom"/>
          </w:tcPr>
          <w:p>
            <w:pPr>
              <w:spacing w:after="0"/>
              <w:rPr>
                <w:sz w:val="18"/>
                <w:szCs w:val="18"/>
                <w:color w:val="auto"/>
              </w:rPr>
            </w:pPr>
          </w:p>
        </w:tc>
      </w:tr>
      <w:tr>
        <w:trPr>
          <w:trHeight w:val="277"/>
        </w:trPr>
        <w:tc>
          <w:tcPr>
            <w:tcW w:w="3220" w:type="dxa"/>
            <w:vAlign w:val="bottom"/>
          </w:tcPr>
          <w:p>
            <w:pPr>
              <w:spacing w:after="0"/>
              <w:rPr>
                <w:sz w:val="20"/>
                <w:szCs w:val="20"/>
                <w:color w:val="auto"/>
              </w:rPr>
            </w:pPr>
            <w:r>
              <w:rPr>
                <w:rFonts w:ascii="Arial" w:cs="Arial" w:eastAsia="Arial" w:hAnsi="Arial"/>
                <w:sz w:val="19"/>
                <w:szCs w:val="19"/>
                <w:color w:val="auto"/>
              </w:rPr>
              <w:t>Mobile, AL</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Geismar, LA</w:t>
            </w:r>
          </w:p>
        </w:tc>
        <w:tc>
          <w:tcPr>
            <w:tcW w:w="240" w:type="dxa"/>
            <w:vAlign w:val="bottom"/>
          </w:tcPr>
          <w:p>
            <w:pPr>
              <w:spacing w:after="0"/>
              <w:rPr>
                <w:sz w:val="24"/>
                <w:szCs w:val="24"/>
                <w:color w:val="auto"/>
              </w:rPr>
            </w:pPr>
          </w:p>
        </w:tc>
        <w:tc>
          <w:tcPr>
            <w:tcW w:w="4120" w:type="dxa"/>
            <w:vAlign w:val="bottom"/>
          </w:tcPr>
          <w:p>
            <w:pPr>
              <w:ind w:left="1900"/>
              <w:spacing w:after="0"/>
              <w:rPr>
                <w:sz w:val="20"/>
                <w:szCs w:val="20"/>
                <w:color w:val="auto"/>
              </w:rPr>
            </w:pPr>
            <w:r>
              <w:rPr>
                <w:rFonts w:ascii="Arial" w:cs="Arial" w:eastAsia="Arial" w:hAnsi="Arial"/>
                <w:sz w:val="19"/>
                <w:szCs w:val="19"/>
                <w:color w:val="auto"/>
              </w:rPr>
              <w:t>Colonial Heights, VA</w:t>
            </w:r>
          </w:p>
        </w:tc>
      </w:tr>
      <w:tr>
        <w:trPr>
          <w:trHeight w:val="216"/>
        </w:trPr>
        <w:tc>
          <w:tcPr>
            <w:tcW w:w="3220" w:type="dxa"/>
            <w:vAlign w:val="bottom"/>
          </w:tcPr>
          <w:p>
            <w:pPr>
              <w:spacing w:after="0" w:line="216" w:lineRule="exact"/>
              <w:rPr>
                <w:sz w:val="20"/>
                <w:szCs w:val="20"/>
                <w:color w:val="auto"/>
              </w:rPr>
            </w:pPr>
            <w:r>
              <w:rPr>
                <w:rFonts w:ascii="Arial" w:cs="Arial" w:eastAsia="Arial" w:hAnsi="Arial"/>
                <w:sz w:val="19"/>
                <w:szCs w:val="19"/>
                <w:color w:val="auto"/>
              </w:rPr>
              <w:t>Des Plaines, IL</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240"/>
              <w:spacing w:after="0" w:line="216" w:lineRule="exact"/>
              <w:rPr>
                <w:sz w:val="20"/>
                <w:szCs w:val="20"/>
                <w:color w:val="auto"/>
              </w:rPr>
            </w:pPr>
            <w:r>
              <w:rPr>
                <w:rFonts w:ascii="Arial" w:cs="Arial" w:eastAsia="Arial" w:hAnsi="Arial"/>
                <w:sz w:val="19"/>
                <w:szCs w:val="19"/>
                <w:color w:val="auto"/>
              </w:rPr>
              <w:t>Shreveport, LA</w:t>
            </w:r>
          </w:p>
        </w:tc>
        <w:tc>
          <w:tcPr>
            <w:tcW w:w="4120" w:type="dxa"/>
            <w:vAlign w:val="bottom"/>
          </w:tcPr>
          <w:p>
            <w:pPr>
              <w:ind w:left="1900"/>
              <w:spacing w:after="0" w:line="216" w:lineRule="exact"/>
              <w:rPr>
                <w:sz w:val="20"/>
                <w:szCs w:val="20"/>
                <w:color w:val="auto"/>
              </w:rPr>
            </w:pPr>
            <w:r>
              <w:rPr>
                <w:rFonts w:ascii="Arial" w:cs="Arial" w:eastAsia="Arial" w:hAnsi="Arial"/>
                <w:sz w:val="19"/>
                <w:szCs w:val="19"/>
                <w:color w:val="auto"/>
              </w:rPr>
              <w:t>Hopewell, VA</w:t>
            </w:r>
          </w:p>
        </w:tc>
      </w:tr>
      <w:tr>
        <w:trPr>
          <w:trHeight w:val="216"/>
        </w:trPr>
        <w:tc>
          <w:tcPr>
            <w:tcW w:w="3220" w:type="dxa"/>
            <w:vAlign w:val="bottom"/>
          </w:tcPr>
          <w:p>
            <w:pPr>
              <w:spacing w:after="0" w:line="216" w:lineRule="exact"/>
              <w:rPr>
                <w:sz w:val="20"/>
                <w:szCs w:val="20"/>
                <w:color w:val="auto"/>
              </w:rPr>
            </w:pPr>
            <w:r>
              <w:rPr>
                <w:rFonts w:ascii="Arial" w:cs="Arial" w:eastAsia="Arial" w:hAnsi="Arial"/>
                <w:sz w:val="19"/>
                <w:szCs w:val="19"/>
                <w:color w:val="auto"/>
              </w:rPr>
              <w:t>Metropolis, IL</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240"/>
              <w:spacing w:after="0" w:line="216" w:lineRule="exact"/>
              <w:rPr>
                <w:sz w:val="20"/>
                <w:szCs w:val="20"/>
                <w:color w:val="auto"/>
              </w:rPr>
            </w:pPr>
            <w:r>
              <w:rPr>
                <w:rFonts w:ascii="Arial" w:cs="Arial" w:eastAsia="Arial" w:hAnsi="Arial"/>
                <w:sz w:val="19"/>
                <w:szCs w:val="19"/>
                <w:color w:val="auto"/>
              </w:rPr>
              <w:t>Pottsville, PA</w:t>
            </w:r>
          </w:p>
        </w:tc>
        <w:tc>
          <w:tcPr>
            <w:tcW w:w="4120" w:type="dxa"/>
            <w:vAlign w:val="bottom"/>
          </w:tcPr>
          <w:p>
            <w:pPr>
              <w:ind w:left="1900"/>
              <w:spacing w:after="0" w:line="216" w:lineRule="exact"/>
              <w:rPr>
                <w:sz w:val="20"/>
                <w:szCs w:val="20"/>
                <w:color w:val="auto"/>
              </w:rPr>
            </w:pPr>
            <w:r>
              <w:rPr>
                <w:rFonts w:ascii="Arial" w:cs="Arial" w:eastAsia="Arial" w:hAnsi="Arial"/>
                <w:sz w:val="19"/>
                <w:szCs w:val="19"/>
                <w:color w:val="auto"/>
              </w:rPr>
              <w:t>Spokane, WA</w:t>
            </w:r>
          </w:p>
        </w:tc>
      </w:tr>
      <w:tr>
        <w:trPr>
          <w:trHeight w:val="216"/>
        </w:trPr>
        <w:tc>
          <w:tcPr>
            <w:tcW w:w="3220" w:type="dxa"/>
            <w:vAlign w:val="bottom"/>
          </w:tcPr>
          <w:p>
            <w:pPr>
              <w:spacing w:after="0" w:line="216" w:lineRule="exact"/>
              <w:rPr>
                <w:sz w:val="20"/>
                <w:szCs w:val="20"/>
                <w:color w:val="auto"/>
              </w:rPr>
            </w:pPr>
            <w:r>
              <w:rPr>
                <w:rFonts w:ascii="Arial" w:cs="Arial" w:eastAsia="Arial" w:hAnsi="Arial"/>
                <w:sz w:val="19"/>
                <w:szCs w:val="19"/>
                <w:color w:val="auto"/>
              </w:rPr>
              <w:t>Baton Rouge, LA</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220"/>
              <w:spacing w:after="0" w:line="216" w:lineRule="exact"/>
              <w:rPr>
                <w:sz w:val="20"/>
                <w:szCs w:val="20"/>
                <w:color w:val="auto"/>
              </w:rPr>
            </w:pPr>
            <w:r>
              <w:rPr>
                <w:rFonts w:ascii="Arial" w:cs="Arial" w:eastAsia="Arial" w:hAnsi="Arial"/>
                <w:sz w:val="19"/>
                <w:szCs w:val="19"/>
                <w:color w:val="auto"/>
              </w:rPr>
              <w:t>Orange, TX</w:t>
            </w:r>
          </w:p>
        </w:tc>
        <w:tc>
          <w:tcPr>
            <w:tcW w:w="4120" w:type="dxa"/>
            <w:vAlign w:val="bottom"/>
          </w:tcPr>
          <w:p>
            <w:pPr>
              <w:ind w:left="1900"/>
              <w:spacing w:after="0" w:line="216" w:lineRule="exact"/>
              <w:rPr>
                <w:sz w:val="20"/>
                <w:szCs w:val="20"/>
                <w:color w:val="auto"/>
              </w:rPr>
            </w:pPr>
            <w:r>
              <w:rPr>
                <w:rFonts w:ascii="Arial" w:cs="Arial" w:eastAsia="Arial" w:hAnsi="Arial"/>
                <w:sz w:val="19"/>
                <w:szCs w:val="19"/>
                <w:color w:val="auto"/>
              </w:rPr>
              <w:t>Seelze, Germany</w:t>
            </w:r>
          </w:p>
        </w:tc>
      </w:tr>
      <w:tr>
        <w:trPr>
          <w:trHeight w:val="219"/>
        </w:trPr>
        <w:tc>
          <w:tcPr>
            <w:tcW w:w="3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9"/>
                <w:szCs w:val="19"/>
                <w:color w:val="auto"/>
              </w:rPr>
              <w:t>Chesterfield, VA</w:t>
            </w:r>
          </w:p>
        </w:tc>
        <w:tc>
          <w:tcPr>
            <w:tcW w:w="4120" w:type="dxa"/>
            <w:vAlign w:val="bottom"/>
          </w:tcPr>
          <w:p>
            <w:pPr>
              <w:spacing w:after="0"/>
              <w:rPr>
                <w:sz w:val="19"/>
                <w:szCs w:val="19"/>
                <w:color w:val="auto"/>
              </w:rPr>
            </w:pPr>
          </w:p>
        </w:tc>
      </w:tr>
      <w:tr>
        <w:trPr>
          <w:trHeight w:val="213"/>
        </w:trPr>
        <w:tc>
          <w:tcPr>
            <w:tcW w:w="3220" w:type="dxa"/>
            <w:vAlign w:val="bottom"/>
          </w:tcPr>
          <w:p>
            <w:pPr>
              <w:spacing w:after="0"/>
              <w:rPr>
                <w:sz w:val="18"/>
                <w:szCs w:val="18"/>
                <w:color w:val="auto"/>
              </w:rPr>
            </w:pPr>
          </w:p>
        </w:tc>
        <w:tc>
          <w:tcPr>
            <w:tcW w:w="3900" w:type="dxa"/>
            <w:vAlign w:val="bottom"/>
            <w:gridSpan w:val="4"/>
          </w:tcPr>
          <w:p>
            <w:pPr>
              <w:jc w:val="center"/>
              <w:ind w:left="1583"/>
              <w:spacing w:after="0" w:line="213" w:lineRule="exact"/>
              <w:rPr>
                <w:sz w:val="20"/>
                <w:szCs w:val="20"/>
                <w:color w:val="auto"/>
              </w:rPr>
            </w:pPr>
            <w:r>
              <w:rPr>
                <w:rFonts w:ascii="Arial" w:cs="Arial" w:eastAsia="Arial" w:hAnsi="Arial"/>
                <w:sz w:val="19"/>
                <w:szCs w:val="19"/>
                <w:b w:val="1"/>
                <w:bCs w:val="1"/>
                <w:color w:val="auto"/>
              </w:rPr>
              <w:t>Transportation Systems</w:t>
            </w:r>
          </w:p>
        </w:tc>
        <w:tc>
          <w:tcPr>
            <w:tcW w:w="4120" w:type="dxa"/>
            <w:vAlign w:val="bottom"/>
          </w:tcPr>
          <w:p>
            <w:pPr>
              <w:spacing w:after="0"/>
              <w:rPr>
                <w:sz w:val="18"/>
                <w:szCs w:val="18"/>
                <w:color w:val="auto"/>
              </w:rPr>
            </w:pPr>
          </w:p>
        </w:tc>
      </w:tr>
      <w:tr>
        <w:trPr>
          <w:trHeight w:val="277"/>
        </w:trPr>
        <w:tc>
          <w:tcPr>
            <w:tcW w:w="3220" w:type="dxa"/>
            <w:vAlign w:val="bottom"/>
          </w:tcPr>
          <w:p>
            <w:pPr>
              <w:spacing w:after="0"/>
              <w:rPr>
                <w:sz w:val="20"/>
                <w:szCs w:val="20"/>
                <w:color w:val="auto"/>
              </w:rPr>
            </w:pPr>
            <w:r>
              <w:rPr>
                <w:rFonts w:ascii="Arial" w:cs="Arial" w:eastAsia="Arial" w:hAnsi="Arial"/>
                <w:sz w:val="19"/>
                <w:szCs w:val="19"/>
                <w:color w:val="auto"/>
              </w:rPr>
              <w:t>Shanghai, China</w:t>
            </w:r>
          </w:p>
        </w:tc>
        <w:tc>
          <w:tcPr>
            <w:tcW w:w="16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9"/>
                <w:szCs w:val="19"/>
                <w:color w:val="auto"/>
              </w:rPr>
              <w:t>Atessa, Italy</w:t>
            </w:r>
          </w:p>
        </w:tc>
        <w:tc>
          <w:tcPr>
            <w:tcW w:w="4120" w:type="dxa"/>
            <w:vAlign w:val="bottom"/>
          </w:tcPr>
          <w:p>
            <w:pPr>
              <w:ind w:left="1900"/>
              <w:spacing w:after="0"/>
              <w:rPr>
                <w:sz w:val="20"/>
                <w:szCs w:val="20"/>
                <w:color w:val="auto"/>
              </w:rPr>
            </w:pPr>
            <w:r>
              <w:rPr>
                <w:rFonts w:ascii="Arial" w:cs="Arial" w:eastAsia="Arial" w:hAnsi="Arial"/>
                <w:sz w:val="19"/>
                <w:szCs w:val="19"/>
                <w:color w:val="auto"/>
              </w:rPr>
              <w:t>Mexicali, Mexico (partially</w:t>
            </w:r>
          </w:p>
        </w:tc>
      </w:tr>
      <w:tr>
        <w:trPr>
          <w:trHeight w:val="216"/>
        </w:trPr>
        <w:tc>
          <w:tcPr>
            <w:tcW w:w="3220" w:type="dxa"/>
            <w:vAlign w:val="bottom"/>
          </w:tcPr>
          <w:p>
            <w:pPr>
              <w:spacing w:after="0" w:line="216" w:lineRule="exact"/>
              <w:rPr>
                <w:sz w:val="20"/>
                <w:szCs w:val="20"/>
                <w:color w:val="auto"/>
              </w:rPr>
            </w:pPr>
            <w:r>
              <w:rPr>
                <w:rFonts w:ascii="Arial" w:cs="Arial" w:eastAsia="Arial" w:hAnsi="Arial"/>
                <w:sz w:val="19"/>
                <w:szCs w:val="19"/>
                <w:color w:val="auto"/>
              </w:rPr>
              <w:t>Conde, France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220"/>
              <w:spacing w:after="0" w:line="216" w:lineRule="exact"/>
              <w:rPr>
                <w:sz w:val="20"/>
                <w:szCs w:val="20"/>
                <w:color w:val="auto"/>
              </w:rPr>
            </w:pPr>
            <w:r>
              <w:rPr>
                <w:rFonts w:ascii="Arial" w:cs="Arial" w:eastAsia="Arial" w:hAnsi="Arial"/>
                <w:sz w:val="19"/>
                <w:szCs w:val="19"/>
                <w:color w:val="auto"/>
              </w:rPr>
              <w:t>Kodama, Japan</w:t>
            </w:r>
          </w:p>
        </w:tc>
        <w:tc>
          <w:tcPr>
            <w:tcW w:w="4120" w:type="dxa"/>
            <w:vAlign w:val="bottom"/>
          </w:tcPr>
          <w:p>
            <w:pPr>
              <w:ind w:left="1900"/>
              <w:spacing w:after="0" w:line="216" w:lineRule="exact"/>
              <w:rPr>
                <w:sz w:val="20"/>
                <w:szCs w:val="20"/>
                <w:color w:val="auto"/>
              </w:rPr>
            </w:pPr>
            <w:r>
              <w:rPr>
                <w:rFonts w:ascii="Arial" w:cs="Arial" w:eastAsia="Arial" w:hAnsi="Arial"/>
                <w:sz w:val="19"/>
                <w:szCs w:val="19"/>
                <w:color w:val="auto"/>
              </w:rPr>
              <w:t>leased)</w:t>
            </w:r>
          </w:p>
        </w:tc>
      </w:tr>
      <w:tr>
        <w:trPr>
          <w:trHeight w:val="216"/>
        </w:trPr>
        <w:tc>
          <w:tcPr>
            <w:tcW w:w="3220" w:type="dxa"/>
            <w:vAlign w:val="bottom"/>
          </w:tcPr>
          <w:p>
            <w:pPr>
              <w:spacing w:after="0" w:line="216" w:lineRule="exact"/>
              <w:rPr>
                <w:sz w:val="20"/>
                <w:szCs w:val="20"/>
                <w:color w:val="auto"/>
              </w:rPr>
            </w:pPr>
            <w:r>
              <w:rPr>
                <w:rFonts w:ascii="Arial" w:cs="Arial" w:eastAsia="Arial" w:hAnsi="Arial"/>
                <w:sz w:val="19"/>
                <w:szCs w:val="19"/>
                <w:color w:val="auto"/>
              </w:rPr>
              <w:t>Glinde, Germany</w:t>
            </w:r>
          </w:p>
        </w:tc>
        <w:tc>
          <w:tcPr>
            <w:tcW w:w="1680" w:type="dxa"/>
            <w:vAlign w:val="bottom"/>
          </w:tcPr>
          <w:p>
            <w:pPr>
              <w:spacing w:after="0"/>
              <w:rPr>
                <w:sz w:val="18"/>
                <w:szCs w:val="18"/>
                <w:color w:val="auto"/>
              </w:rPr>
            </w:pPr>
          </w:p>
        </w:tc>
        <w:tc>
          <w:tcPr>
            <w:tcW w:w="2220" w:type="dxa"/>
            <w:vAlign w:val="bottom"/>
            <w:gridSpan w:val="3"/>
          </w:tcPr>
          <w:p>
            <w:pPr>
              <w:jc w:val="center"/>
              <w:spacing w:after="0" w:line="216" w:lineRule="exact"/>
              <w:rPr>
                <w:sz w:val="20"/>
                <w:szCs w:val="20"/>
                <w:color w:val="auto"/>
              </w:rPr>
            </w:pPr>
            <w:r>
              <w:rPr>
                <w:rFonts w:ascii="Arial" w:cs="Arial" w:eastAsia="Arial" w:hAnsi="Arial"/>
                <w:sz w:val="19"/>
                <w:szCs w:val="19"/>
                <w:color w:val="auto"/>
              </w:rPr>
              <w:t>Ansan, Korea (leased)</w:t>
            </w:r>
          </w:p>
        </w:tc>
        <w:tc>
          <w:tcPr>
            <w:tcW w:w="4120" w:type="dxa"/>
            <w:vAlign w:val="bottom"/>
          </w:tcPr>
          <w:p>
            <w:pPr>
              <w:ind w:left="1900"/>
              <w:spacing w:after="0" w:line="216" w:lineRule="exact"/>
              <w:rPr>
                <w:sz w:val="20"/>
                <w:szCs w:val="20"/>
                <w:color w:val="auto"/>
              </w:rPr>
            </w:pPr>
            <w:r>
              <w:rPr>
                <w:rFonts w:ascii="Arial" w:cs="Arial" w:eastAsia="Arial" w:hAnsi="Arial"/>
                <w:sz w:val="19"/>
                <w:szCs w:val="19"/>
                <w:color w:val="auto"/>
              </w:rPr>
              <w:t>Bucharest, Romania</w:t>
            </w:r>
          </w:p>
        </w:tc>
      </w:tr>
      <w:tr>
        <w:trPr>
          <w:trHeight w:val="234"/>
        </w:trPr>
        <w:tc>
          <w:tcPr>
            <w:tcW w:w="3220" w:type="dxa"/>
            <w:vAlign w:val="bottom"/>
          </w:tcPr>
          <w:p>
            <w:pPr>
              <w:spacing w:after="0"/>
              <w:rPr>
                <w:sz w:val="20"/>
                <w:szCs w:val="20"/>
                <w:color w:val="auto"/>
              </w:rPr>
            </w:pPr>
            <w:r>
              <w:rPr>
                <w:rFonts w:ascii="Arial" w:cs="Arial" w:eastAsia="Arial" w:hAnsi="Arial"/>
                <w:sz w:val="19"/>
                <w:szCs w:val="19"/>
                <w:color w:val="auto"/>
              </w:rPr>
              <w:t>Waterford, Ireland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tcPr>
          <w:p>
            <w:pPr>
              <w:ind w:left="1900"/>
              <w:spacing w:after="0"/>
              <w:rPr>
                <w:sz w:val="20"/>
                <w:szCs w:val="20"/>
                <w:color w:val="auto"/>
              </w:rPr>
            </w:pPr>
            <w:r>
              <w:rPr>
                <w:rFonts w:ascii="Arial" w:cs="Arial" w:eastAsia="Arial" w:hAnsi="Arial"/>
                <w:sz w:val="19"/>
                <w:szCs w:val="19"/>
                <w:color w:val="auto"/>
              </w:rPr>
              <w:t>Barcelona, Spain</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Legal Proceedings</w:t>
      </w:r>
    </w:p>
    <w:p>
      <w:pPr>
        <w:spacing w:after="0" w:line="147"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We are subject to a number of lawsuits, investigations and claims (some of which involve substantial amounts) arising out of the conduct of our business. See a discussion of environmental, asbestos and other litigation matters in Note 21 of Notes to Financial Statements in “Item 8. Financial Statements and Supplementary Data.”</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Environmental Matters Involving Potential Monetary Sanctions in Excess of $100,000</w:t>
      </w:r>
    </w:p>
    <w:p>
      <w:pPr>
        <w:spacing w:after="0" w:line="11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United States Environmental Protection Agency and the United States Department of Justice (“federal authorities”) are investigating whether the storage of certain sludges generated during uranium hexafluoride production at our Metropolis, Illinois facility has been in compliance with the requirements of the Resource Conservation and Recovery Act. The federal authorities have convened a grand jury in this matter. This storage issue was previously voluntarily disclosed to the Illinois Environmental Protection Agency, with whom Honeywell has been working to resolve the matter. The Company has met with the federal authorities and is cooperating fully with the investigation. Although the outcome of this matter cannot be predicted with certainty, we do not believe that it will have a material adverse effect on our consolidated financial position, consolidated results of operations or operating cash flows.</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Submission of Matters to a Vote of Security Holders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4" w:right="25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auto"/>
        </w:rPr>
        <w:t>Executive Officers of the Registrant</w:t>
      </w:r>
    </w:p>
    <w:p>
      <w:pPr>
        <w:spacing w:after="0" w:line="148" w:lineRule="exact"/>
        <w:rPr>
          <w:sz w:val="20"/>
          <w:szCs w:val="20"/>
          <w:color w:val="auto"/>
        </w:rPr>
      </w:pPr>
    </w:p>
    <w:p>
      <w:pPr>
        <w:ind w:right="720" w:firstLine="357"/>
        <w:spacing w:after="0" w:line="253" w:lineRule="auto"/>
        <w:rPr>
          <w:sz w:val="20"/>
          <w:szCs w:val="20"/>
          <w:color w:val="auto"/>
        </w:rPr>
      </w:pPr>
      <w:r>
        <w:rPr>
          <w:rFonts w:ascii="Arial" w:cs="Arial" w:eastAsia="Arial" w:hAnsi="Arial"/>
          <w:sz w:val="19"/>
          <w:szCs w:val="19"/>
          <w:color w:val="auto"/>
        </w:rPr>
        <w:t>The executive officers of Honeywell, listed as follows, are elected annually by the Board of Directors. There are no family relationships among them.</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2940" w:type="dxa"/>
            <w:vAlign w:val="bottom"/>
          </w:tcPr>
          <w:p>
            <w:pPr>
              <w:jc w:val="center"/>
              <w:ind w:right="801"/>
              <w:spacing w:after="0"/>
              <w:rPr>
                <w:sz w:val="20"/>
                <w:szCs w:val="20"/>
                <w:color w:val="auto"/>
              </w:rPr>
            </w:pPr>
            <w:r>
              <w:rPr>
                <w:rFonts w:ascii="Arial" w:cs="Arial" w:eastAsia="Arial" w:hAnsi="Arial"/>
                <w:sz w:val="16"/>
                <w:szCs w:val="16"/>
                <w:b w:val="1"/>
                <w:bCs w:val="1"/>
                <w:color w:val="auto"/>
                <w:w w:val="98"/>
              </w:rPr>
              <w:t>Name, Age,</w:t>
            </w:r>
          </w:p>
        </w:tc>
        <w:tc>
          <w:tcPr>
            <w:tcW w:w="300" w:type="dxa"/>
            <w:vAlign w:val="bottom"/>
          </w:tcPr>
          <w:p>
            <w:pPr>
              <w:spacing w:after="0"/>
              <w:rPr>
                <w:sz w:val="16"/>
                <w:szCs w:val="16"/>
                <w:color w:val="auto"/>
              </w:rPr>
            </w:pPr>
          </w:p>
        </w:tc>
        <w:tc>
          <w:tcPr>
            <w:tcW w:w="7280" w:type="dxa"/>
            <w:vAlign w:val="bottom"/>
          </w:tcPr>
          <w:p>
            <w:pPr>
              <w:spacing w:after="0"/>
              <w:rPr>
                <w:sz w:val="16"/>
                <w:szCs w:val="16"/>
                <w:color w:val="auto"/>
              </w:rPr>
            </w:pPr>
          </w:p>
        </w:tc>
      </w:tr>
      <w:tr>
        <w:trPr>
          <w:trHeight w:val="176"/>
        </w:trPr>
        <w:tc>
          <w:tcPr>
            <w:tcW w:w="900" w:type="dxa"/>
            <w:vAlign w:val="bottom"/>
          </w:tcPr>
          <w:p>
            <w:pPr>
              <w:spacing w:after="0"/>
              <w:rPr>
                <w:sz w:val="15"/>
                <w:szCs w:val="15"/>
                <w:color w:val="auto"/>
              </w:rPr>
            </w:pPr>
          </w:p>
        </w:tc>
        <w:tc>
          <w:tcPr>
            <w:tcW w:w="2940" w:type="dxa"/>
            <w:vAlign w:val="bottom"/>
          </w:tcPr>
          <w:p>
            <w:pPr>
              <w:jc w:val="center"/>
              <w:ind w:right="801"/>
              <w:spacing w:after="0" w:line="176" w:lineRule="exact"/>
              <w:rPr>
                <w:sz w:val="20"/>
                <w:szCs w:val="20"/>
                <w:color w:val="auto"/>
              </w:rPr>
            </w:pPr>
            <w:r>
              <w:rPr>
                <w:rFonts w:ascii="Arial" w:cs="Arial" w:eastAsia="Arial" w:hAnsi="Arial"/>
                <w:sz w:val="16"/>
                <w:szCs w:val="16"/>
                <w:b w:val="1"/>
                <w:bCs w:val="1"/>
                <w:color w:val="auto"/>
              </w:rPr>
              <w:t>Date First</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940" w:type="dxa"/>
            <w:vAlign w:val="bottom"/>
          </w:tcPr>
          <w:p>
            <w:pPr>
              <w:jc w:val="center"/>
              <w:ind w:right="801"/>
              <w:spacing w:after="0" w:line="176" w:lineRule="exact"/>
              <w:rPr>
                <w:sz w:val="20"/>
                <w:szCs w:val="20"/>
                <w:color w:val="auto"/>
              </w:rPr>
            </w:pPr>
            <w:r>
              <w:rPr>
                <w:rFonts w:ascii="Arial" w:cs="Arial" w:eastAsia="Arial" w:hAnsi="Arial"/>
                <w:sz w:val="16"/>
                <w:szCs w:val="16"/>
                <w:b w:val="1"/>
                <w:bCs w:val="1"/>
                <w:color w:val="auto"/>
                <w:w w:val="97"/>
              </w:rPr>
              <w:t>Elected an</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204"/>
        </w:trPr>
        <w:tc>
          <w:tcPr>
            <w:tcW w:w="9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center"/>
              <w:ind w:right="801"/>
              <w:spacing w:after="0"/>
              <w:rPr>
                <w:sz w:val="20"/>
                <w:szCs w:val="20"/>
                <w:color w:val="auto"/>
              </w:rPr>
            </w:pPr>
            <w:r>
              <w:rPr>
                <w:rFonts w:ascii="Arial" w:cs="Arial" w:eastAsia="Arial" w:hAnsi="Arial"/>
                <w:sz w:val="16"/>
                <w:szCs w:val="16"/>
                <w:b w:val="1"/>
                <w:bCs w:val="1"/>
                <w:color w:val="auto"/>
                <w:w w:val="99"/>
              </w:rPr>
              <w:t>Executive Officer</w:t>
            </w:r>
          </w:p>
        </w:tc>
        <w:tc>
          <w:tcPr>
            <w:tcW w:w="300" w:type="dxa"/>
            <w:vAlign w:val="bottom"/>
          </w:tcPr>
          <w:p>
            <w:pPr>
              <w:spacing w:after="0"/>
              <w:rPr>
                <w:sz w:val="17"/>
                <w:szCs w:val="17"/>
                <w:color w:val="auto"/>
              </w:rPr>
            </w:pPr>
          </w:p>
        </w:tc>
        <w:tc>
          <w:tcPr>
            <w:tcW w:w="728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rPr>
              <w:t>Business Experience</w:t>
            </w:r>
          </w:p>
        </w:tc>
      </w:tr>
      <w:tr>
        <w:trPr>
          <w:trHeight w:val="223"/>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David M. Cote (a), 57</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Chairman of the Board and Chief Executive Officer since July 2002.</w:t>
            </w:r>
          </w:p>
        </w:tc>
      </w:tr>
      <w:tr>
        <w:trPr>
          <w:trHeight w:val="234"/>
        </w:trPr>
        <w:tc>
          <w:tcPr>
            <w:tcW w:w="3840" w:type="dxa"/>
            <w:vAlign w:val="bottom"/>
            <w:gridSpan w:val="2"/>
          </w:tcPr>
          <w:p>
            <w:pPr>
              <w:jc w:val="right"/>
              <w:ind w:right="2181"/>
              <w:spacing w:after="0"/>
              <w:rPr>
                <w:sz w:val="20"/>
                <w:szCs w:val="20"/>
                <w:color w:val="auto"/>
              </w:rPr>
            </w:pPr>
            <w:r>
              <w:rPr>
                <w:rFonts w:ascii="Arial" w:cs="Arial" w:eastAsia="Arial" w:hAnsi="Arial"/>
                <w:sz w:val="19"/>
                <w:szCs w:val="19"/>
                <w:color w:val="auto"/>
              </w:rPr>
              <w:t>2002</w:t>
            </w:r>
          </w:p>
        </w:tc>
        <w:tc>
          <w:tcPr>
            <w:tcW w:w="3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Alexandre Ismail, 44</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President and Chief Executive Officer Transportation Systems since April 2009.</w:t>
            </w:r>
          </w:p>
        </w:tc>
      </w:tr>
      <w:tr>
        <w:trPr>
          <w:trHeight w:val="216"/>
        </w:trPr>
        <w:tc>
          <w:tcPr>
            <w:tcW w:w="3840" w:type="dxa"/>
            <w:vAlign w:val="bottom"/>
            <w:gridSpan w:val="2"/>
          </w:tcPr>
          <w:p>
            <w:pPr>
              <w:jc w:val="right"/>
              <w:ind w:right="2181"/>
              <w:spacing w:after="0" w:line="216" w:lineRule="exact"/>
              <w:rPr>
                <w:sz w:val="20"/>
                <w:szCs w:val="20"/>
                <w:color w:val="auto"/>
              </w:rPr>
            </w:pPr>
            <w:r>
              <w:rPr>
                <w:rFonts w:ascii="Arial" w:cs="Arial" w:eastAsia="Arial" w:hAnsi="Arial"/>
                <w:sz w:val="19"/>
                <w:szCs w:val="19"/>
                <w:color w:val="auto"/>
              </w:rPr>
              <w:t>2009</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President Turbo Technologies from November 2008 to April 2009. President</w:t>
            </w:r>
          </w:p>
        </w:tc>
      </w:tr>
      <w:tr>
        <w:trPr>
          <w:trHeight w:val="216"/>
        </w:trPr>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Global Passengers Vehicles from August 2006 to November 2008. Vice President</w:t>
            </w:r>
          </w:p>
        </w:tc>
      </w:tr>
      <w:tr>
        <w:trPr>
          <w:trHeight w:val="216"/>
        </w:trPr>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and General Manager Turbo Technologies EMEA &amp; India from September 2003 to</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August 2006.</w:t>
            </w: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Roger Fradin, 56</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President and Chief Executive Officer Automation and Control Solutions since</w:t>
            </w:r>
          </w:p>
        </w:tc>
      </w:tr>
      <w:tr>
        <w:trPr>
          <w:trHeight w:val="234"/>
        </w:trPr>
        <w:tc>
          <w:tcPr>
            <w:tcW w:w="3840" w:type="dxa"/>
            <w:vAlign w:val="bottom"/>
            <w:gridSpan w:val="2"/>
          </w:tcPr>
          <w:p>
            <w:pPr>
              <w:jc w:val="right"/>
              <w:ind w:right="2181"/>
              <w:spacing w:after="0"/>
              <w:rPr>
                <w:sz w:val="20"/>
                <w:szCs w:val="20"/>
                <w:color w:val="auto"/>
              </w:rPr>
            </w:pPr>
            <w:r>
              <w:rPr>
                <w:rFonts w:ascii="Arial" w:cs="Arial" w:eastAsia="Arial" w:hAnsi="Arial"/>
                <w:sz w:val="19"/>
                <w:szCs w:val="19"/>
                <w:color w:val="auto"/>
              </w:rPr>
              <w:t>2004</w:t>
            </w: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January 2004.</w:t>
            </w: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Timothy O. Mahoney, 53</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President and Chief Executive Officer Aerospace since September 2009. Vice</w:t>
            </w:r>
          </w:p>
        </w:tc>
      </w:tr>
      <w:tr>
        <w:trPr>
          <w:trHeight w:val="216"/>
        </w:trPr>
        <w:tc>
          <w:tcPr>
            <w:tcW w:w="3840" w:type="dxa"/>
            <w:vAlign w:val="bottom"/>
            <w:gridSpan w:val="2"/>
          </w:tcPr>
          <w:p>
            <w:pPr>
              <w:jc w:val="right"/>
              <w:ind w:right="2181"/>
              <w:spacing w:after="0" w:line="216" w:lineRule="exact"/>
              <w:rPr>
                <w:sz w:val="20"/>
                <w:szCs w:val="20"/>
                <w:color w:val="auto"/>
              </w:rPr>
            </w:pPr>
            <w:r>
              <w:rPr>
                <w:rFonts w:ascii="Arial" w:cs="Arial" w:eastAsia="Arial" w:hAnsi="Arial"/>
                <w:sz w:val="19"/>
                <w:szCs w:val="19"/>
                <w:color w:val="auto"/>
              </w:rPr>
              <w:t>2009</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President Aerospace Engineering and Technology and Chief Technology Officer</w:t>
            </w:r>
          </w:p>
        </w:tc>
      </w:tr>
      <w:tr>
        <w:trPr>
          <w:trHeight w:val="216"/>
        </w:trPr>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from March 2007 to August 2009. President of Air Transport and Regional from</w:t>
            </w:r>
          </w:p>
        </w:tc>
      </w:tr>
      <w:tr>
        <w:trPr>
          <w:trHeight w:val="216"/>
        </w:trPr>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July 2005 to March 2007. Vice President and General Manager Aviation</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Aftermarket Services from July 2004 to July 2005.</w:t>
            </w: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Andreas C. Kramvis, 57</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President and Chief Executive Officer Specialty Materials since March 2008.</w:t>
            </w:r>
          </w:p>
        </w:tc>
      </w:tr>
      <w:tr>
        <w:trPr>
          <w:trHeight w:val="216"/>
        </w:trPr>
        <w:tc>
          <w:tcPr>
            <w:tcW w:w="3840" w:type="dxa"/>
            <w:vAlign w:val="bottom"/>
            <w:gridSpan w:val="2"/>
          </w:tcPr>
          <w:p>
            <w:pPr>
              <w:jc w:val="right"/>
              <w:ind w:right="2181"/>
              <w:spacing w:after="0" w:line="216" w:lineRule="exact"/>
              <w:rPr>
                <w:sz w:val="20"/>
                <w:szCs w:val="20"/>
                <w:color w:val="auto"/>
              </w:rPr>
            </w:pPr>
            <w:r>
              <w:rPr>
                <w:rFonts w:ascii="Arial" w:cs="Arial" w:eastAsia="Arial" w:hAnsi="Arial"/>
                <w:sz w:val="19"/>
                <w:szCs w:val="19"/>
                <w:color w:val="auto"/>
              </w:rPr>
              <w:t>2008</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President of Environmental and Combustion Controls from September 2002 to</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February 2008.</w:t>
            </w: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David J. Anderson, 60</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Senior Vice President and Chief Financial Officer since June 2003.</w:t>
            </w:r>
          </w:p>
        </w:tc>
      </w:tr>
      <w:tr>
        <w:trPr>
          <w:trHeight w:val="234"/>
        </w:trPr>
        <w:tc>
          <w:tcPr>
            <w:tcW w:w="3840" w:type="dxa"/>
            <w:vAlign w:val="bottom"/>
            <w:gridSpan w:val="2"/>
          </w:tcPr>
          <w:p>
            <w:pPr>
              <w:jc w:val="right"/>
              <w:ind w:right="2181"/>
              <w:spacing w:after="0"/>
              <w:rPr>
                <w:sz w:val="20"/>
                <w:szCs w:val="20"/>
                <w:color w:val="auto"/>
              </w:rPr>
            </w:pPr>
            <w:r>
              <w:rPr>
                <w:rFonts w:ascii="Arial" w:cs="Arial" w:eastAsia="Arial" w:hAnsi="Arial"/>
                <w:sz w:val="19"/>
                <w:szCs w:val="19"/>
                <w:color w:val="auto"/>
              </w:rPr>
              <w:t>2003</w:t>
            </w:r>
          </w:p>
        </w:tc>
        <w:tc>
          <w:tcPr>
            <w:tcW w:w="3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Larry E. Kittelberger, 61</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Senior Vice President Technology and Operations since October 2006. Senior Vice</w:t>
            </w:r>
          </w:p>
        </w:tc>
      </w:tr>
      <w:tr>
        <w:trPr>
          <w:trHeight w:val="216"/>
        </w:trPr>
        <w:tc>
          <w:tcPr>
            <w:tcW w:w="3840" w:type="dxa"/>
            <w:vAlign w:val="bottom"/>
            <w:gridSpan w:val="2"/>
          </w:tcPr>
          <w:p>
            <w:pPr>
              <w:jc w:val="right"/>
              <w:ind w:right="2181"/>
              <w:spacing w:after="0" w:line="216" w:lineRule="exact"/>
              <w:rPr>
                <w:sz w:val="20"/>
                <w:szCs w:val="20"/>
                <w:color w:val="auto"/>
              </w:rPr>
            </w:pPr>
            <w:r>
              <w:rPr>
                <w:rFonts w:ascii="Arial" w:cs="Arial" w:eastAsia="Arial" w:hAnsi="Arial"/>
                <w:sz w:val="19"/>
                <w:szCs w:val="19"/>
                <w:color w:val="auto"/>
              </w:rPr>
              <w:t>2001</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President Administration and Chief Information Officer from August 2001 to</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October 2006.</w:t>
            </w: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Katherine L. Adams, 45</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Senior Vice President and General Counsel since April 2009. Vice President and</w:t>
            </w:r>
          </w:p>
        </w:tc>
      </w:tr>
      <w:tr>
        <w:trPr>
          <w:trHeight w:val="216"/>
        </w:trPr>
        <w:tc>
          <w:tcPr>
            <w:tcW w:w="3840" w:type="dxa"/>
            <w:vAlign w:val="bottom"/>
            <w:gridSpan w:val="2"/>
          </w:tcPr>
          <w:p>
            <w:pPr>
              <w:jc w:val="right"/>
              <w:ind w:right="2181"/>
              <w:spacing w:after="0" w:line="216" w:lineRule="exact"/>
              <w:rPr>
                <w:sz w:val="20"/>
                <w:szCs w:val="20"/>
                <w:color w:val="auto"/>
              </w:rPr>
            </w:pPr>
            <w:r>
              <w:rPr>
                <w:rFonts w:ascii="Arial" w:cs="Arial" w:eastAsia="Arial" w:hAnsi="Arial"/>
                <w:sz w:val="19"/>
                <w:szCs w:val="19"/>
                <w:color w:val="auto"/>
              </w:rPr>
              <w:t>2009</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General Counsel from September 2008 to April 2009. Vice President and General</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Counsel for Specialty Materials from February 2005 to September 2008.</w:t>
            </w: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9"/>
                <w:szCs w:val="19"/>
                <w:color w:val="auto"/>
              </w:rPr>
              <w:t>Mark R. James, 48</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Senior Vice President Human Resources and Communications since November</w:t>
            </w:r>
          </w:p>
        </w:tc>
      </w:tr>
      <w:tr>
        <w:trPr>
          <w:trHeight w:val="216"/>
        </w:trPr>
        <w:tc>
          <w:tcPr>
            <w:tcW w:w="3840" w:type="dxa"/>
            <w:vAlign w:val="bottom"/>
            <w:gridSpan w:val="2"/>
          </w:tcPr>
          <w:p>
            <w:pPr>
              <w:jc w:val="right"/>
              <w:ind w:right="2181"/>
              <w:spacing w:after="0" w:line="216" w:lineRule="exact"/>
              <w:rPr>
                <w:sz w:val="20"/>
                <w:szCs w:val="20"/>
                <w:color w:val="auto"/>
              </w:rPr>
            </w:pPr>
            <w:r>
              <w:rPr>
                <w:rFonts w:ascii="Arial" w:cs="Arial" w:eastAsia="Arial" w:hAnsi="Arial"/>
                <w:sz w:val="19"/>
                <w:szCs w:val="19"/>
                <w:color w:val="auto"/>
              </w:rPr>
              <w:t>2007</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2007. Vice President of Human Resources and Communications for Aerospace</w:t>
            </w:r>
          </w:p>
        </w:tc>
      </w:tr>
      <w:tr>
        <w:trPr>
          <w:trHeight w:val="216"/>
        </w:trPr>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from October 2004 to November 2007. Vice President of Human Resources for</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Aerospace Electronic Systems from March 2001 to October 2004.</w:t>
            </w:r>
          </w:p>
        </w:tc>
      </w:tr>
      <w:tr>
        <w:trPr>
          <w:trHeight w:val="465"/>
        </w:trPr>
        <w:tc>
          <w:tcPr>
            <w:tcW w:w="900" w:type="dxa"/>
            <w:vAlign w:val="bottom"/>
            <w:tcBorders>
              <w:bottom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379"/>
        </w:trPr>
        <w:tc>
          <w:tcPr>
            <w:tcW w:w="3840" w:type="dxa"/>
            <w:vAlign w:val="bottom"/>
            <w:gridSpan w:val="2"/>
          </w:tcPr>
          <w:p>
            <w:pPr>
              <w:ind w:left="60"/>
              <w:spacing w:after="0"/>
              <w:rPr>
                <w:sz w:val="20"/>
                <w:szCs w:val="20"/>
                <w:color w:val="auto"/>
              </w:rPr>
            </w:pPr>
            <w:r>
              <w:rPr>
                <w:rFonts w:ascii="Arial" w:cs="Arial" w:eastAsia="Arial" w:hAnsi="Arial"/>
                <w:sz w:val="19"/>
                <w:szCs w:val="19"/>
                <w:color w:val="auto"/>
              </w:rPr>
              <w:t>(a) Also a Director.</w:t>
            </w: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580" w:type="dxa"/>
            <w:vAlign w:val="bottom"/>
            <w:gridSpan w:val="2"/>
          </w:tcPr>
          <w:p>
            <w:pPr>
              <w:jc w:val="right"/>
              <w:ind w:right="5504"/>
              <w:spacing w:after="0"/>
              <w:rPr>
                <w:sz w:val="20"/>
                <w:szCs w:val="20"/>
                <w:color w:val="auto"/>
              </w:rPr>
            </w:pPr>
            <w:r>
              <w:rPr>
                <w:rFonts w:ascii="Arial" w:cs="Arial" w:eastAsia="Arial" w:hAnsi="Arial"/>
                <w:sz w:val="19"/>
                <w:szCs w:val="19"/>
                <w:color w:val="auto"/>
              </w:rPr>
              <w:t>19</w:t>
            </w:r>
          </w:p>
        </w:tc>
      </w:tr>
      <w:tr>
        <w:trPr>
          <w:trHeight w:val="209"/>
        </w:trPr>
        <w:tc>
          <w:tcPr>
            <w:tcW w:w="9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-689610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-689610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2" w:name="page23"/>
    <w:bookmarkEnd w:id="22"/>
    <w:p>
      <w:pPr>
        <w:ind w:left="5360"/>
        <w:spacing w:after="0"/>
        <w:rPr>
          <w:sz w:val="20"/>
          <w:szCs w:val="20"/>
          <w:color w:val="auto"/>
        </w:rPr>
      </w:pPr>
      <w:r>
        <w:rPr>
          <w:rFonts w:ascii="Arial" w:cs="Arial" w:eastAsia="Arial" w:hAnsi="Arial"/>
          <w:sz w:val="23"/>
          <w:szCs w:val="23"/>
          <w:b w:val="1"/>
          <w:bCs w:val="1"/>
          <w:color w:val="auto"/>
        </w:rPr>
        <w:t>Part II.</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5. Market for Registrant’s Common Equity, Related Stockholder</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23"/>
          <w:szCs w:val="23"/>
          <w:b w:val="1"/>
          <w:bCs w:val="1"/>
          <w:color w:val="auto"/>
        </w:rPr>
        <w:t>Matters and Issuer Purchases of Equity Securities</w:t>
      </w:r>
    </w:p>
    <w:p>
      <w:pPr>
        <w:spacing w:after="0" w:line="119" w:lineRule="exact"/>
        <w:rPr>
          <w:sz w:val="20"/>
          <w:szCs w:val="20"/>
          <w:color w:val="auto"/>
        </w:rPr>
      </w:pPr>
    </w:p>
    <w:p>
      <w:pPr>
        <w:ind w:right="120" w:firstLine="357"/>
        <w:spacing w:after="0" w:line="253" w:lineRule="auto"/>
        <w:rPr>
          <w:sz w:val="20"/>
          <w:szCs w:val="20"/>
          <w:color w:val="auto"/>
        </w:rPr>
      </w:pPr>
      <w:r>
        <w:rPr>
          <w:rFonts w:ascii="Arial" w:cs="Arial" w:eastAsia="Arial" w:hAnsi="Arial"/>
          <w:sz w:val="19"/>
          <w:szCs w:val="19"/>
          <w:color w:val="auto"/>
        </w:rPr>
        <w:t>Market and dividend information for Honeywell’s common stock is included in Note 26 of Notes to Financial Statements in “Item 8. Financial Statements and Supplementary Data.”</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number of record holders of our common stock at December 31, 2009 was 64,617.</w:t>
      </w:r>
    </w:p>
    <w:p>
      <w:pPr>
        <w:spacing w:after="0" w:line="106"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Honeywell did not purchase any of its common stock, par value $1 per share, for the year ending December 31, 2009. Under the Company’s previously reported $3.0 billion share repurchase program, $1.3 billion remained available as of December 31, 2009 for additional share repurchases. The amount and timing of future repurchases may vary depending on market conditions and the level of operating and other investing activities.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 w:right="279"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19"/>
          <w:szCs w:val="19"/>
          <w:b w:val="1"/>
          <w:bCs w:val="1"/>
          <w:color w:val="auto"/>
        </w:rPr>
        <w:t>Performance Graph</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The following graph compares the five-year cumulative total return on our Common Stock to the total returns on the Standard &amp; Poor’s 500 Stock Index and a composite of Standard &amp; Poor’s Aerospace and Defense and Industrial Conglomerates indices, on an equally weighted basis (the “Composite Index”). The selection and weighting of the Aerospace and Defense component of the Composite Index was deemed appropriate in light of the fact that Honeywell’s Aerospace segment has accounted for, on average, approximately 50% of our aggregate segment profit over the past three completed fiscal years. The selection and weighting of the Industrial Conglomerates component of the Composite Index reflects the diverse and distinct range of non-aerospace businesses conducted by Honeywell and their contribution to our overall segment profits. The annual changes for the five-year period shown in the graph are based on the assumption that $100 had been invested in Honeywell stock and each index on December 31, 2004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128905</wp:posOffset>
            </wp:positionV>
            <wp:extent cx="5419725" cy="3378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1972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3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Selected Financial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6"/>
                <w:szCs w:val="16"/>
                <w:b w:val="1"/>
                <w:bCs w:val="1"/>
                <w:color w:val="auto"/>
                <w:w w:val="98"/>
              </w:rPr>
              <w:t>Years Ended December 31,</w:t>
            </w:r>
          </w:p>
        </w:tc>
        <w:tc>
          <w:tcPr>
            <w:tcW w:w="920" w:type="dxa"/>
            <w:vAlign w:val="bottom"/>
            <w:tcBorders>
              <w:bottom w:val="single" w:sz="8" w:color="auto"/>
            </w:tcBorders>
          </w:tcPr>
          <w:p>
            <w:pPr>
              <w:spacing w:after="0"/>
              <w:rPr>
                <w:sz w:val="17"/>
                <w:szCs w:val="17"/>
                <w:color w:val="auto"/>
              </w:rPr>
            </w:pPr>
          </w:p>
        </w:tc>
      </w:tr>
      <w:tr>
        <w:trPr>
          <w:trHeight w:val="250"/>
        </w:trPr>
        <w:tc>
          <w:tcPr>
            <w:tcW w:w="9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92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2007</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2006</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2005</w:t>
            </w:r>
          </w:p>
        </w:tc>
      </w:tr>
      <w:tr>
        <w:trPr>
          <w:trHeight w:val="264"/>
        </w:trPr>
        <w:tc>
          <w:tcPr>
            <w:tcW w:w="90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940" w:type="dxa"/>
            <w:vAlign w:val="bottom"/>
            <w:gridSpan w:val="7"/>
          </w:tcPr>
          <w:p>
            <w:pPr>
              <w:jc w:val="center"/>
              <w:spacing w:after="0"/>
              <w:rPr>
                <w:sz w:val="20"/>
                <w:szCs w:val="20"/>
                <w:color w:val="auto"/>
              </w:rPr>
            </w:pPr>
            <w:r>
              <w:rPr>
                <w:rFonts w:ascii="Arial" w:cs="Arial" w:eastAsia="Arial" w:hAnsi="Arial"/>
                <w:sz w:val="16"/>
                <w:szCs w:val="16"/>
                <w:b w:val="1"/>
                <w:bCs w:val="1"/>
                <w:color w:val="auto"/>
                <w:w w:val="98"/>
              </w:rPr>
              <w:t>(Dollars in millions, except per share amounts)</w:t>
            </w:r>
          </w:p>
        </w:tc>
        <w:tc>
          <w:tcPr>
            <w:tcW w:w="920" w:type="dxa"/>
            <w:vAlign w:val="bottom"/>
          </w:tcPr>
          <w:p>
            <w:pPr>
              <w:spacing w:after="0"/>
              <w:rPr>
                <w:sz w:val="22"/>
                <w:szCs w:val="22"/>
                <w:color w:val="auto"/>
              </w:rPr>
            </w:pPr>
          </w:p>
        </w:tc>
      </w:tr>
      <w:tr>
        <w:trPr>
          <w:trHeight w:val="243"/>
        </w:trPr>
        <w:tc>
          <w:tcPr>
            <w:tcW w:w="564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Results of Operations</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70"/>
        </w:trPr>
        <w:tc>
          <w:tcPr>
            <w:tcW w:w="5640" w:type="dxa"/>
            <w:vAlign w:val="bottom"/>
            <w:gridSpan w:val="2"/>
          </w:tcPr>
          <w:p>
            <w:pPr>
              <w:ind w:left="20"/>
              <w:spacing w:after="0"/>
              <w:rPr>
                <w:sz w:val="20"/>
                <w:szCs w:val="20"/>
                <w:color w:val="auto"/>
              </w:rPr>
            </w:pPr>
            <w:r>
              <w:rPr>
                <w:rFonts w:ascii="Arial" w:cs="Arial" w:eastAsia="Arial" w:hAnsi="Arial"/>
                <w:sz w:val="19"/>
                <w:szCs w:val="19"/>
                <w:color w:val="auto"/>
              </w:rPr>
              <w:t>Net sales</w:t>
            </w: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$ 30,908</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$ 36,556</w:t>
            </w:r>
          </w:p>
        </w:tc>
        <w:tc>
          <w:tcPr>
            <w:tcW w:w="1200" w:type="dxa"/>
            <w:vAlign w:val="bottom"/>
            <w:gridSpan w:val="2"/>
          </w:tcPr>
          <w:p>
            <w:pPr>
              <w:jc w:val="right"/>
              <w:ind w:right="1"/>
              <w:spacing w:after="0"/>
              <w:rPr>
                <w:sz w:val="20"/>
                <w:szCs w:val="20"/>
                <w:color w:val="auto"/>
              </w:rPr>
            </w:pPr>
            <w:r>
              <w:rPr>
                <w:rFonts w:ascii="Arial" w:cs="Arial" w:eastAsia="Arial" w:hAnsi="Arial"/>
                <w:sz w:val="19"/>
                <w:szCs w:val="19"/>
                <w:color w:val="auto"/>
              </w:rPr>
              <w:t>$ 34,589</w:t>
            </w:r>
          </w:p>
        </w:tc>
        <w:tc>
          <w:tcPr>
            <w:tcW w:w="1220" w:type="dxa"/>
            <w:vAlign w:val="bottom"/>
            <w:gridSpan w:val="2"/>
          </w:tcPr>
          <w:p>
            <w:pPr>
              <w:jc w:val="right"/>
              <w:ind w:right="1"/>
              <w:spacing w:after="0"/>
              <w:rPr>
                <w:sz w:val="20"/>
                <w:szCs w:val="20"/>
                <w:color w:val="auto"/>
              </w:rPr>
            </w:pPr>
            <w:r>
              <w:rPr>
                <w:rFonts w:ascii="Arial" w:cs="Arial" w:eastAsia="Arial" w:hAnsi="Arial"/>
                <w:sz w:val="19"/>
                <w:szCs w:val="19"/>
                <w:color w:val="auto"/>
              </w:rPr>
              <w:t>$ 31,367</w:t>
            </w:r>
          </w:p>
        </w:tc>
        <w:tc>
          <w:tcPr>
            <w:tcW w:w="300" w:type="dxa"/>
            <w:vAlign w:val="bottom"/>
          </w:tcPr>
          <w:p>
            <w:pPr>
              <w:spacing w:after="0"/>
              <w:rPr>
                <w:sz w:val="23"/>
                <w:szCs w:val="23"/>
                <w:color w:val="auto"/>
              </w:rPr>
            </w:pP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$ 27,652</w:t>
            </w:r>
          </w:p>
        </w:tc>
      </w:tr>
      <w:tr>
        <w:trPr>
          <w:trHeight w:val="270"/>
        </w:trPr>
        <w:tc>
          <w:tcPr>
            <w:tcW w:w="56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income attributable to Honeywell</w:t>
            </w: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2,153</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2,792</w:t>
            </w:r>
          </w:p>
        </w:tc>
        <w:tc>
          <w:tcPr>
            <w:tcW w:w="12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2,444</w:t>
            </w:r>
          </w:p>
        </w:tc>
        <w:tc>
          <w:tcPr>
            <w:tcW w:w="12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2,078</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1,564</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9"/>
                <w:szCs w:val="19"/>
                <w:b w:val="1"/>
                <w:bCs w:val="1"/>
                <w:color w:val="auto"/>
              </w:rPr>
              <w:t>Per Common Share</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6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Earnings from continuing operations:</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70"/>
        </w:trPr>
        <w:tc>
          <w:tcPr>
            <w:tcW w:w="5640" w:type="dxa"/>
            <w:vAlign w:val="bottom"/>
            <w:gridSpan w:val="2"/>
          </w:tcPr>
          <w:p>
            <w:pPr>
              <w:ind w:left="380"/>
              <w:spacing w:after="0"/>
              <w:rPr>
                <w:sz w:val="20"/>
                <w:szCs w:val="20"/>
                <w:color w:val="auto"/>
              </w:rPr>
            </w:pPr>
            <w:r>
              <w:rPr>
                <w:rFonts w:ascii="Arial" w:cs="Arial" w:eastAsia="Arial" w:hAnsi="Arial"/>
                <w:sz w:val="19"/>
                <w:szCs w:val="19"/>
                <w:color w:val="auto"/>
              </w:rPr>
              <w:t>Basic</w:t>
            </w: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2.86</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3.79</w:t>
            </w:r>
          </w:p>
        </w:tc>
        <w:tc>
          <w:tcPr>
            <w:tcW w:w="1200" w:type="dxa"/>
            <w:vAlign w:val="bottom"/>
            <w:gridSpan w:val="2"/>
          </w:tcPr>
          <w:p>
            <w:pPr>
              <w:jc w:val="right"/>
              <w:ind w:right="1"/>
              <w:spacing w:after="0"/>
              <w:rPr>
                <w:sz w:val="20"/>
                <w:szCs w:val="20"/>
                <w:color w:val="auto"/>
              </w:rPr>
            </w:pPr>
            <w:r>
              <w:rPr>
                <w:rFonts w:ascii="Arial" w:cs="Arial" w:eastAsia="Arial" w:hAnsi="Arial"/>
                <w:sz w:val="19"/>
                <w:szCs w:val="19"/>
                <w:color w:val="auto"/>
              </w:rPr>
              <w:t>3.20</w:t>
            </w:r>
          </w:p>
        </w:tc>
        <w:tc>
          <w:tcPr>
            <w:tcW w:w="1220" w:type="dxa"/>
            <w:vAlign w:val="bottom"/>
            <w:gridSpan w:val="2"/>
          </w:tcPr>
          <w:p>
            <w:pPr>
              <w:jc w:val="right"/>
              <w:ind w:right="1"/>
              <w:spacing w:after="0"/>
              <w:rPr>
                <w:sz w:val="20"/>
                <w:szCs w:val="20"/>
                <w:color w:val="auto"/>
              </w:rPr>
            </w:pPr>
            <w:r>
              <w:rPr>
                <w:rFonts w:ascii="Arial" w:cs="Arial" w:eastAsia="Arial" w:hAnsi="Arial"/>
                <w:sz w:val="19"/>
                <w:szCs w:val="19"/>
                <w:color w:val="auto"/>
              </w:rPr>
              <w:t>2.53</w:t>
            </w:r>
          </w:p>
        </w:tc>
        <w:tc>
          <w:tcPr>
            <w:tcW w:w="300" w:type="dxa"/>
            <w:vAlign w:val="bottom"/>
          </w:tcPr>
          <w:p>
            <w:pPr>
              <w:spacing w:after="0"/>
              <w:rPr>
                <w:sz w:val="23"/>
                <w:szCs w:val="23"/>
                <w:color w:val="auto"/>
              </w:rPr>
            </w:pP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1.85</w:t>
            </w:r>
          </w:p>
        </w:tc>
      </w:tr>
      <w:tr>
        <w:trPr>
          <w:trHeight w:val="270"/>
        </w:trPr>
        <w:tc>
          <w:tcPr>
            <w:tcW w:w="56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Assuming dilution</w:t>
            </w: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2.85</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3.76</w:t>
            </w:r>
          </w:p>
        </w:tc>
        <w:tc>
          <w:tcPr>
            <w:tcW w:w="12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3.16</w:t>
            </w:r>
          </w:p>
        </w:tc>
        <w:tc>
          <w:tcPr>
            <w:tcW w:w="12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2.51</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1.84</w:t>
            </w:r>
          </w:p>
        </w:tc>
      </w:tr>
      <w:tr>
        <w:trPr>
          <w:trHeight w:val="270"/>
        </w:trPr>
        <w:tc>
          <w:tcPr>
            <w:tcW w:w="5640" w:type="dxa"/>
            <w:vAlign w:val="bottom"/>
            <w:gridSpan w:val="2"/>
          </w:tcPr>
          <w:p>
            <w:pPr>
              <w:ind w:left="20"/>
              <w:spacing w:after="0"/>
              <w:rPr>
                <w:sz w:val="20"/>
                <w:szCs w:val="20"/>
                <w:color w:val="auto"/>
              </w:rPr>
            </w:pPr>
            <w:r>
              <w:rPr>
                <w:rFonts w:ascii="Arial" w:cs="Arial" w:eastAsia="Arial" w:hAnsi="Arial"/>
                <w:sz w:val="19"/>
                <w:szCs w:val="19"/>
                <w:color w:val="auto"/>
              </w:rPr>
              <w:t>Dividends</w:t>
            </w: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1.21</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1.10</w:t>
            </w:r>
          </w:p>
        </w:tc>
        <w:tc>
          <w:tcPr>
            <w:tcW w:w="1200" w:type="dxa"/>
            <w:vAlign w:val="bottom"/>
            <w:gridSpan w:val="2"/>
          </w:tcPr>
          <w:p>
            <w:pPr>
              <w:jc w:val="right"/>
              <w:ind w:right="1"/>
              <w:spacing w:after="0"/>
              <w:rPr>
                <w:sz w:val="20"/>
                <w:szCs w:val="20"/>
                <w:color w:val="auto"/>
              </w:rPr>
            </w:pPr>
            <w:r>
              <w:rPr>
                <w:rFonts w:ascii="Arial" w:cs="Arial" w:eastAsia="Arial" w:hAnsi="Arial"/>
                <w:sz w:val="19"/>
                <w:szCs w:val="19"/>
                <w:color w:val="auto"/>
              </w:rPr>
              <w:t>1.00</w:t>
            </w:r>
          </w:p>
        </w:tc>
        <w:tc>
          <w:tcPr>
            <w:tcW w:w="1220" w:type="dxa"/>
            <w:vAlign w:val="bottom"/>
            <w:gridSpan w:val="2"/>
          </w:tcPr>
          <w:p>
            <w:pPr>
              <w:jc w:val="right"/>
              <w:ind w:right="1"/>
              <w:spacing w:after="0"/>
              <w:rPr>
                <w:sz w:val="20"/>
                <w:szCs w:val="20"/>
                <w:color w:val="auto"/>
              </w:rPr>
            </w:pPr>
            <w:r>
              <w:rPr>
                <w:rFonts w:ascii="Arial" w:cs="Arial" w:eastAsia="Arial" w:hAnsi="Arial"/>
                <w:sz w:val="19"/>
                <w:szCs w:val="19"/>
                <w:color w:val="auto"/>
              </w:rPr>
              <w:t>0.9075</w:t>
            </w:r>
          </w:p>
        </w:tc>
        <w:tc>
          <w:tcPr>
            <w:tcW w:w="300" w:type="dxa"/>
            <w:vAlign w:val="bottom"/>
          </w:tcPr>
          <w:p>
            <w:pPr>
              <w:spacing w:after="0"/>
              <w:rPr>
                <w:sz w:val="23"/>
                <w:szCs w:val="23"/>
                <w:color w:val="auto"/>
              </w:rPr>
            </w:pP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0.825</w:t>
            </w:r>
          </w:p>
        </w:tc>
      </w:tr>
      <w:tr>
        <w:trPr>
          <w:trHeight w:val="243"/>
        </w:trPr>
        <w:tc>
          <w:tcPr>
            <w:tcW w:w="564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Financial Position at Year-End</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70"/>
        </w:trPr>
        <w:tc>
          <w:tcPr>
            <w:tcW w:w="5640" w:type="dxa"/>
            <w:vAlign w:val="bottom"/>
            <w:gridSpan w:val="2"/>
          </w:tcPr>
          <w:p>
            <w:pPr>
              <w:ind w:left="20"/>
              <w:spacing w:after="0"/>
              <w:rPr>
                <w:sz w:val="20"/>
                <w:szCs w:val="20"/>
                <w:color w:val="auto"/>
              </w:rPr>
            </w:pPr>
            <w:r>
              <w:rPr>
                <w:rFonts w:ascii="Arial" w:cs="Arial" w:eastAsia="Arial" w:hAnsi="Arial"/>
                <w:sz w:val="19"/>
                <w:szCs w:val="19"/>
                <w:color w:val="auto"/>
              </w:rPr>
              <w:t>Property, plant and equipment—net</w:t>
            </w: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4,847</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4,934</w:t>
            </w:r>
          </w:p>
        </w:tc>
        <w:tc>
          <w:tcPr>
            <w:tcW w:w="1200" w:type="dxa"/>
            <w:vAlign w:val="bottom"/>
            <w:gridSpan w:val="2"/>
          </w:tcPr>
          <w:p>
            <w:pPr>
              <w:jc w:val="right"/>
              <w:ind w:right="1"/>
              <w:spacing w:after="0"/>
              <w:rPr>
                <w:sz w:val="20"/>
                <w:szCs w:val="20"/>
                <w:color w:val="auto"/>
              </w:rPr>
            </w:pPr>
            <w:r>
              <w:rPr>
                <w:rFonts w:ascii="Arial" w:cs="Arial" w:eastAsia="Arial" w:hAnsi="Arial"/>
                <w:sz w:val="19"/>
                <w:szCs w:val="19"/>
                <w:color w:val="auto"/>
              </w:rPr>
              <w:t>4,985</w:t>
            </w:r>
          </w:p>
        </w:tc>
        <w:tc>
          <w:tcPr>
            <w:tcW w:w="1220" w:type="dxa"/>
            <w:vAlign w:val="bottom"/>
            <w:gridSpan w:val="2"/>
          </w:tcPr>
          <w:p>
            <w:pPr>
              <w:jc w:val="right"/>
              <w:ind w:right="1"/>
              <w:spacing w:after="0"/>
              <w:rPr>
                <w:sz w:val="20"/>
                <w:szCs w:val="20"/>
                <w:color w:val="auto"/>
              </w:rPr>
            </w:pPr>
            <w:r>
              <w:rPr>
                <w:rFonts w:ascii="Arial" w:cs="Arial" w:eastAsia="Arial" w:hAnsi="Arial"/>
                <w:sz w:val="19"/>
                <w:szCs w:val="19"/>
                <w:color w:val="auto"/>
              </w:rPr>
              <w:t>4,797</w:t>
            </w:r>
          </w:p>
        </w:tc>
        <w:tc>
          <w:tcPr>
            <w:tcW w:w="300" w:type="dxa"/>
            <w:vAlign w:val="bottom"/>
          </w:tcPr>
          <w:p>
            <w:pPr>
              <w:spacing w:after="0"/>
              <w:rPr>
                <w:sz w:val="23"/>
                <w:szCs w:val="23"/>
                <w:color w:val="auto"/>
              </w:rPr>
            </w:pP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4,658</w:t>
            </w:r>
          </w:p>
        </w:tc>
      </w:tr>
      <w:tr>
        <w:trPr>
          <w:trHeight w:val="270"/>
        </w:trPr>
        <w:tc>
          <w:tcPr>
            <w:tcW w:w="56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assets</w:t>
            </w: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36,004</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35,490</w:t>
            </w:r>
          </w:p>
        </w:tc>
        <w:tc>
          <w:tcPr>
            <w:tcW w:w="12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33,805</w:t>
            </w:r>
          </w:p>
        </w:tc>
        <w:tc>
          <w:tcPr>
            <w:tcW w:w="12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30,941</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31,633</w:t>
            </w:r>
          </w:p>
        </w:tc>
      </w:tr>
      <w:tr>
        <w:trPr>
          <w:trHeight w:val="270"/>
        </w:trPr>
        <w:tc>
          <w:tcPr>
            <w:tcW w:w="5640" w:type="dxa"/>
            <w:vAlign w:val="bottom"/>
            <w:gridSpan w:val="2"/>
          </w:tcPr>
          <w:p>
            <w:pPr>
              <w:ind w:left="20"/>
              <w:spacing w:after="0"/>
              <w:rPr>
                <w:sz w:val="20"/>
                <w:szCs w:val="20"/>
                <w:color w:val="auto"/>
              </w:rPr>
            </w:pPr>
            <w:r>
              <w:rPr>
                <w:rFonts w:ascii="Arial" w:cs="Arial" w:eastAsia="Arial" w:hAnsi="Arial"/>
                <w:sz w:val="19"/>
                <w:szCs w:val="19"/>
                <w:color w:val="auto"/>
              </w:rPr>
              <w:t>Short-term debt</w:t>
            </w: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1,361</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2,510</w:t>
            </w:r>
          </w:p>
        </w:tc>
        <w:tc>
          <w:tcPr>
            <w:tcW w:w="1200" w:type="dxa"/>
            <w:vAlign w:val="bottom"/>
            <w:gridSpan w:val="2"/>
          </w:tcPr>
          <w:p>
            <w:pPr>
              <w:jc w:val="right"/>
              <w:ind w:right="1"/>
              <w:spacing w:after="0"/>
              <w:rPr>
                <w:sz w:val="20"/>
                <w:szCs w:val="20"/>
                <w:color w:val="auto"/>
              </w:rPr>
            </w:pPr>
            <w:r>
              <w:rPr>
                <w:rFonts w:ascii="Arial" w:cs="Arial" w:eastAsia="Arial" w:hAnsi="Arial"/>
                <w:sz w:val="19"/>
                <w:szCs w:val="19"/>
                <w:color w:val="auto"/>
              </w:rPr>
              <w:t>2,238</w:t>
            </w:r>
          </w:p>
        </w:tc>
        <w:tc>
          <w:tcPr>
            <w:tcW w:w="1220" w:type="dxa"/>
            <w:vAlign w:val="bottom"/>
            <w:gridSpan w:val="2"/>
          </w:tcPr>
          <w:p>
            <w:pPr>
              <w:jc w:val="right"/>
              <w:ind w:right="1"/>
              <w:spacing w:after="0"/>
              <w:rPr>
                <w:sz w:val="20"/>
                <w:szCs w:val="20"/>
                <w:color w:val="auto"/>
              </w:rPr>
            </w:pPr>
            <w:r>
              <w:rPr>
                <w:rFonts w:ascii="Arial" w:cs="Arial" w:eastAsia="Arial" w:hAnsi="Arial"/>
                <w:sz w:val="19"/>
                <w:szCs w:val="19"/>
                <w:color w:val="auto"/>
              </w:rPr>
              <w:t>1,154</w:t>
            </w:r>
          </w:p>
        </w:tc>
        <w:tc>
          <w:tcPr>
            <w:tcW w:w="300" w:type="dxa"/>
            <w:vAlign w:val="bottom"/>
          </w:tcPr>
          <w:p>
            <w:pPr>
              <w:spacing w:after="0"/>
              <w:rPr>
                <w:sz w:val="23"/>
                <w:szCs w:val="23"/>
                <w:color w:val="auto"/>
              </w:rPr>
            </w:pP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2,024</w:t>
            </w:r>
          </w:p>
        </w:tc>
      </w:tr>
      <w:tr>
        <w:trPr>
          <w:trHeight w:val="270"/>
        </w:trPr>
        <w:tc>
          <w:tcPr>
            <w:tcW w:w="56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Long-term debt</w:t>
            </w: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6,246</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5,865</w:t>
            </w:r>
          </w:p>
        </w:tc>
        <w:tc>
          <w:tcPr>
            <w:tcW w:w="12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5,419</w:t>
            </w:r>
          </w:p>
        </w:tc>
        <w:tc>
          <w:tcPr>
            <w:tcW w:w="12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3,909</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3,082</w:t>
            </w:r>
          </w:p>
        </w:tc>
      </w:tr>
      <w:tr>
        <w:trPr>
          <w:trHeight w:val="270"/>
        </w:trPr>
        <w:tc>
          <w:tcPr>
            <w:tcW w:w="5640" w:type="dxa"/>
            <w:vAlign w:val="bottom"/>
            <w:gridSpan w:val="2"/>
          </w:tcPr>
          <w:p>
            <w:pPr>
              <w:ind w:left="20"/>
              <w:spacing w:after="0"/>
              <w:rPr>
                <w:sz w:val="20"/>
                <w:szCs w:val="20"/>
                <w:color w:val="auto"/>
              </w:rPr>
            </w:pPr>
            <w:r>
              <w:rPr>
                <w:rFonts w:ascii="Arial" w:cs="Arial" w:eastAsia="Arial" w:hAnsi="Arial"/>
                <w:sz w:val="19"/>
                <w:szCs w:val="19"/>
                <w:color w:val="auto"/>
              </w:rPr>
              <w:t>Total debt</w:t>
            </w: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7,607</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8,375</w:t>
            </w:r>
          </w:p>
        </w:tc>
        <w:tc>
          <w:tcPr>
            <w:tcW w:w="1200" w:type="dxa"/>
            <w:vAlign w:val="bottom"/>
            <w:gridSpan w:val="2"/>
          </w:tcPr>
          <w:p>
            <w:pPr>
              <w:jc w:val="right"/>
              <w:ind w:right="1"/>
              <w:spacing w:after="0"/>
              <w:rPr>
                <w:sz w:val="20"/>
                <w:szCs w:val="20"/>
                <w:color w:val="auto"/>
              </w:rPr>
            </w:pPr>
            <w:r>
              <w:rPr>
                <w:rFonts w:ascii="Arial" w:cs="Arial" w:eastAsia="Arial" w:hAnsi="Arial"/>
                <w:sz w:val="19"/>
                <w:szCs w:val="19"/>
                <w:color w:val="auto"/>
              </w:rPr>
              <w:t>7,657</w:t>
            </w:r>
          </w:p>
        </w:tc>
        <w:tc>
          <w:tcPr>
            <w:tcW w:w="1220" w:type="dxa"/>
            <w:vAlign w:val="bottom"/>
            <w:gridSpan w:val="2"/>
          </w:tcPr>
          <w:p>
            <w:pPr>
              <w:jc w:val="right"/>
              <w:ind w:right="1"/>
              <w:spacing w:after="0"/>
              <w:rPr>
                <w:sz w:val="20"/>
                <w:szCs w:val="20"/>
                <w:color w:val="auto"/>
              </w:rPr>
            </w:pPr>
            <w:r>
              <w:rPr>
                <w:rFonts w:ascii="Arial" w:cs="Arial" w:eastAsia="Arial" w:hAnsi="Arial"/>
                <w:sz w:val="19"/>
                <w:szCs w:val="19"/>
                <w:color w:val="auto"/>
              </w:rPr>
              <w:t>5,063</w:t>
            </w:r>
          </w:p>
        </w:tc>
        <w:tc>
          <w:tcPr>
            <w:tcW w:w="300" w:type="dxa"/>
            <w:vAlign w:val="bottom"/>
          </w:tcPr>
          <w:p>
            <w:pPr>
              <w:spacing w:after="0"/>
              <w:rPr>
                <w:sz w:val="23"/>
                <w:szCs w:val="23"/>
                <w:color w:val="auto"/>
              </w:rPr>
            </w:pP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5,106</w:t>
            </w:r>
          </w:p>
        </w:tc>
      </w:tr>
      <w:tr>
        <w:trPr>
          <w:trHeight w:val="270"/>
        </w:trPr>
        <w:tc>
          <w:tcPr>
            <w:tcW w:w="56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Shareowners’ equity(1)</w:t>
            </w: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8,954</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7,269</w:t>
            </w:r>
          </w:p>
        </w:tc>
        <w:tc>
          <w:tcPr>
            <w:tcW w:w="12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9,293</w:t>
            </w:r>
          </w:p>
        </w:tc>
        <w:tc>
          <w:tcPr>
            <w:tcW w:w="12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9,777</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10,806</w:t>
            </w:r>
          </w:p>
        </w:tc>
      </w:tr>
      <w:tr>
        <w:trPr>
          <w:trHeight w:val="226"/>
        </w:trPr>
        <w:tc>
          <w:tcPr>
            <w:tcW w:w="900" w:type="dxa"/>
            <w:vAlign w:val="bottom"/>
            <w:tcBorders>
              <w:bottom w:val="single" w:sz="8" w:color="auto"/>
            </w:tcBorders>
          </w:tcPr>
          <w:p>
            <w:pPr>
              <w:spacing w:after="0"/>
              <w:rPr>
                <w:sz w:val="19"/>
                <w:szCs w:val="19"/>
                <w:color w:val="auto"/>
              </w:rPr>
            </w:pPr>
          </w:p>
        </w:tc>
        <w:tc>
          <w:tcPr>
            <w:tcW w:w="4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right="320" w:hanging="332"/>
        <w:spacing w:after="0" w:line="253" w:lineRule="auto"/>
        <w:tabs>
          <w:tab w:leader="none" w:pos="400" w:val="left"/>
        </w:tabs>
        <w:numPr>
          <w:ilvl w:val="0"/>
          <w:numId w:val="1"/>
        </w:numPr>
        <w:rPr>
          <w:rFonts w:ascii="Arial" w:cs="Arial" w:eastAsia="Arial" w:hAnsi="Arial"/>
          <w:sz w:val="19"/>
          <w:szCs w:val="19"/>
          <w:color w:val="auto"/>
        </w:rPr>
      </w:pPr>
      <w:r>
        <w:rPr>
          <w:rFonts w:ascii="Arial" w:cs="Arial" w:eastAsia="Arial" w:hAnsi="Arial"/>
          <w:sz w:val="19"/>
          <w:szCs w:val="19"/>
          <w:color w:val="auto"/>
        </w:rPr>
        <w:t>For the year ended December 31, 2006 shareowners’ equity includes a reduction of $1,512 related to the adoption of revised accounting guidance for “Employers’ Accounting for Defined Benefit Pension and Other Postretirement Plans”.</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23"/>
          <w:szCs w:val="23"/>
          <w:b w:val="1"/>
          <w:bCs w:val="1"/>
          <w:color w:val="auto"/>
        </w:rPr>
        <w:t>Results of Operations</w:t>
      </w:r>
    </w:p>
    <w:p>
      <w:pPr>
        <w:spacing w:after="0" w:line="119"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(“MD&amp;A”) is intended to help the reader understand the results of operations and financial condition of Honeywell International Inc. (“Honeywell”) for the three years ended December 31, 2009. All references to Notes relate to Notes to the Financial Statements in “Item 8—Financial Statements and Supplementary Data”.</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RESULTS OF OPERATIONS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Net Sales</w:t>
      </w:r>
    </w:p>
    <w:p>
      <w:pPr>
        <w:spacing w:after="0" w:line="345"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4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180" w:type="dxa"/>
            <w:vAlign w:val="bottom"/>
            <w:tcBorders>
              <w:bottom w:val="single" w:sz="8" w:color="auto"/>
            </w:tcBorders>
          </w:tcPr>
          <w:p>
            <w:pPr>
              <w:jc w:val="right"/>
              <w:ind w:right="329"/>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100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2007</w:t>
            </w:r>
          </w:p>
        </w:tc>
      </w:tr>
      <w:tr>
        <w:trPr>
          <w:trHeight w:val="264"/>
        </w:trPr>
        <w:tc>
          <w:tcPr>
            <w:tcW w:w="14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72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9"/>
              </w:rPr>
              <w:t>(Dollars in millions)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0"/>
        </w:trPr>
        <w:tc>
          <w:tcPr>
            <w:tcW w:w="140" w:type="dxa"/>
            <w:vAlign w:val="bottom"/>
          </w:tcPr>
          <w:p>
            <w:pPr>
              <w:spacing w:after="0"/>
              <w:rPr>
                <w:sz w:val="23"/>
                <w:szCs w:val="23"/>
                <w:color w:val="auto"/>
              </w:rPr>
            </w:pPr>
          </w:p>
        </w:tc>
        <w:tc>
          <w:tcPr>
            <w:tcW w:w="6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1180" w:type="dxa"/>
            <w:vAlign w:val="bottom"/>
            <w:shd w:val="clear" w:color="auto" w:fill="E5FFFF"/>
          </w:tcPr>
          <w:p>
            <w:pPr>
              <w:jc w:val="right"/>
              <w:ind w:right="249"/>
              <w:spacing w:after="0"/>
              <w:rPr>
                <w:sz w:val="20"/>
                <w:szCs w:val="20"/>
                <w:color w:val="auto"/>
              </w:rPr>
            </w:pPr>
            <w:r>
              <w:rPr>
                <w:rFonts w:ascii="Arial" w:cs="Arial" w:eastAsia="Arial" w:hAnsi="Arial"/>
                <w:sz w:val="19"/>
                <w:szCs w:val="19"/>
                <w:color w:val="auto"/>
              </w:rPr>
              <w:t>$ 30,908</w:t>
            </w:r>
          </w:p>
        </w:tc>
        <w:tc>
          <w:tcPr>
            <w:tcW w:w="1420" w:type="dxa"/>
            <w:vAlign w:val="bottom"/>
            <w:gridSpan w:val="3"/>
            <w:shd w:val="clear" w:color="auto" w:fill="E5FFFF"/>
          </w:tcPr>
          <w:p>
            <w:pPr>
              <w:jc w:val="right"/>
              <w:ind w:right="195"/>
              <w:spacing w:after="0"/>
              <w:rPr>
                <w:sz w:val="20"/>
                <w:szCs w:val="20"/>
                <w:color w:val="auto"/>
              </w:rPr>
            </w:pPr>
            <w:r>
              <w:rPr>
                <w:rFonts w:ascii="Arial" w:cs="Arial" w:eastAsia="Arial" w:hAnsi="Arial"/>
                <w:sz w:val="19"/>
                <w:szCs w:val="19"/>
                <w:color w:val="auto"/>
              </w:rPr>
              <w:t>$ 36,556</w:t>
            </w:r>
          </w:p>
        </w:tc>
        <w:tc>
          <w:tcPr>
            <w:tcW w:w="300" w:type="dxa"/>
            <w:vAlign w:val="bottom"/>
            <w:shd w:val="clear" w:color="auto" w:fill="E5FFFF"/>
          </w:tcPr>
          <w:p>
            <w:pPr>
              <w:spacing w:after="0"/>
              <w:rPr>
                <w:sz w:val="23"/>
                <w:szCs w:val="23"/>
                <w:color w:val="auto"/>
              </w:rPr>
            </w:pPr>
          </w:p>
        </w:tc>
        <w:tc>
          <w:tcPr>
            <w:tcW w:w="1000" w:type="dxa"/>
            <w:vAlign w:val="bottom"/>
            <w:gridSpan w:val="3"/>
            <w:shd w:val="clear" w:color="auto" w:fill="E5FFFF"/>
          </w:tcPr>
          <w:p>
            <w:pPr>
              <w:jc w:val="right"/>
              <w:ind w:right="15"/>
              <w:spacing w:after="0"/>
              <w:rPr>
                <w:sz w:val="20"/>
                <w:szCs w:val="20"/>
                <w:color w:val="auto"/>
              </w:rPr>
            </w:pPr>
            <w:r>
              <w:rPr>
                <w:rFonts w:ascii="Arial" w:cs="Arial" w:eastAsia="Arial" w:hAnsi="Arial"/>
                <w:sz w:val="19"/>
                <w:szCs w:val="19"/>
                <w:color w:val="auto"/>
              </w:rPr>
              <w:t>$  34,589</w:t>
            </w:r>
          </w:p>
        </w:tc>
      </w:tr>
      <w:tr>
        <w:trPr>
          <w:trHeight w:val="274"/>
        </w:trPr>
        <w:tc>
          <w:tcPr>
            <w:tcW w:w="140" w:type="dxa"/>
            <w:vAlign w:val="bottom"/>
          </w:tcPr>
          <w:p>
            <w:pPr>
              <w:spacing w:after="0"/>
              <w:rPr>
                <w:sz w:val="23"/>
                <w:szCs w:val="23"/>
                <w:color w:val="auto"/>
              </w:rPr>
            </w:pPr>
          </w:p>
        </w:tc>
        <w:tc>
          <w:tcPr>
            <w:tcW w:w="650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1180" w:type="dxa"/>
            <w:vAlign w:val="bottom"/>
          </w:tcPr>
          <w:p>
            <w:pPr>
              <w:jc w:val="right"/>
              <w:spacing w:after="0"/>
              <w:rPr>
                <w:sz w:val="20"/>
                <w:szCs w:val="20"/>
                <w:color w:val="auto"/>
              </w:rPr>
            </w:pPr>
            <w:r>
              <w:rPr>
                <w:rFonts w:ascii="Arial" w:cs="Arial" w:eastAsia="Arial" w:hAnsi="Arial"/>
                <w:sz w:val="19"/>
                <w:szCs w:val="19"/>
                <w:color w:val="auto"/>
              </w:rPr>
              <w:t>(15 )%</w:t>
            </w:r>
          </w:p>
        </w:tc>
        <w:tc>
          <w:tcPr>
            <w:tcW w:w="1420" w:type="dxa"/>
            <w:vAlign w:val="bottom"/>
            <w:gridSpan w:val="3"/>
          </w:tcPr>
          <w:p>
            <w:pPr>
              <w:jc w:val="right"/>
              <w:spacing w:after="0"/>
              <w:rPr>
                <w:sz w:val="20"/>
                <w:szCs w:val="20"/>
                <w:color w:val="auto"/>
              </w:rPr>
            </w:pPr>
            <w:r>
              <w:rPr>
                <w:rFonts w:ascii="Arial" w:cs="Arial" w:eastAsia="Arial" w:hAnsi="Arial"/>
                <w:sz w:val="19"/>
                <w:szCs w:val="19"/>
                <w:color w:val="auto"/>
              </w:rPr>
              <w:t>6 %</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338"/>
        </w:trPr>
        <w:tc>
          <w:tcPr>
            <w:tcW w:w="6640" w:type="dxa"/>
            <w:vAlign w:val="bottom"/>
            <w:gridSpan w:val="2"/>
          </w:tcPr>
          <w:p>
            <w:pPr>
              <w:spacing w:after="0"/>
              <w:rPr>
                <w:sz w:val="20"/>
                <w:szCs w:val="20"/>
                <w:color w:val="auto"/>
              </w:rPr>
            </w:pPr>
            <w:r>
              <w:rPr>
                <w:rFonts w:ascii="Arial" w:cs="Arial" w:eastAsia="Arial" w:hAnsi="Arial"/>
                <w:sz w:val="19"/>
                <w:szCs w:val="19"/>
                <w:color w:val="auto"/>
              </w:rPr>
              <w:t>The change in net sales in 2009 and 2008 is attributable to the following:</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1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2009</w:t>
            </w:r>
          </w:p>
        </w:tc>
        <w:tc>
          <w:tcPr>
            <w:tcW w:w="1000" w:type="dxa"/>
            <w:vAlign w:val="bottom"/>
            <w:gridSpan w:val="3"/>
          </w:tcPr>
          <w:p>
            <w:pPr>
              <w:ind w:left="500"/>
              <w:spacing w:after="0"/>
              <w:rPr>
                <w:sz w:val="20"/>
                <w:szCs w:val="20"/>
                <w:color w:val="auto"/>
              </w:rPr>
            </w:pPr>
            <w:r>
              <w:rPr>
                <w:rFonts w:ascii="Arial" w:cs="Arial" w:eastAsia="Arial" w:hAnsi="Arial"/>
                <w:sz w:val="16"/>
                <w:szCs w:val="16"/>
                <w:b w:val="1"/>
                <w:bCs w:val="1"/>
                <w:color w:val="auto"/>
              </w:rPr>
              <w:t>2008</w:t>
            </w:r>
          </w:p>
        </w:tc>
      </w:tr>
      <w:tr>
        <w:trPr>
          <w:trHeight w:val="176"/>
        </w:trPr>
        <w:tc>
          <w:tcPr>
            <w:tcW w:w="1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20"/>
              <w:spacing w:after="0" w:line="176" w:lineRule="exact"/>
              <w:rPr>
                <w:sz w:val="20"/>
                <w:szCs w:val="20"/>
                <w:color w:val="auto"/>
              </w:rPr>
            </w:pPr>
            <w:r>
              <w:rPr>
                <w:rFonts w:ascii="Arial" w:cs="Arial" w:eastAsia="Arial" w:hAnsi="Arial"/>
                <w:sz w:val="16"/>
                <w:szCs w:val="16"/>
                <w:b w:val="1"/>
                <w:bCs w:val="1"/>
                <w:color w:val="auto"/>
              </w:rPr>
              <w:t>Versus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ind w:left="80"/>
              <w:spacing w:after="0" w:line="176" w:lineRule="exact"/>
              <w:rPr>
                <w:sz w:val="20"/>
                <w:szCs w:val="20"/>
                <w:color w:val="auto"/>
              </w:rPr>
            </w:pPr>
            <w:r>
              <w:rPr>
                <w:rFonts w:ascii="Arial" w:cs="Arial" w:eastAsia="Arial" w:hAnsi="Arial"/>
                <w:sz w:val="16"/>
                <w:szCs w:val="16"/>
                <w:b w:val="1"/>
                <w:bCs w:val="1"/>
                <w:color w:val="auto"/>
              </w:rPr>
              <w:t>Versus</w:t>
            </w:r>
          </w:p>
        </w:tc>
      </w:tr>
      <w:tr>
        <w:trPr>
          <w:trHeight w:val="204"/>
        </w:trPr>
        <w:tc>
          <w:tcPr>
            <w:tcW w:w="14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2008</w:t>
            </w: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2007</w:t>
            </w:r>
          </w:p>
        </w:tc>
      </w:tr>
      <w:tr>
        <w:trPr>
          <w:trHeight w:val="264"/>
        </w:trPr>
        <w:tc>
          <w:tcPr>
            <w:tcW w:w="140" w:type="dxa"/>
            <w:vAlign w:val="bottom"/>
          </w:tcPr>
          <w:p>
            <w:pPr>
              <w:spacing w:after="0"/>
              <w:rPr>
                <w:sz w:val="22"/>
                <w:szCs w:val="22"/>
                <w:color w:val="auto"/>
              </w:rPr>
            </w:pPr>
          </w:p>
        </w:tc>
        <w:tc>
          <w:tcPr>
            <w:tcW w:w="6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Volume</w:t>
            </w:r>
          </w:p>
        </w:tc>
        <w:tc>
          <w:tcPr>
            <w:tcW w:w="1180" w:type="dxa"/>
            <w:vAlign w:val="bottom"/>
            <w:shd w:val="clear" w:color="auto" w:fill="E5FFFF"/>
          </w:tcPr>
          <w:p>
            <w:pPr>
              <w:spacing w:after="0"/>
              <w:rPr>
                <w:sz w:val="22"/>
                <w:szCs w:val="22"/>
                <w:color w:val="auto"/>
              </w:rPr>
            </w:pPr>
          </w:p>
        </w:tc>
        <w:tc>
          <w:tcPr>
            <w:tcW w:w="172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(14 )%</w:t>
            </w:r>
          </w:p>
        </w:tc>
        <w:tc>
          <w:tcPr>
            <w:tcW w:w="2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6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 %</w:t>
            </w:r>
          </w:p>
        </w:tc>
      </w:tr>
      <w:tr>
        <w:trPr>
          <w:trHeight w:val="270"/>
        </w:trPr>
        <w:tc>
          <w:tcPr>
            <w:tcW w:w="140" w:type="dxa"/>
            <w:vAlign w:val="bottom"/>
          </w:tcPr>
          <w:p>
            <w:pPr>
              <w:spacing w:after="0"/>
              <w:rPr>
                <w:sz w:val="23"/>
                <w:szCs w:val="23"/>
                <w:color w:val="auto"/>
              </w:rPr>
            </w:pPr>
          </w:p>
        </w:tc>
        <w:tc>
          <w:tcPr>
            <w:tcW w:w="650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1180" w:type="dxa"/>
            <w:vAlign w:val="bottom"/>
          </w:tcPr>
          <w:p>
            <w:pPr>
              <w:spacing w:after="0"/>
              <w:rPr>
                <w:sz w:val="23"/>
                <w:szCs w:val="23"/>
                <w:color w:val="auto"/>
              </w:rPr>
            </w:pPr>
          </w:p>
        </w:tc>
        <w:tc>
          <w:tcPr>
            <w:tcW w:w="1720" w:type="dxa"/>
            <w:vAlign w:val="bottom"/>
            <w:gridSpan w:val="4"/>
          </w:tcPr>
          <w:p>
            <w:pPr>
              <w:jc w:val="right"/>
              <w:ind w:right="240"/>
              <w:spacing w:after="0"/>
              <w:rPr>
                <w:sz w:val="20"/>
                <w:szCs w:val="20"/>
                <w:color w:val="auto"/>
              </w:rPr>
            </w:pPr>
            <w:r>
              <w:rPr>
                <w:rFonts w:ascii="Arial" w:cs="Arial" w:eastAsia="Arial" w:hAnsi="Arial"/>
                <w:sz w:val="19"/>
                <w:szCs w:val="19"/>
                <w:color w:val="auto"/>
              </w:rPr>
              <w:t>(2 )</w:t>
            </w:r>
          </w:p>
        </w:tc>
        <w:tc>
          <w:tcPr>
            <w:tcW w:w="1000" w:type="dxa"/>
            <w:vAlign w:val="bottom"/>
            <w:gridSpan w:val="3"/>
          </w:tcPr>
          <w:p>
            <w:pPr>
              <w:ind w:left="600"/>
              <w:spacing w:after="0"/>
              <w:rPr>
                <w:sz w:val="20"/>
                <w:szCs w:val="20"/>
                <w:color w:val="auto"/>
              </w:rPr>
            </w:pPr>
            <w:r>
              <w:rPr>
                <w:rFonts w:ascii="Arial" w:cs="Arial" w:eastAsia="Arial" w:hAnsi="Arial"/>
                <w:sz w:val="19"/>
                <w:szCs w:val="19"/>
                <w:color w:val="auto"/>
              </w:rPr>
              <w:t>1</w:t>
            </w:r>
          </w:p>
        </w:tc>
      </w:tr>
      <w:tr>
        <w:trPr>
          <w:trHeight w:val="270"/>
        </w:trPr>
        <w:tc>
          <w:tcPr>
            <w:tcW w:w="140" w:type="dxa"/>
            <w:vAlign w:val="bottom"/>
          </w:tcPr>
          <w:p>
            <w:pPr>
              <w:spacing w:after="0"/>
              <w:rPr>
                <w:sz w:val="23"/>
                <w:szCs w:val="23"/>
                <w:color w:val="auto"/>
              </w:rPr>
            </w:pPr>
          </w:p>
        </w:tc>
        <w:tc>
          <w:tcPr>
            <w:tcW w:w="6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Acquisitions/Divestitures</w:t>
            </w:r>
          </w:p>
        </w:tc>
        <w:tc>
          <w:tcPr>
            <w:tcW w:w="1180" w:type="dxa"/>
            <w:vAlign w:val="bottom"/>
            <w:shd w:val="clear" w:color="auto" w:fill="E5FFFF"/>
          </w:tcPr>
          <w:p>
            <w:pPr>
              <w:spacing w:after="0"/>
              <w:rPr>
                <w:sz w:val="23"/>
                <w:szCs w:val="23"/>
                <w:color w:val="auto"/>
              </w:rPr>
            </w:pPr>
          </w:p>
        </w:tc>
        <w:tc>
          <w:tcPr>
            <w:tcW w:w="14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3"/>
                <w:szCs w:val="23"/>
                <w:color w:val="auto"/>
              </w:rPr>
            </w:pPr>
          </w:p>
        </w:tc>
        <w:tc>
          <w:tcPr>
            <w:tcW w:w="1000" w:type="dxa"/>
            <w:vAlign w:val="bottom"/>
            <w:gridSpan w:val="3"/>
            <w:shd w:val="clear" w:color="auto" w:fill="E5FFFF"/>
          </w:tcPr>
          <w:p>
            <w:pPr>
              <w:ind w:left="600"/>
              <w:spacing w:after="0"/>
              <w:rPr>
                <w:sz w:val="20"/>
                <w:szCs w:val="20"/>
                <w:color w:val="auto"/>
              </w:rPr>
            </w:pPr>
            <w:r>
              <w:rPr>
                <w:rFonts w:ascii="Arial" w:cs="Arial" w:eastAsia="Arial" w:hAnsi="Arial"/>
                <w:sz w:val="19"/>
                <w:szCs w:val="19"/>
                <w:color w:val="auto"/>
              </w:rPr>
              <w:t>3</w:t>
            </w:r>
          </w:p>
        </w:tc>
      </w:tr>
      <w:tr>
        <w:trPr>
          <w:trHeight w:val="270"/>
        </w:trPr>
        <w:tc>
          <w:tcPr>
            <w:tcW w:w="140" w:type="dxa"/>
            <w:vAlign w:val="bottom"/>
          </w:tcPr>
          <w:p>
            <w:pPr>
              <w:spacing w:after="0"/>
              <w:rPr>
                <w:sz w:val="23"/>
                <w:szCs w:val="23"/>
                <w:color w:val="auto"/>
              </w:rPr>
            </w:pPr>
          </w:p>
        </w:tc>
        <w:tc>
          <w:tcPr>
            <w:tcW w:w="6500" w:type="dxa"/>
            <w:vAlign w:val="bottom"/>
          </w:tcPr>
          <w:p>
            <w:pPr>
              <w:ind w:left="20"/>
              <w:spacing w:after="0"/>
              <w:rPr>
                <w:sz w:val="20"/>
                <w:szCs w:val="20"/>
                <w:color w:val="auto"/>
              </w:rPr>
            </w:pPr>
            <w:r>
              <w:rPr>
                <w:rFonts w:ascii="Arial" w:cs="Arial" w:eastAsia="Arial" w:hAnsi="Arial"/>
                <w:sz w:val="19"/>
                <w:szCs w:val="19"/>
                <w:color w:val="auto"/>
              </w:rPr>
              <w:t>Price</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0" w:type="dxa"/>
            <w:vAlign w:val="bottom"/>
            <w:gridSpan w:val="3"/>
          </w:tcPr>
          <w:p>
            <w:pPr>
              <w:ind w:left="600"/>
              <w:spacing w:after="0"/>
              <w:rPr>
                <w:sz w:val="20"/>
                <w:szCs w:val="20"/>
                <w:color w:val="auto"/>
              </w:rPr>
            </w:pPr>
            <w:r>
              <w:rPr>
                <w:rFonts w:ascii="Arial" w:cs="Arial" w:eastAsia="Arial" w:hAnsi="Arial"/>
                <w:sz w:val="19"/>
                <w:szCs w:val="19"/>
                <w:color w:val="auto"/>
              </w:rPr>
              <w:t>2</w:t>
            </w:r>
          </w:p>
        </w:tc>
      </w:tr>
      <w:tr>
        <w:trPr>
          <w:trHeight w:val="34"/>
        </w:trPr>
        <w:tc>
          <w:tcPr>
            <w:tcW w:w="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6500" w:type="dxa"/>
            <w:vAlign w:val="bottom"/>
            <w:shd w:val="clear" w:color="auto" w:fill="E5FFFF"/>
          </w:tcPr>
          <w:p>
            <w:pPr>
              <w:spacing w:after="0"/>
              <w:rPr>
                <w:sz w:val="23"/>
                <w:szCs w:val="23"/>
                <w:color w:val="auto"/>
              </w:rPr>
            </w:pPr>
          </w:p>
        </w:tc>
        <w:tc>
          <w:tcPr>
            <w:tcW w:w="1180" w:type="dxa"/>
            <w:vAlign w:val="bottom"/>
            <w:shd w:val="clear" w:color="auto" w:fill="E5FFFF"/>
          </w:tcPr>
          <w:p>
            <w:pPr>
              <w:spacing w:after="0"/>
              <w:rPr>
                <w:sz w:val="23"/>
                <w:szCs w:val="23"/>
                <w:color w:val="auto"/>
              </w:rPr>
            </w:pPr>
          </w:p>
        </w:tc>
        <w:tc>
          <w:tcPr>
            <w:tcW w:w="172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(15 )%</w:t>
            </w:r>
          </w:p>
        </w:tc>
        <w:tc>
          <w:tcPr>
            <w:tcW w:w="1000" w:type="dxa"/>
            <w:vAlign w:val="bottom"/>
            <w:gridSpan w:val="3"/>
            <w:shd w:val="clear" w:color="auto" w:fill="E5FFFF"/>
          </w:tcPr>
          <w:p>
            <w:pPr>
              <w:ind w:left="600"/>
              <w:spacing w:after="0"/>
              <w:rPr>
                <w:sz w:val="20"/>
                <w:szCs w:val="20"/>
                <w:color w:val="auto"/>
              </w:rPr>
            </w:pPr>
            <w:r>
              <w:rPr>
                <w:rFonts w:ascii="Arial" w:cs="Arial" w:eastAsia="Arial" w:hAnsi="Arial"/>
                <w:sz w:val="19"/>
                <w:szCs w:val="19"/>
                <w:color w:val="auto"/>
              </w:rPr>
              <w:t>6 %</w:t>
            </w:r>
          </w:p>
        </w:tc>
      </w:tr>
      <w:tr>
        <w:trPr>
          <w:trHeight w:val="20"/>
        </w:trPr>
        <w:tc>
          <w:tcPr>
            <w:tcW w:w="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discussion of net sales by segment can be found in the Review of Business Segments section of this MD&amp;A.</w:t>
      </w:r>
    </w:p>
    <w:p>
      <w:pPr>
        <w:sectPr>
          <w:pgSz w:w="11900" w:h="16838" w:orient="portrait"/>
          <w:cols w:equalWidth="0" w:num="1">
            <w:col w:w="11420"/>
          </w:cols>
          <w:pgMar w:left="240" w:top="105"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9"/>
          <w:szCs w:val="19"/>
          <w:b w:val="1"/>
          <w:bCs w:val="1"/>
          <w:color w:val="auto"/>
        </w:rPr>
        <w:t>Cost of Products and Services Sold</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7"/>
                <w:szCs w:val="17"/>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2007</w:t>
            </w:r>
          </w:p>
        </w:tc>
      </w:tr>
      <w:tr>
        <w:trPr>
          <w:trHeight w:val="264"/>
        </w:trPr>
        <w:tc>
          <w:tcPr>
            <w:tcW w:w="6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gridSpan w:val="3"/>
          </w:tcPr>
          <w:p>
            <w:pPr>
              <w:ind w:left="100"/>
              <w:spacing w:after="0"/>
              <w:rPr>
                <w:sz w:val="20"/>
                <w:szCs w:val="20"/>
                <w:color w:val="auto"/>
              </w:rPr>
            </w:pPr>
            <w:r>
              <w:rPr>
                <w:rFonts w:ascii="Arial" w:cs="Arial" w:eastAsia="Arial" w:hAnsi="Arial"/>
                <w:sz w:val="16"/>
                <w:szCs w:val="16"/>
                <w:b w:val="1"/>
                <w:bCs w:val="1"/>
                <w:color w:val="auto"/>
              </w:rPr>
              <w:t>(Dollars in millions)</w:t>
            </w:r>
          </w:p>
        </w:tc>
        <w:tc>
          <w:tcPr>
            <w:tcW w:w="1160" w:type="dxa"/>
            <w:vAlign w:val="bottom"/>
          </w:tcPr>
          <w:p>
            <w:pPr>
              <w:spacing w:after="0"/>
              <w:rPr>
                <w:sz w:val="22"/>
                <w:szCs w:val="22"/>
                <w:color w:val="auto"/>
              </w:rPr>
            </w:pPr>
          </w:p>
        </w:tc>
      </w:tr>
      <w:tr>
        <w:trPr>
          <w:trHeight w:val="270"/>
        </w:trPr>
        <w:tc>
          <w:tcPr>
            <w:tcW w:w="6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Cost of products and services sold</w:t>
            </w:r>
          </w:p>
        </w:tc>
        <w:tc>
          <w:tcPr>
            <w:tcW w:w="1180" w:type="dxa"/>
            <w:vAlign w:val="bottom"/>
            <w:shd w:val="clear" w:color="auto" w:fill="E5FFFF"/>
          </w:tcPr>
          <w:p>
            <w:pPr>
              <w:jc w:val="right"/>
              <w:ind w:right="228"/>
              <w:spacing w:after="0"/>
              <w:rPr>
                <w:sz w:val="20"/>
                <w:szCs w:val="20"/>
                <w:color w:val="auto"/>
              </w:rPr>
            </w:pPr>
            <w:r>
              <w:rPr>
                <w:rFonts w:ascii="Arial" w:cs="Arial" w:eastAsia="Arial" w:hAnsi="Arial"/>
                <w:sz w:val="19"/>
                <w:szCs w:val="19"/>
                <w:color w:val="auto"/>
              </w:rPr>
              <w:t>$ 23,185</w:t>
            </w:r>
          </w:p>
        </w:tc>
        <w:tc>
          <w:tcPr>
            <w:tcW w:w="138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$ 27,994</w:t>
            </w:r>
          </w:p>
        </w:tc>
        <w:tc>
          <w:tcPr>
            <w:tcW w:w="30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189"/>
              <w:spacing w:after="0"/>
              <w:rPr>
                <w:sz w:val="20"/>
                <w:szCs w:val="20"/>
                <w:color w:val="auto"/>
              </w:rPr>
            </w:pPr>
            <w:r>
              <w:rPr>
                <w:rFonts w:ascii="Arial" w:cs="Arial" w:eastAsia="Arial" w:hAnsi="Arial"/>
                <w:sz w:val="19"/>
                <w:szCs w:val="19"/>
                <w:color w:val="auto"/>
              </w:rPr>
              <w:t>$ 26,300</w:t>
            </w:r>
          </w:p>
        </w:tc>
      </w:tr>
      <w:tr>
        <w:trPr>
          <w:trHeight w:val="270"/>
        </w:trPr>
        <w:tc>
          <w:tcPr>
            <w:tcW w:w="6380" w:type="dxa"/>
            <w:vAlign w:val="bottom"/>
          </w:tcPr>
          <w:p>
            <w:pPr>
              <w:ind w:left="20"/>
              <w:spacing w:after="0"/>
              <w:rPr>
                <w:sz w:val="20"/>
                <w:szCs w:val="20"/>
                <w:color w:val="auto"/>
              </w:rPr>
            </w:pPr>
            <w:r>
              <w:rPr>
                <w:rFonts w:ascii="Arial" w:cs="Arial" w:eastAsia="Arial" w:hAnsi="Arial"/>
                <w:sz w:val="19"/>
                <w:szCs w:val="19"/>
                <w:color w:val="auto"/>
              </w:rPr>
              <w:t>% change compared with prior period</w:t>
            </w:r>
          </w:p>
        </w:tc>
        <w:tc>
          <w:tcPr>
            <w:tcW w:w="1180" w:type="dxa"/>
            <w:vAlign w:val="bottom"/>
          </w:tcPr>
          <w:p>
            <w:pPr>
              <w:jc w:val="right"/>
              <w:spacing w:after="0"/>
              <w:rPr>
                <w:sz w:val="20"/>
                <w:szCs w:val="20"/>
                <w:color w:val="auto"/>
              </w:rPr>
            </w:pPr>
            <w:r>
              <w:rPr>
                <w:rFonts w:ascii="Arial" w:cs="Arial" w:eastAsia="Arial" w:hAnsi="Arial"/>
                <w:sz w:val="19"/>
                <w:szCs w:val="19"/>
                <w:color w:val="auto"/>
              </w:rPr>
              <w:t>(17 )%</w:t>
            </w:r>
          </w:p>
        </w:tc>
        <w:tc>
          <w:tcPr>
            <w:tcW w:w="1380" w:type="dxa"/>
            <w:vAlign w:val="bottom"/>
            <w:gridSpan w:val="2"/>
          </w:tcPr>
          <w:p>
            <w:pPr>
              <w:jc w:val="right"/>
              <w:spacing w:after="0"/>
              <w:rPr>
                <w:sz w:val="20"/>
                <w:szCs w:val="20"/>
                <w:color w:val="auto"/>
              </w:rPr>
            </w:pPr>
            <w:r>
              <w:rPr>
                <w:rFonts w:ascii="Arial" w:cs="Arial" w:eastAsia="Arial" w:hAnsi="Arial"/>
                <w:sz w:val="19"/>
                <w:szCs w:val="19"/>
                <w:color w:val="auto"/>
              </w:rPr>
              <w:t>6 %</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Gross margin %</w:t>
            </w:r>
          </w:p>
        </w:tc>
        <w:tc>
          <w:tcPr>
            <w:tcW w:w="1180" w:type="dxa"/>
            <w:vAlign w:val="bottom"/>
            <w:shd w:val="clear" w:color="auto" w:fill="E5FFFF"/>
          </w:tcPr>
          <w:p>
            <w:pPr>
              <w:jc w:val="right"/>
              <w:ind w:right="28"/>
              <w:spacing w:after="0"/>
              <w:rPr>
                <w:sz w:val="20"/>
                <w:szCs w:val="20"/>
                <w:color w:val="auto"/>
              </w:rPr>
            </w:pPr>
            <w:r>
              <w:rPr>
                <w:rFonts w:ascii="Arial" w:cs="Arial" w:eastAsia="Arial" w:hAnsi="Arial"/>
                <w:sz w:val="19"/>
                <w:szCs w:val="19"/>
                <w:color w:val="auto"/>
              </w:rPr>
              <w:t>25.0 %</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23.4 %</w:t>
            </w:r>
          </w:p>
        </w:tc>
        <w:tc>
          <w:tcPr>
            <w:tcW w:w="300" w:type="dxa"/>
            <w:vAlign w:val="bottom"/>
            <w:shd w:val="clear" w:color="auto" w:fill="E5FFFF"/>
          </w:tcPr>
          <w:p>
            <w:pPr>
              <w:spacing w:after="0"/>
              <w:rPr>
                <w:sz w:val="23"/>
                <w:szCs w:val="23"/>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24.0 %</w:t>
            </w:r>
          </w:p>
        </w:tc>
      </w:tr>
    </w:tbl>
    <w:p>
      <w:pPr>
        <w:spacing w:after="0" w:line="108"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Cost of products and services sold decreased by $4,809 million or 17 percent in 2009 compared with 2008. The decrease is primarily due to lower sales as a result of the factors discussed within the Review of Business Segments section of this MD&amp;A, lower material costs, reduced labor costs (reflecting reduced census, work scheduled reductions, benefits from prior repositioning actions and lower incentive compensation), the positive impact of indirect cost savings initiatives across each of our Business Segments and lower repositioning charges.</w:t>
      </w:r>
    </w:p>
    <w:p>
      <w:pPr>
        <w:spacing w:after="0" w:line="91" w:lineRule="exact"/>
        <w:rPr>
          <w:sz w:val="20"/>
          <w:szCs w:val="20"/>
          <w:color w:val="auto"/>
        </w:rPr>
      </w:pPr>
    </w:p>
    <w:p>
      <w:pPr>
        <w:ind w:right="240" w:firstLine="357"/>
        <w:spacing w:after="0" w:line="242" w:lineRule="auto"/>
        <w:rPr>
          <w:sz w:val="20"/>
          <w:szCs w:val="20"/>
          <w:color w:val="auto"/>
        </w:rPr>
      </w:pPr>
      <w:r>
        <w:rPr>
          <w:rFonts w:ascii="Arial" w:cs="Arial" w:eastAsia="Arial" w:hAnsi="Arial"/>
          <w:sz w:val="19"/>
          <w:szCs w:val="19"/>
          <w:color w:val="auto"/>
        </w:rPr>
        <w:t>Gross margin increased by 1.6 percent in 2009 compared with 2008 primarily due to increases of 2.9 and 0.6 percent, respectively in our Specialty Materials and Automation &amp; Controls Solutions segments, as a result of the cost savings initiatives discussed above and lower repositioning charges, partially offset by lower margins in our Transportation Systems and Aerospace Solutions segments of 3.2 and 0.7 percent, respectively, due to lower sales partially offset by the impact of cost savings initiatives.</w:t>
      </w:r>
    </w:p>
    <w:p>
      <w:pPr>
        <w:spacing w:after="0" w:line="91" w:lineRule="exact"/>
        <w:rPr>
          <w:sz w:val="20"/>
          <w:szCs w:val="20"/>
          <w:color w:val="auto"/>
        </w:rPr>
      </w:pPr>
    </w:p>
    <w:p>
      <w:pPr>
        <w:ind w:right="440" w:firstLine="357"/>
        <w:spacing w:after="0" w:line="245" w:lineRule="auto"/>
        <w:rPr>
          <w:sz w:val="20"/>
          <w:szCs w:val="20"/>
          <w:color w:val="auto"/>
        </w:rPr>
      </w:pPr>
      <w:r>
        <w:rPr>
          <w:rFonts w:ascii="Arial" w:cs="Arial" w:eastAsia="Arial" w:hAnsi="Arial"/>
          <w:sz w:val="19"/>
          <w:szCs w:val="19"/>
          <w:color w:val="auto"/>
        </w:rPr>
        <w:t>Cost of products and services sold increased by $1,694 million or 6 percent in 2008 compared with 2007. The increase is primarily due to higher sales as a result of the factors discussed within the Review of Business Segments section of this MD&amp;A, acquisitions and higher repositioning charges, partially offset by lower pension and other post retirement benefits expense.</w:t>
      </w:r>
    </w:p>
    <w:p>
      <w:pPr>
        <w:spacing w:after="0" w:line="87" w:lineRule="exact"/>
        <w:rPr>
          <w:sz w:val="20"/>
          <w:szCs w:val="20"/>
          <w:color w:val="auto"/>
        </w:rPr>
      </w:pPr>
    </w:p>
    <w:p>
      <w:pPr>
        <w:ind w:right="220" w:firstLine="357"/>
        <w:spacing w:after="0"/>
        <w:rPr>
          <w:sz w:val="20"/>
          <w:szCs w:val="20"/>
          <w:color w:val="auto"/>
        </w:rPr>
      </w:pPr>
      <w:r>
        <w:rPr>
          <w:rFonts w:ascii="Arial" w:cs="Arial" w:eastAsia="Arial" w:hAnsi="Arial"/>
          <w:sz w:val="19"/>
          <w:szCs w:val="19"/>
          <w:color w:val="auto"/>
        </w:rPr>
        <w:t>Gross margin decreased by 0.6 of a percentage point in 2008 compared with 2007 primarily due to (i) higher repositioning charges and (ii) decreases of 2.2 and 1.4 percent, respectively, in our Transportation Systems and Specialty Materials segments, primarily due to lower sales volume, partially offset by (i) lower pension and other post retirement benefits expense, (ii) higher margins in our Automation and Controls Solutions segment of 0.8 of a percentage point mainly resulting from productivity savings, and (iii) higher margins in our Aerospace segment of 0.2 of a percentage point mainly resulting from sales volume growth and increased prices.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Selling, General and Administrative Expenses</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800" w:type="dxa"/>
            <w:vAlign w:val="bottom"/>
          </w:tcPr>
          <w:p>
            <w:pPr>
              <w:spacing w:after="0"/>
              <w:rPr>
                <w:sz w:val="17"/>
                <w:szCs w:val="17"/>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1040" w:type="dxa"/>
            <w:vAlign w:val="bottom"/>
            <w:tcBorders>
              <w:bottom w:val="single" w:sz="8" w:color="auto"/>
            </w:tcBorders>
          </w:tcPr>
          <w:p>
            <w:pPr>
              <w:jc w:val="right"/>
              <w:ind w:right="249"/>
              <w:spacing w:after="0"/>
              <w:rPr>
                <w:sz w:val="20"/>
                <w:szCs w:val="20"/>
                <w:color w:val="auto"/>
              </w:rPr>
            </w:pPr>
            <w:r>
              <w:rPr>
                <w:rFonts w:ascii="Arial" w:cs="Arial" w:eastAsia="Arial" w:hAnsi="Arial"/>
                <w:sz w:val="16"/>
                <w:szCs w:val="16"/>
                <w:b w:val="1"/>
                <w:bCs w:val="1"/>
                <w:color w:val="auto"/>
              </w:rPr>
              <w:t>2007</w:t>
            </w:r>
          </w:p>
        </w:tc>
      </w:tr>
      <w:tr>
        <w:trPr>
          <w:trHeight w:val="264"/>
        </w:trPr>
        <w:tc>
          <w:tcPr>
            <w:tcW w:w="6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w w:val="98"/>
              </w:rPr>
              <w:t>(Dollars in millions)</w:t>
            </w:r>
          </w:p>
        </w:tc>
        <w:tc>
          <w:tcPr>
            <w:tcW w:w="1040" w:type="dxa"/>
            <w:vAlign w:val="bottom"/>
          </w:tcPr>
          <w:p>
            <w:pPr>
              <w:spacing w:after="0"/>
              <w:rPr>
                <w:sz w:val="22"/>
                <w:szCs w:val="22"/>
                <w:color w:val="auto"/>
              </w:rPr>
            </w:pPr>
          </w:p>
        </w:tc>
      </w:tr>
      <w:tr>
        <w:trPr>
          <w:trHeight w:val="270"/>
        </w:trPr>
        <w:tc>
          <w:tcPr>
            <w:tcW w:w="6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Selling, general and administrative expenses</w:t>
            </w:r>
          </w:p>
        </w:tc>
        <w:tc>
          <w:tcPr>
            <w:tcW w:w="980" w:type="dxa"/>
            <w:vAlign w:val="bottom"/>
            <w:shd w:val="clear" w:color="auto" w:fill="E5FFFF"/>
          </w:tcPr>
          <w:p>
            <w:pPr>
              <w:jc w:val="right"/>
              <w:ind w:right="149"/>
              <w:spacing w:after="0"/>
              <w:rPr>
                <w:sz w:val="20"/>
                <w:szCs w:val="20"/>
                <w:color w:val="auto"/>
              </w:rPr>
            </w:pPr>
            <w:r>
              <w:rPr>
                <w:rFonts w:ascii="Arial" w:cs="Arial" w:eastAsia="Arial" w:hAnsi="Arial"/>
                <w:sz w:val="19"/>
                <w:szCs w:val="19"/>
                <w:color w:val="auto"/>
              </w:rPr>
              <w:t>$ 4,341</w:t>
            </w:r>
          </w:p>
        </w:tc>
        <w:tc>
          <w:tcPr>
            <w:tcW w:w="128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$ 5,033</w:t>
            </w:r>
          </w:p>
        </w:tc>
        <w:tc>
          <w:tcPr>
            <w:tcW w:w="30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189"/>
              <w:spacing w:after="0"/>
              <w:rPr>
                <w:sz w:val="20"/>
                <w:szCs w:val="20"/>
                <w:color w:val="auto"/>
              </w:rPr>
            </w:pPr>
            <w:r>
              <w:rPr>
                <w:rFonts w:ascii="Arial" w:cs="Arial" w:eastAsia="Arial" w:hAnsi="Arial"/>
                <w:sz w:val="19"/>
                <w:szCs w:val="19"/>
                <w:color w:val="auto"/>
              </w:rPr>
              <w:t>$ 4,565</w:t>
            </w:r>
          </w:p>
        </w:tc>
      </w:tr>
      <w:tr>
        <w:trPr>
          <w:trHeight w:val="274"/>
        </w:trPr>
        <w:tc>
          <w:tcPr>
            <w:tcW w:w="6800" w:type="dxa"/>
            <w:vAlign w:val="bottom"/>
          </w:tcPr>
          <w:p>
            <w:pPr>
              <w:ind w:left="20"/>
              <w:spacing w:after="0"/>
              <w:rPr>
                <w:sz w:val="20"/>
                <w:szCs w:val="20"/>
                <w:color w:val="auto"/>
              </w:rPr>
            </w:pPr>
            <w:r>
              <w:rPr>
                <w:rFonts w:ascii="Arial" w:cs="Arial" w:eastAsia="Arial" w:hAnsi="Arial"/>
                <w:sz w:val="19"/>
                <w:szCs w:val="19"/>
                <w:color w:val="auto"/>
              </w:rPr>
              <w:t>Percent of sales</w:t>
            </w:r>
          </w:p>
        </w:tc>
        <w:tc>
          <w:tcPr>
            <w:tcW w:w="980" w:type="dxa"/>
            <w:vAlign w:val="bottom"/>
          </w:tcPr>
          <w:p>
            <w:pPr>
              <w:jc w:val="right"/>
              <w:spacing w:after="0"/>
              <w:rPr>
                <w:sz w:val="20"/>
                <w:szCs w:val="20"/>
                <w:color w:val="auto"/>
              </w:rPr>
            </w:pPr>
            <w:r>
              <w:rPr>
                <w:rFonts w:ascii="Arial" w:cs="Arial" w:eastAsia="Arial" w:hAnsi="Arial"/>
                <w:sz w:val="19"/>
                <w:szCs w:val="19"/>
                <w:color w:val="auto"/>
              </w:rPr>
              <w:t>14.0 %</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13.8 %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13.2 %</w:t>
            </w:r>
          </w:p>
        </w:tc>
      </w:tr>
    </w:tbl>
    <w:p>
      <w:pPr>
        <w:spacing w:after="0" w:line="104"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Selling general and administrative expenses (SG&amp;A) as a percentage of sales increased by 0.2 of a percentage point in 2009 compared with 2008. The increase as a percentage of sales was driven by lower sales volumes, substantially offset by i) the positive impact of indirect cost savings initiatives across each of our Business Segments, ii) reduced labor costs (reflecting reduced census, work schedule reductions, benefits from prior repositioning actions and lower incentive compensation) and iii) lower repositioning charges, resulting in decreased SG&amp;A expense of $692 million.</w:t>
      </w:r>
    </w:p>
    <w:p>
      <w:pPr>
        <w:spacing w:after="0" w:line="91"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SG&amp;A as a percentage of sales increased by 0.6 of a percentage point in 2008 compared with 2007. The increase was primarily due to higher SG&amp;A in our Automation and Control Solutions segment mainly due to acquisitions, partially offset by decreases in SG&amp;A in our Specialty Materials and Aerospace segments mainly due to cost savings initiatives and the positive impact of prior repositioning actions.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color w:val="auto"/>
        </w:rPr>
        <w:t>Other (Income)/Expense</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600" w:type="dxa"/>
            <w:vAlign w:val="bottom"/>
          </w:tcPr>
          <w:p>
            <w:pPr>
              <w:spacing w:after="0"/>
              <w:rPr>
                <w:sz w:val="17"/>
                <w:szCs w:val="17"/>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2009</w:t>
            </w:r>
          </w:p>
        </w:tc>
        <w:tc>
          <w:tcPr>
            <w:tcW w:w="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2008</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5"/>
              </w:rPr>
              <w:t>2007</w:t>
            </w:r>
          </w:p>
        </w:tc>
      </w:tr>
      <w:tr>
        <w:trPr>
          <w:trHeight w:val="264"/>
        </w:trPr>
        <w:tc>
          <w:tcPr>
            <w:tcW w:w="7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2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99"/>
              </w:rPr>
              <w:t>(Dollars in millions)</w:t>
            </w:r>
          </w:p>
        </w:tc>
        <w:tc>
          <w:tcPr>
            <w:tcW w:w="540" w:type="dxa"/>
            <w:vAlign w:val="bottom"/>
          </w:tcPr>
          <w:p>
            <w:pPr>
              <w:spacing w:after="0"/>
              <w:rPr>
                <w:sz w:val="22"/>
                <w:szCs w:val="22"/>
                <w:color w:val="auto"/>
              </w:rPr>
            </w:pPr>
          </w:p>
        </w:tc>
      </w:tr>
      <w:tr>
        <w:trPr>
          <w:trHeight w:val="270"/>
        </w:trPr>
        <w:tc>
          <w:tcPr>
            <w:tcW w:w="7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Gain on sale of non-strategic businesses and assets</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(87 )</w:t>
            </w:r>
          </w:p>
        </w:tc>
        <w:tc>
          <w:tcPr>
            <w:tcW w:w="52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(635 )</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(19 )</w:t>
            </w:r>
          </w:p>
        </w:tc>
      </w:tr>
      <w:tr>
        <w:trPr>
          <w:trHeight w:val="270"/>
        </w:trPr>
        <w:tc>
          <w:tcPr>
            <w:tcW w:w="7600" w:type="dxa"/>
            <w:vAlign w:val="bottom"/>
          </w:tcPr>
          <w:p>
            <w:pPr>
              <w:ind w:left="20"/>
              <w:spacing w:after="0"/>
              <w:rPr>
                <w:sz w:val="20"/>
                <w:szCs w:val="20"/>
                <w:color w:val="auto"/>
              </w:rPr>
            </w:pPr>
            <w:r>
              <w:rPr>
                <w:rFonts w:ascii="Arial" w:cs="Arial" w:eastAsia="Arial" w:hAnsi="Arial"/>
                <w:sz w:val="19"/>
                <w:szCs w:val="19"/>
                <w:color w:val="auto"/>
              </w:rPr>
              <w:t>Equity (income)/loss of affiliated companies</w:t>
            </w:r>
          </w:p>
        </w:tc>
        <w:tc>
          <w:tcPr>
            <w:tcW w:w="640" w:type="dxa"/>
            <w:vAlign w:val="bottom"/>
          </w:tcPr>
          <w:p>
            <w:pPr>
              <w:jc w:val="right"/>
              <w:spacing w:after="0"/>
              <w:rPr>
                <w:sz w:val="20"/>
                <w:szCs w:val="20"/>
                <w:color w:val="auto"/>
              </w:rPr>
            </w:pPr>
            <w:r>
              <w:rPr>
                <w:rFonts w:ascii="Arial" w:cs="Arial" w:eastAsia="Arial" w:hAnsi="Arial"/>
                <w:sz w:val="19"/>
                <w:szCs w:val="19"/>
                <w:color w:val="auto"/>
              </w:rPr>
              <w:t>(26 )</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(63 )</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(10 )</w:t>
            </w:r>
          </w:p>
        </w:tc>
      </w:tr>
      <w:tr>
        <w:trPr>
          <w:trHeight w:val="270"/>
        </w:trPr>
        <w:tc>
          <w:tcPr>
            <w:tcW w:w="7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Interest income</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(33 )</w:t>
            </w:r>
          </w:p>
        </w:tc>
        <w:tc>
          <w:tcPr>
            <w:tcW w:w="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(102 )</w:t>
            </w:r>
          </w:p>
        </w:tc>
        <w:tc>
          <w:tcPr>
            <w:tcW w:w="3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(81 )</w:t>
            </w:r>
          </w:p>
        </w:tc>
      </w:tr>
      <w:tr>
        <w:trPr>
          <w:trHeight w:val="270"/>
        </w:trPr>
        <w:tc>
          <w:tcPr>
            <w:tcW w:w="760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640" w:type="dxa"/>
            <w:vAlign w:val="bottom"/>
          </w:tcPr>
          <w:p>
            <w:pPr>
              <w:jc w:val="right"/>
              <w:ind w:right="26"/>
              <w:spacing w:after="0"/>
              <w:rPr>
                <w:sz w:val="20"/>
                <w:szCs w:val="20"/>
                <w:color w:val="auto"/>
              </w:rPr>
            </w:pPr>
            <w:r>
              <w:rPr>
                <w:rFonts w:ascii="Arial" w:cs="Arial" w:eastAsia="Arial" w:hAnsi="Arial"/>
                <w:sz w:val="19"/>
                <w:szCs w:val="19"/>
                <w:color w:val="auto"/>
              </w:rPr>
              <w:t>45</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52</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66"/>
              <w:spacing w:after="0"/>
              <w:rPr>
                <w:sz w:val="20"/>
                <w:szCs w:val="20"/>
                <w:color w:val="auto"/>
              </w:rPr>
            </w:pPr>
            <w:r>
              <w:rPr>
                <w:rFonts w:ascii="Arial" w:cs="Arial" w:eastAsia="Arial" w:hAnsi="Arial"/>
                <w:sz w:val="19"/>
                <w:szCs w:val="19"/>
                <w:color w:val="auto"/>
              </w:rPr>
              <w:t>34</w:t>
            </w:r>
          </w:p>
        </w:tc>
      </w:tr>
      <w:tr>
        <w:trPr>
          <w:trHeight w:val="270"/>
        </w:trPr>
        <w:tc>
          <w:tcPr>
            <w:tcW w:w="7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(net)</w:t>
            </w:r>
          </w:p>
        </w:tc>
        <w:tc>
          <w:tcPr>
            <w:tcW w:w="64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46</w:t>
            </w:r>
          </w:p>
        </w:tc>
        <w:tc>
          <w:tcPr>
            <w:tcW w:w="4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7</w:t>
            </w:r>
          </w:p>
        </w:tc>
      </w:tr>
      <w:tr>
        <w:trPr>
          <w:trHeight w:val="304"/>
        </w:trPr>
        <w:tc>
          <w:tcPr>
            <w:tcW w:w="7600" w:type="dxa"/>
            <w:vAlign w:val="bottom"/>
          </w:tcPr>
          <w:p>
            <w:pPr>
              <w:ind w:left="20"/>
              <w:spacing w:after="0"/>
              <w:rPr>
                <w:sz w:val="20"/>
                <w:szCs w:val="20"/>
                <w:color w:val="auto"/>
              </w:rPr>
            </w:pPr>
            <w:r>
              <w:rPr>
                <w:rFonts w:ascii="Arial" w:cs="Arial" w:eastAsia="Arial" w:hAnsi="Arial"/>
                <w:sz w:val="19"/>
                <w:szCs w:val="19"/>
                <w:color w:val="auto"/>
              </w:rPr>
              <w:t>Total</w:t>
            </w:r>
          </w:p>
        </w:tc>
        <w:tc>
          <w:tcPr>
            <w:tcW w:w="640" w:type="dxa"/>
            <w:vAlign w:val="bottom"/>
          </w:tcPr>
          <w:p>
            <w:pPr>
              <w:jc w:val="right"/>
              <w:spacing w:after="0"/>
              <w:rPr>
                <w:sz w:val="20"/>
                <w:szCs w:val="20"/>
                <w:color w:val="auto"/>
              </w:rPr>
            </w:pPr>
            <w:r>
              <w:rPr>
                <w:rFonts w:ascii="Arial" w:cs="Arial" w:eastAsia="Arial" w:hAnsi="Arial"/>
                <w:sz w:val="19"/>
                <w:szCs w:val="19"/>
                <w:color w:val="auto"/>
              </w:rPr>
              <w:t>$ (55 )</w:t>
            </w:r>
          </w:p>
        </w:tc>
        <w:tc>
          <w:tcPr>
            <w:tcW w:w="52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(748 )</w:t>
            </w:r>
          </w:p>
        </w:tc>
        <w:tc>
          <w:tcPr>
            <w:tcW w:w="5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(69 )</w:t>
            </w:r>
          </w:p>
        </w:tc>
      </w:tr>
      <w:tr>
        <w:trPr>
          <w:trHeight w:val="20"/>
        </w:trPr>
        <w:tc>
          <w:tcPr>
            <w:tcW w:w="7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Other income decreased by $ 693 million in 2009 compared to 2008 primarily due to i) a lower gain on sale of non-strategic businesses and assets due to the gain on the sale of our Consumables Solutions business in 2008 partially offset by a gain related to the deconsolidation of a subsidiary within our Automation and Control Solutions segment in 2009 (See Note 4 to the financial statements) and ii) lower interest income primarily due to lower interest rates on cash balances.</w:t>
      </w:r>
    </w:p>
    <w:p>
      <w:pPr>
        <w:spacing w:after="0" w:line="91" w:lineRule="exact"/>
        <w:rPr>
          <w:sz w:val="20"/>
          <w:szCs w:val="20"/>
          <w:color w:val="auto"/>
        </w:rPr>
      </w:pPr>
    </w:p>
    <w:p>
      <w:pPr>
        <w:jc w:val="both"/>
        <w:ind w:right="720" w:firstLine="357"/>
        <w:spacing w:after="0" w:line="245" w:lineRule="auto"/>
        <w:rPr>
          <w:sz w:val="20"/>
          <w:szCs w:val="20"/>
          <w:color w:val="auto"/>
        </w:rPr>
      </w:pPr>
      <w:r>
        <w:rPr>
          <w:rFonts w:ascii="Arial" w:cs="Arial" w:eastAsia="Arial" w:hAnsi="Arial"/>
          <w:sz w:val="19"/>
          <w:szCs w:val="19"/>
          <w:color w:val="auto"/>
        </w:rPr>
        <w:t>Other income increased by $679 million in 2008 compared to 2007 primarily due to a higher gain on sale of non-strategic businesses and assets representing the sale of our Consumables Solutions business and higher income from equity method investments (mainly in our Specialty Material segment).</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and Other Financial Charges</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2007</w:t>
            </w:r>
          </w:p>
        </w:tc>
      </w:tr>
      <w:tr>
        <w:trPr>
          <w:trHeight w:val="264"/>
        </w:trPr>
        <w:tc>
          <w:tcPr>
            <w:tcW w:w="7440" w:type="dxa"/>
            <w:vAlign w:val="bottom"/>
          </w:tcPr>
          <w:p>
            <w:pPr>
              <w:spacing w:after="0"/>
              <w:rPr>
                <w:sz w:val="22"/>
                <w:szCs w:val="22"/>
                <w:color w:val="auto"/>
              </w:rPr>
            </w:pPr>
          </w:p>
        </w:tc>
        <w:tc>
          <w:tcPr>
            <w:tcW w:w="2260" w:type="dxa"/>
            <w:vAlign w:val="bottom"/>
            <w:gridSpan w:val="4"/>
          </w:tcPr>
          <w:p>
            <w:pPr>
              <w:ind w:left="760"/>
              <w:spacing w:after="0"/>
              <w:rPr>
                <w:sz w:val="20"/>
                <w:szCs w:val="20"/>
                <w:color w:val="auto"/>
              </w:rPr>
            </w:pPr>
            <w:r>
              <w:rPr>
                <w:rFonts w:ascii="Arial" w:cs="Arial" w:eastAsia="Arial" w:hAnsi="Arial"/>
                <w:sz w:val="16"/>
                <w:szCs w:val="16"/>
                <w:b w:val="1"/>
                <w:bCs w:val="1"/>
                <w:color w:val="auto"/>
                <w:w w:val="99"/>
              </w:rPr>
              <w:t>(Dollars in millions)</w:t>
            </w:r>
          </w:p>
        </w:tc>
        <w:tc>
          <w:tcPr>
            <w:tcW w:w="700" w:type="dxa"/>
            <w:vAlign w:val="bottom"/>
          </w:tcPr>
          <w:p>
            <w:pPr>
              <w:spacing w:after="0"/>
              <w:rPr>
                <w:sz w:val="22"/>
                <w:szCs w:val="22"/>
                <w:color w:val="auto"/>
              </w:rPr>
            </w:pPr>
          </w:p>
        </w:tc>
      </w:tr>
      <w:tr>
        <w:trPr>
          <w:trHeight w:val="270"/>
        </w:trPr>
        <w:tc>
          <w:tcPr>
            <w:tcW w:w="7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Interest and other financial charges</w:t>
            </w:r>
          </w:p>
        </w:tc>
        <w:tc>
          <w:tcPr>
            <w:tcW w:w="840" w:type="dxa"/>
            <w:vAlign w:val="bottom"/>
            <w:shd w:val="clear" w:color="auto" w:fill="E5FFFF"/>
          </w:tcPr>
          <w:p>
            <w:pPr>
              <w:jc w:val="right"/>
              <w:ind w:right="172"/>
              <w:spacing w:after="0"/>
              <w:rPr>
                <w:sz w:val="20"/>
                <w:szCs w:val="20"/>
                <w:color w:val="auto"/>
              </w:rPr>
            </w:pPr>
            <w:r>
              <w:rPr>
                <w:rFonts w:ascii="Arial" w:cs="Arial" w:eastAsia="Arial" w:hAnsi="Arial"/>
                <w:sz w:val="19"/>
                <w:szCs w:val="19"/>
                <w:color w:val="auto"/>
              </w:rPr>
              <w:t>$ 459</w:t>
            </w:r>
          </w:p>
        </w:tc>
        <w:tc>
          <w:tcPr>
            <w:tcW w:w="1120" w:type="dxa"/>
            <w:vAlign w:val="bottom"/>
            <w:gridSpan w:val="2"/>
            <w:shd w:val="clear" w:color="auto" w:fill="E5FFFF"/>
          </w:tcPr>
          <w:p>
            <w:pPr>
              <w:jc w:val="right"/>
              <w:ind w:right="192"/>
              <w:spacing w:after="0"/>
              <w:rPr>
                <w:sz w:val="20"/>
                <w:szCs w:val="20"/>
                <w:color w:val="auto"/>
              </w:rPr>
            </w:pPr>
            <w:r>
              <w:rPr>
                <w:rFonts w:ascii="Arial" w:cs="Arial" w:eastAsia="Arial" w:hAnsi="Arial"/>
                <w:sz w:val="19"/>
                <w:szCs w:val="19"/>
                <w:color w:val="auto"/>
              </w:rPr>
              <w:t>$ 456</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2"/>
              <w:spacing w:after="0"/>
              <w:rPr>
                <w:sz w:val="20"/>
                <w:szCs w:val="20"/>
                <w:color w:val="auto"/>
              </w:rPr>
            </w:pPr>
            <w:r>
              <w:rPr>
                <w:rFonts w:ascii="Arial" w:cs="Arial" w:eastAsia="Arial" w:hAnsi="Arial"/>
                <w:sz w:val="19"/>
                <w:szCs w:val="19"/>
                <w:color w:val="auto"/>
              </w:rPr>
              <w:t>$ 456</w:t>
            </w:r>
          </w:p>
        </w:tc>
      </w:tr>
      <w:tr>
        <w:trPr>
          <w:trHeight w:val="274"/>
        </w:trPr>
        <w:tc>
          <w:tcPr>
            <w:tcW w:w="744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840" w:type="dxa"/>
            <w:vAlign w:val="bottom"/>
          </w:tcPr>
          <w:p>
            <w:pPr>
              <w:jc w:val="right"/>
              <w:spacing w:after="0"/>
              <w:rPr>
                <w:sz w:val="20"/>
                <w:szCs w:val="20"/>
                <w:color w:val="auto"/>
              </w:rPr>
            </w:pPr>
            <w:r>
              <w:rPr>
                <w:rFonts w:ascii="Arial" w:cs="Arial" w:eastAsia="Arial" w:hAnsi="Arial"/>
                <w:sz w:val="19"/>
                <w:szCs w:val="19"/>
                <w:color w:val="auto"/>
              </w:rPr>
              <w:t>1 %</w:t>
            </w:r>
          </w:p>
        </w:tc>
        <w:tc>
          <w:tcPr>
            <w:tcW w:w="280" w:type="dxa"/>
            <w:vAlign w:val="bottom"/>
          </w:tcPr>
          <w:p>
            <w:pPr>
              <w:spacing w:after="0"/>
              <w:rPr>
                <w:sz w:val="23"/>
                <w:szCs w:val="23"/>
                <w:color w:val="auto"/>
              </w:rPr>
            </w:pPr>
          </w:p>
        </w:tc>
        <w:tc>
          <w:tcPr>
            <w:tcW w:w="1140" w:type="dxa"/>
            <w:vAlign w:val="bottom"/>
            <w:gridSpan w:val="2"/>
          </w:tcPr>
          <w:p>
            <w:pPr>
              <w:ind w:left="380"/>
              <w:spacing w:after="0"/>
              <w:rPr>
                <w:sz w:val="20"/>
                <w:szCs w:val="20"/>
                <w:color w:val="auto"/>
              </w:rPr>
            </w:pPr>
            <w:r>
              <w:rPr>
                <w:rFonts w:ascii="Arial" w:cs="Arial" w:eastAsia="Arial" w:hAnsi="Arial"/>
                <w:sz w:val="19"/>
                <w:szCs w:val="19"/>
                <w:color w:val="auto"/>
              </w:rPr>
              <w:t>— %</w:t>
            </w:r>
          </w:p>
        </w:tc>
        <w:tc>
          <w:tcPr>
            <w:tcW w:w="700" w:type="dxa"/>
            <w:vAlign w:val="bottom"/>
          </w:tcPr>
          <w:p>
            <w:pPr>
              <w:spacing w:after="0"/>
              <w:rPr>
                <w:sz w:val="23"/>
                <w:szCs w:val="23"/>
                <w:color w:val="auto"/>
              </w:rPr>
            </w:pPr>
          </w:p>
        </w:tc>
      </w:tr>
    </w:tbl>
    <w:p>
      <w:pPr>
        <w:spacing w:after="0" w:line="104"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Interest and other financial charges increased 1 percent in 2009 compared with 2008 due to lower debt balances offset by higher borrowing costs on term debt. Interest and other financial charges were flat in 2008 compared to 2007 due to higher debt balances offset by lower borrowing costs.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Expense</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040" w:type="dxa"/>
            <w:vAlign w:val="bottom"/>
          </w:tcPr>
          <w:p>
            <w:pPr>
              <w:spacing w:after="0"/>
              <w:rPr>
                <w:sz w:val="17"/>
                <w:szCs w:val="17"/>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2007</w:t>
            </w:r>
          </w:p>
        </w:tc>
      </w:tr>
      <w:tr>
        <w:trPr>
          <w:trHeight w:val="264"/>
        </w:trPr>
        <w:tc>
          <w:tcPr>
            <w:tcW w:w="70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w w:val="99"/>
              </w:rPr>
              <w:t>(Dollars in millions)</w:t>
            </w:r>
          </w:p>
        </w:tc>
        <w:tc>
          <w:tcPr>
            <w:tcW w:w="920" w:type="dxa"/>
            <w:vAlign w:val="bottom"/>
          </w:tcPr>
          <w:p>
            <w:pPr>
              <w:spacing w:after="0"/>
              <w:rPr>
                <w:sz w:val="22"/>
                <w:szCs w:val="22"/>
                <w:color w:val="auto"/>
              </w:rPr>
            </w:pPr>
          </w:p>
        </w:tc>
      </w:tr>
      <w:tr>
        <w:trPr>
          <w:trHeight w:val="270"/>
        </w:trPr>
        <w:tc>
          <w:tcPr>
            <w:tcW w:w="704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 expense</w:t>
            </w:r>
          </w:p>
        </w:tc>
        <w:tc>
          <w:tcPr>
            <w:tcW w:w="860" w:type="dxa"/>
            <w:vAlign w:val="bottom"/>
            <w:shd w:val="clear" w:color="auto" w:fill="E5FFFF"/>
          </w:tcPr>
          <w:p>
            <w:pPr>
              <w:jc w:val="right"/>
              <w:ind w:right="149"/>
              <w:spacing w:after="0"/>
              <w:rPr>
                <w:sz w:val="20"/>
                <w:szCs w:val="20"/>
                <w:color w:val="auto"/>
              </w:rPr>
            </w:pPr>
            <w:r>
              <w:rPr>
                <w:rFonts w:ascii="Arial" w:cs="Arial" w:eastAsia="Arial" w:hAnsi="Arial"/>
                <w:sz w:val="19"/>
                <w:szCs w:val="19"/>
                <w:color w:val="auto"/>
              </w:rPr>
              <w:t>$  789</w:t>
            </w:r>
          </w:p>
        </w:tc>
        <w:tc>
          <w:tcPr>
            <w:tcW w:w="130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$ 1,009</w:t>
            </w:r>
          </w:p>
        </w:tc>
        <w:tc>
          <w:tcPr>
            <w:tcW w:w="28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89"/>
              <w:spacing w:after="0"/>
              <w:rPr>
                <w:sz w:val="20"/>
                <w:szCs w:val="20"/>
                <w:color w:val="auto"/>
              </w:rPr>
            </w:pPr>
            <w:r>
              <w:rPr>
                <w:rFonts w:ascii="Arial" w:cs="Arial" w:eastAsia="Arial" w:hAnsi="Arial"/>
                <w:sz w:val="19"/>
                <w:szCs w:val="19"/>
                <w:color w:val="auto"/>
              </w:rPr>
              <w:t>$  877</w:t>
            </w:r>
          </w:p>
        </w:tc>
      </w:tr>
      <w:tr>
        <w:trPr>
          <w:trHeight w:val="274"/>
        </w:trPr>
        <w:tc>
          <w:tcPr>
            <w:tcW w:w="7040" w:type="dxa"/>
            <w:vAlign w:val="bottom"/>
          </w:tcPr>
          <w:p>
            <w:pPr>
              <w:ind w:left="20"/>
              <w:spacing w:after="0"/>
              <w:rPr>
                <w:sz w:val="20"/>
                <w:szCs w:val="20"/>
                <w:color w:val="auto"/>
              </w:rPr>
            </w:pPr>
            <w:r>
              <w:rPr>
                <w:rFonts w:ascii="Arial" w:cs="Arial" w:eastAsia="Arial" w:hAnsi="Arial"/>
                <w:sz w:val="19"/>
                <w:szCs w:val="19"/>
                <w:color w:val="auto"/>
              </w:rPr>
              <w:t>Effective tax rate</w:t>
            </w:r>
          </w:p>
        </w:tc>
        <w:tc>
          <w:tcPr>
            <w:tcW w:w="860" w:type="dxa"/>
            <w:vAlign w:val="bottom"/>
          </w:tcPr>
          <w:p>
            <w:pPr>
              <w:jc w:val="right"/>
              <w:spacing w:after="0"/>
              <w:rPr>
                <w:sz w:val="20"/>
                <w:szCs w:val="20"/>
                <w:color w:val="auto"/>
              </w:rPr>
            </w:pPr>
            <w:r>
              <w:rPr>
                <w:rFonts w:ascii="Arial" w:cs="Arial" w:eastAsia="Arial" w:hAnsi="Arial"/>
                <w:sz w:val="19"/>
                <w:szCs w:val="19"/>
                <w:color w:val="auto"/>
              </w:rPr>
              <w:t>26.5 %</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26.4 %</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26.3 %</w:t>
            </w:r>
          </w:p>
        </w:tc>
      </w:tr>
    </w:tbl>
    <w:p>
      <w:pPr>
        <w:spacing w:after="0" w:line="104" w:lineRule="exact"/>
        <w:rPr>
          <w:sz w:val="20"/>
          <w:szCs w:val="20"/>
          <w:color w:val="auto"/>
        </w:rPr>
      </w:pPr>
    </w:p>
    <w:p>
      <w:pPr>
        <w:jc w:val="both"/>
        <w:ind w:right="60" w:firstLine="357"/>
        <w:spacing w:after="0" w:line="242" w:lineRule="auto"/>
        <w:rPr>
          <w:sz w:val="20"/>
          <w:szCs w:val="20"/>
          <w:color w:val="auto"/>
        </w:rPr>
      </w:pPr>
      <w:r>
        <w:rPr>
          <w:rFonts w:ascii="Arial" w:cs="Arial" w:eastAsia="Arial" w:hAnsi="Arial"/>
          <w:sz w:val="19"/>
          <w:szCs w:val="19"/>
          <w:color w:val="auto"/>
        </w:rPr>
        <w:t>The effective tax rate increased by 0.1 of a percentage point in 2009 compared with 2008 due principally to a decreased impact from the settlement of audits, partially offset by increased benefits from (i) U.S. manufacturing incentives, (ii) U.S. tax credits and (iii) employee stock ownership plan dividends. The effective tax rate was lower than the U.S. statutory rate of 35 percent primarily due to earnings taxed at lower foreign rates.</w:t>
      </w:r>
    </w:p>
    <w:p>
      <w:pPr>
        <w:spacing w:after="0" w:line="91" w:lineRule="exact"/>
        <w:rPr>
          <w:sz w:val="20"/>
          <w:szCs w:val="20"/>
          <w:color w:val="auto"/>
        </w:rPr>
      </w:pPr>
    </w:p>
    <w:p>
      <w:pPr>
        <w:jc w:val="both"/>
        <w:ind w:right="40" w:firstLine="357"/>
        <w:spacing w:after="0" w:line="245" w:lineRule="auto"/>
        <w:rPr>
          <w:sz w:val="20"/>
          <w:szCs w:val="20"/>
          <w:color w:val="auto"/>
        </w:rPr>
      </w:pPr>
      <w:r>
        <w:rPr>
          <w:rFonts w:ascii="Arial" w:cs="Arial" w:eastAsia="Arial" w:hAnsi="Arial"/>
          <w:sz w:val="19"/>
          <w:szCs w:val="19"/>
          <w:color w:val="auto"/>
        </w:rPr>
        <w:t>The effective tax rate increased by 0.1 of a percentage point in 2008 compared with 2007 due principally to a higher overall state effective tax rate and a decreased impact from the settlement of audits, partially offset by a decrease in the foreign effective tax rate. The effective tax rate was lower than the U.S. statutory rate of 35 percent primarily due to earnings taxed at lower foreign tax rates.</w:t>
      </w:r>
    </w:p>
    <w:p>
      <w:pPr>
        <w:spacing w:after="0" w:line="87"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In 2010, the effective tax could change based upon the Company’s operating results and the outcome of tax positions taken regarding previously filed tax returns currently under audit by various Federal, State and foreign tax authorities, several of which may be finalized in the foreseeable future. The Company believes that it has adequate reserves for these matters, the outcome of which could materially impact the results of operations and operating cash flows in the period they are resolved.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27" w:name="page28"/>
    <w:bookmarkEnd w:id="27"/>
    <w:p>
      <w:pPr>
        <w:spacing w:after="0"/>
        <w:rPr>
          <w:sz w:val="20"/>
          <w:szCs w:val="20"/>
          <w:color w:val="auto"/>
        </w:rPr>
      </w:pPr>
      <w:r>
        <w:rPr>
          <w:rFonts w:ascii="Arial" w:cs="Arial" w:eastAsia="Arial" w:hAnsi="Arial"/>
          <w:sz w:val="19"/>
          <w:szCs w:val="19"/>
          <w:b w:val="1"/>
          <w:bCs w:val="1"/>
          <w:color w:val="auto"/>
        </w:rPr>
        <w:t>Net Income Attributable to Honeywell</w:t>
      </w:r>
    </w:p>
    <w:p>
      <w:pPr>
        <w:spacing w:after="0" w:line="129" w:lineRule="exact"/>
        <w:rPr>
          <w:sz w:val="20"/>
          <w:szCs w:val="20"/>
          <w:color w:val="auto"/>
        </w:rPr>
      </w:pPr>
    </w:p>
    <w:p>
      <w:pPr>
        <w:ind w:left="7900"/>
        <w:spacing w:after="0"/>
        <w:tabs>
          <w:tab w:leader="none" w:pos="9040" w:val="left"/>
          <w:tab w:leader="none" w:pos="10260" w:val="left"/>
        </w:tabs>
        <w:rPr>
          <w:sz w:val="20"/>
          <w:szCs w:val="20"/>
          <w:color w:val="auto"/>
        </w:rPr>
      </w:pPr>
      <w:r>
        <w:rPr>
          <w:rFonts w:ascii="Arial" w:cs="Arial" w:eastAsia="Arial" w:hAnsi="Arial"/>
          <w:sz w:val="16"/>
          <w:szCs w:val="16"/>
          <w:b w:val="1"/>
          <w:bCs w:val="1"/>
          <w:color w:val="auto"/>
        </w:rPr>
        <w:t>2009</w:t>
      </w:r>
      <w:r>
        <w:rPr>
          <w:sz w:val="20"/>
          <w:szCs w:val="20"/>
          <w:color w:val="auto"/>
        </w:rPr>
        <w:tab/>
      </w:r>
      <w:r>
        <w:rPr>
          <w:rFonts w:ascii="Arial" w:cs="Arial" w:eastAsia="Arial" w:hAnsi="Arial"/>
          <w:sz w:val="16"/>
          <w:szCs w:val="16"/>
          <w:b w:val="1"/>
          <w:bCs w:val="1"/>
          <w:color w:val="auto"/>
        </w:rPr>
        <w:t>2008</w:t>
      </w:r>
      <w:r>
        <w:rPr>
          <w:sz w:val="20"/>
          <w:szCs w:val="20"/>
          <w:color w:val="auto"/>
        </w:rPr>
        <w:tab/>
      </w:r>
      <w:r>
        <w:rPr>
          <w:rFonts w:ascii="Arial" w:cs="Arial" w:eastAsia="Arial" w:hAnsi="Arial"/>
          <w:sz w:val="15"/>
          <w:szCs w:val="15"/>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12700</wp:posOffset>
            </wp:positionV>
            <wp:extent cx="20669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12" w:lineRule="exact"/>
        <w:rPr>
          <w:sz w:val="20"/>
          <w:szCs w:val="20"/>
          <w:color w:val="auto"/>
        </w:rPr>
      </w:pPr>
    </w:p>
    <w:p>
      <w:pPr>
        <w:jc w:val="center"/>
        <w:ind w:left="7140"/>
        <w:spacing w:after="0"/>
        <w:rPr>
          <w:sz w:val="20"/>
          <w:szCs w:val="20"/>
          <w:color w:val="auto"/>
        </w:rPr>
      </w:pPr>
      <w:r>
        <w:rPr>
          <w:rFonts w:ascii="Arial" w:cs="Arial" w:eastAsia="Arial" w:hAnsi="Arial"/>
          <w:sz w:val="16"/>
          <w:szCs w:val="16"/>
          <w:b w:val="1"/>
          <w:bCs w:val="1"/>
          <w:color w:val="auto"/>
        </w:rPr>
        <w:t>(Dollars in millions, except</w:t>
      </w:r>
    </w:p>
    <w:p>
      <w:pPr>
        <w:spacing w:after="0" w:line="11" w:lineRule="exact"/>
        <w:rPr>
          <w:sz w:val="20"/>
          <w:szCs w:val="20"/>
          <w:color w:val="auto"/>
        </w:rPr>
      </w:pPr>
    </w:p>
    <w:p>
      <w:pPr>
        <w:jc w:val="center"/>
        <w:ind w:left="7140"/>
        <w:spacing w:after="0"/>
        <w:rPr>
          <w:sz w:val="20"/>
          <w:szCs w:val="20"/>
          <w:color w:val="auto"/>
        </w:rPr>
      </w:pPr>
      <w:r>
        <w:rPr>
          <w:rFonts w:ascii="Arial" w:cs="Arial" w:eastAsia="Arial" w:hAnsi="Arial"/>
          <w:sz w:val="16"/>
          <w:szCs w:val="16"/>
          <w:b w:val="1"/>
          <w:bCs w:val="1"/>
          <w:color w:val="auto"/>
        </w:rPr>
        <w:t>per share amounts)</w:t>
      </w:r>
    </w:p>
    <w:p>
      <w:pPr>
        <w:spacing w:after="0" w:line="20" w:lineRule="exact"/>
        <w:rPr>
          <w:sz w:val="20"/>
          <w:szCs w:val="20"/>
          <w:color w:val="auto"/>
        </w:rPr>
      </w:pPr>
    </w:p>
    <w:tbl>
      <w:tblPr>
        <w:tblLayout w:type="fixed"/>
        <w:tblInd w:w="500" w:type="dxa"/>
        <w:tblCellMar>
          <w:top w:w="0" w:type="dxa"/>
          <w:left w:w="0" w:type="dxa"/>
          <w:bottom w:w="0" w:type="dxa"/>
          <w:right w:w="0" w:type="dxa"/>
        </w:tblCellMar>
      </w:tblPr>
      <w:tr>
        <w:trPr>
          <w:trHeight w:val="250"/>
        </w:trPr>
        <w:tc>
          <w:tcPr>
            <w:tcW w:w="60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 attributable to Honeywell</w:t>
            </w:r>
          </w:p>
        </w:tc>
        <w:tc>
          <w:tcPr>
            <w:tcW w:w="1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2,153</w:t>
            </w: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2,792</w:t>
            </w: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2,444</w:t>
            </w:r>
          </w:p>
        </w:tc>
      </w:tr>
      <w:tr>
        <w:trPr>
          <w:trHeight w:val="274"/>
        </w:trPr>
        <w:tc>
          <w:tcPr>
            <w:tcW w:w="6040" w:type="dxa"/>
            <w:vAlign w:val="bottom"/>
          </w:tcPr>
          <w:p>
            <w:pPr>
              <w:ind w:left="20"/>
              <w:spacing w:after="0"/>
              <w:rPr>
                <w:sz w:val="20"/>
                <w:szCs w:val="20"/>
                <w:color w:val="auto"/>
              </w:rPr>
            </w:pPr>
            <w:r>
              <w:rPr>
                <w:rFonts w:ascii="Arial" w:cs="Arial" w:eastAsia="Arial" w:hAnsi="Arial"/>
                <w:sz w:val="19"/>
                <w:szCs w:val="19"/>
                <w:color w:val="auto"/>
              </w:rPr>
              <w:t>Earnings per share of common stock—assuming dilution</w:t>
            </w:r>
          </w:p>
        </w:tc>
        <w:tc>
          <w:tcPr>
            <w:tcW w:w="132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143"/>
              <w:spacing w:after="0"/>
              <w:rPr>
                <w:sz w:val="20"/>
                <w:szCs w:val="20"/>
                <w:color w:val="auto"/>
              </w:rPr>
            </w:pPr>
            <w:r>
              <w:rPr>
                <w:rFonts w:ascii="Arial" w:cs="Arial" w:eastAsia="Arial" w:hAnsi="Arial"/>
                <w:sz w:val="19"/>
                <w:szCs w:val="19"/>
                <w:color w:val="auto"/>
              </w:rPr>
              <w:t>2.85</w:t>
            </w: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143"/>
              <w:spacing w:after="0"/>
              <w:rPr>
                <w:sz w:val="20"/>
                <w:szCs w:val="20"/>
                <w:color w:val="auto"/>
              </w:rPr>
            </w:pPr>
            <w:r>
              <w:rPr>
                <w:rFonts w:ascii="Arial" w:cs="Arial" w:eastAsia="Arial" w:hAnsi="Arial"/>
                <w:sz w:val="19"/>
                <w:szCs w:val="19"/>
                <w:color w:val="auto"/>
              </w:rPr>
              <w:t>3.76</w:t>
            </w: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3"/>
              <w:spacing w:after="0"/>
              <w:rPr>
                <w:sz w:val="20"/>
                <w:szCs w:val="20"/>
                <w:color w:val="auto"/>
              </w:rPr>
            </w:pPr>
            <w:r>
              <w:rPr>
                <w:rFonts w:ascii="Arial" w:cs="Arial" w:eastAsia="Arial" w:hAnsi="Arial"/>
                <w:sz w:val="19"/>
                <w:szCs w:val="19"/>
                <w:color w:val="auto"/>
              </w:rPr>
              <w:t>3.16</w:t>
            </w:r>
          </w:p>
        </w:tc>
      </w:tr>
    </w:tbl>
    <w:p>
      <w:pPr>
        <w:spacing w:after="0" w:line="10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The decrease of $0.91 in earnings per share of common stock—assuming dilution in 2009 compared with 2008 primarily relates to a decrease in segment profit in each of our business segments, decreased Other (Income) Expense, as discussed above, and an increase in the number of shares outstanding partially offset by lower repositioning charges.</w:t>
      </w:r>
    </w:p>
    <w:p>
      <w:pPr>
        <w:spacing w:after="0" w:line="87"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The increase of $ 0.60 in earnings per share of common stock—assuming dilution in 2008 compared with 2007 primarily relates to (i) the gain on sale of the Consumables Solutions business, (ii) lower pension and other post retirement expense, (iii) an increase in segment profit (most significantly in Automation and Control Solutions and Aerospace, partially offset by a decline in Transportation Systems segment profit) and (iv) a reduction in the number of shares outstanding due to share repurchases, partially offset by increased repositioning costs.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further discussion of segment results, see “Review of Business Segments”.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OVERVIEW</w:t>
      </w:r>
    </w:p>
    <w:p>
      <w:pPr>
        <w:spacing w:after="0" w:line="116"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This Business Overview provides a summary of Honeywell and its four reportable operating segments (Aerospace, Automation and Control Solutions, Specialty Materials and Transportation Systems), including their respective areas of focus for 2010 and the relevant economic and other factors impacting their results, and a discussion of each segment’s results for the three years ended December 31, 2009. Each of these segments is comprised of various product and service classes that serve multiple end markets. See Note 23 to the financial statements for further information on our reportable segments and our definition of segment profit.</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Economic and Other Factors</w:t>
      </w:r>
    </w:p>
    <w:p>
      <w:pPr>
        <w:spacing w:after="0" w:line="130" w:lineRule="exact"/>
        <w:rPr>
          <w:sz w:val="20"/>
          <w:szCs w:val="20"/>
          <w:color w:val="auto"/>
        </w:rPr>
      </w:pPr>
    </w:p>
    <w:p>
      <w:pPr>
        <w:ind w:right="360" w:firstLine="357"/>
        <w:spacing w:after="0" w:line="253" w:lineRule="auto"/>
        <w:rPr>
          <w:sz w:val="20"/>
          <w:szCs w:val="20"/>
          <w:color w:val="auto"/>
        </w:rPr>
      </w:pPr>
      <w:r>
        <w:rPr>
          <w:rFonts w:ascii="Arial" w:cs="Arial" w:eastAsia="Arial" w:hAnsi="Arial"/>
          <w:sz w:val="19"/>
          <w:szCs w:val="19"/>
          <w:color w:val="auto"/>
        </w:rPr>
        <w:t>In addition to the factors listed below with respect to each of our operating segments, our consolidated operating results are principally driven by:</w:t>
      </w:r>
    </w:p>
    <w:p>
      <w:pPr>
        <w:spacing w:after="0" w:line="134" w:lineRule="exact"/>
        <w:rPr>
          <w:sz w:val="20"/>
          <w:szCs w:val="20"/>
          <w:color w:val="auto"/>
        </w:rPr>
      </w:pPr>
    </w:p>
    <w:p>
      <w:pPr>
        <w:ind w:left="540" w:right="200" w:hanging="158"/>
        <w:spacing w:after="0" w:line="253"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Impact of global economic growth rates (U.S., Europe and emerging regions) and industry conditions on demand in our key end markets;</w:t>
      </w:r>
    </w:p>
    <w:p>
      <w:pPr>
        <w:spacing w:after="0" w:line="93" w:lineRule="exact"/>
        <w:rPr>
          <w:rFonts w:ascii="Arial" w:cs="Arial" w:eastAsia="Arial" w:hAnsi="Arial"/>
          <w:sz w:val="19"/>
          <w:szCs w:val="19"/>
          <w:color w:val="auto"/>
        </w:rPr>
      </w:pPr>
    </w:p>
    <w:p>
      <w:pPr>
        <w:ind w:left="540" w:right="60" w:hanging="158"/>
        <w:spacing w:after="0" w:line="253"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Overall sales mix, in particular the mix of Aerospace original equipment and aftermarket sales and the mix of Automation and Control Solutions (ACS) products and services sales;</w:t>
      </w:r>
    </w:p>
    <w:p>
      <w:pPr>
        <w:spacing w:after="0" w:line="93" w:lineRule="exact"/>
        <w:rPr>
          <w:rFonts w:ascii="Arial" w:cs="Arial" w:eastAsia="Arial" w:hAnsi="Arial"/>
          <w:sz w:val="19"/>
          <w:szCs w:val="19"/>
          <w:color w:val="auto"/>
        </w:rPr>
      </w:pPr>
    </w:p>
    <w:p>
      <w:pPr>
        <w:ind w:left="540" w:hanging="158"/>
        <w:spacing w:after="0" w:line="253"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extent to which cost savings from productivity actions are able to offset or exceed the impact of material and non-material inflation;</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impact of the pension discount rate on pension expense and pension asset returns on funding requirements;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impact of changes in foreign currency exchange rate, particularly the U.S. dollar-Euro exchange rate.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Areas of Focus for 2010</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areas of focus for 2010, which are generally applicable to each of our operating segments, include:</w:t>
      </w:r>
    </w:p>
    <w:p>
      <w:pPr>
        <w:spacing w:after="0" w:line="160" w:lineRule="exact"/>
        <w:rPr>
          <w:sz w:val="20"/>
          <w:szCs w:val="20"/>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Driving profitable growth by building innovative products that address customer needs;</w:t>
      </w:r>
    </w:p>
    <w:p>
      <w:pPr>
        <w:spacing w:after="0" w:line="132" w:lineRule="exact"/>
        <w:rPr>
          <w:rFonts w:ascii="Arial" w:cs="Arial" w:eastAsia="Arial" w:hAnsi="Arial"/>
          <w:sz w:val="19"/>
          <w:szCs w:val="19"/>
          <w:color w:val="auto"/>
        </w:rPr>
      </w:pPr>
    </w:p>
    <w:p>
      <w:pPr>
        <w:ind w:left="540" w:right="120" w:hanging="158"/>
        <w:spacing w:after="0" w:line="253"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Achieving sales growth, technological excellence and manufacturing capability through global expansion, especially focused on emerging regions in China, India and the Middle East;</w:t>
      </w:r>
    </w:p>
    <w:p>
      <w:pPr>
        <w:spacing w:after="0" w:line="93" w:lineRule="exact"/>
        <w:rPr>
          <w:rFonts w:ascii="Arial" w:cs="Arial" w:eastAsia="Arial" w:hAnsi="Arial"/>
          <w:sz w:val="19"/>
          <w:szCs w:val="19"/>
          <w:color w:val="auto"/>
        </w:rPr>
      </w:pPr>
    </w:p>
    <w:p>
      <w:pPr>
        <w:ind w:left="540" w:right="400" w:hanging="158"/>
        <w:spacing w:after="0" w:line="253"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Proactively managing raw material costs through formula and long term supply agreements, price increases and hedging activities, where feasible;</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6" w:right="359" w:bottom="1440" w:gutter="0" w:footer="0" w:header="0"/>
        </w:sectPr>
      </w:pPr>
    </w:p>
    <w:bookmarkStart w:id="28" w:name="page29"/>
    <w:bookmarkEnd w:id="28"/>
    <w:p>
      <w:pPr>
        <w:ind w:left="540" w:right="120" w:hanging="158"/>
        <w:spacing w:after="0" w:line="25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Driving cash flow conversion through effective working capital management and capital investment in our businesses, thereby enabling liquidity, repayment of debt, strategic acquisitions, and the ability to return value to shareholders;</w:t>
      </w:r>
    </w:p>
    <w:p>
      <w:pPr>
        <w:spacing w:after="0" w:line="93" w:lineRule="exact"/>
        <w:rPr>
          <w:rFonts w:ascii="Arial" w:cs="Arial" w:eastAsia="Arial" w:hAnsi="Arial"/>
          <w:sz w:val="19"/>
          <w:szCs w:val="19"/>
          <w:color w:val="auto"/>
        </w:rPr>
      </w:pPr>
    </w:p>
    <w:p>
      <w:pPr>
        <w:ind w:left="540" w:right="20" w:hanging="158"/>
        <w:spacing w:after="0" w:line="245"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Actively monitoring trends in short-cycle end markets, such as the Transportations Systems Turbo business, ACS Products businesses, Aerospace commercial aftermarket and Specialty Materials resins and chemicals, and continuing to take proactive cost actions;</w:t>
      </w:r>
    </w:p>
    <w:p>
      <w:pPr>
        <w:spacing w:after="0" w:line="100" w:lineRule="exact"/>
        <w:rPr>
          <w:rFonts w:ascii="Arial" w:cs="Arial" w:eastAsia="Arial" w:hAnsi="Arial"/>
          <w:sz w:val="19"/>
          <w:szCs w:val="19"/>
          <w:color w:val="auto"/>
        </w:rPr>
      </w:pPr>
    </w:p>
    <w:p>
      <w:pPr>
        <w:ind w:left="540" w:hanging="15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Aligning and prioritizing investments in long-term growth vs. short-term demand volatility;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Driving productivity savings through execution of repositioning actions;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Maintaining reduced discretionary spending levels with focus on non-customer related costs;</w:t>
      </w:r>
    </w:p>
    <w:p>
      <w:pPr>
        <w:spacing w:after="0" w:line="132" w:lineRule="exact"/>
        <w:rPr>
          <w:rFonts w:ascii="Arial" w:cs="Arial" w:eastAsia="Arial" w:hAnsi="Arial"/>
          <w:sz w:val="19"/>
          <w:szCs w:val="19"/>
          <w:color w:val="auto"/>
        </w:rPr>
      </w:pPr>
    </w:p>
    <w:p>
      <w:pPr>
        <w:ind w:left="540" w:right="60" w:hanging="158"/>
        <w:spacing w:after="0" w:line="25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Ensuring preparedness to maximize performance in response to the end of customer inventory de-stocking and/or improving end market conditions while controlling costs by proactively managing capacity utilization, supply chain and inventory demand;</w:t>
      </w:r>
    </w:p>
    <w:p>
      <w:pPr>
        <w:spacing w:after="0" w:line="93" w:lineRule="exact"/>
        <w:rPr>
          <w:rFonts w:ascii="Arial" w:cs="Arial" w:eastAsia="Arial" w:hAnsi="Arial"/>
          <w:sz w:val="19"/>
          <w:szCs w:val="19"/>
          <w:color w:val="auto"/>
        </w:rPr>
      </w:pPr>
    </w:p>
    <w:p>
      <w:pPr>
        <w:jc w:val="both"/>
        <w:ind w:left="540" w:right="500" w:hanging="158"/>
        <w:spacing w:after="0" w:line="242"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Utilizing our enablers Honeywell Operating System (HOS), Functional Transformation and Velocity Product Development (VPD) to standardize the way we work, increase quality and reduce the costs of product manufacturing, reduce costs and enhance the quality of our administrative functions and improve business operations through investments in systems and process improvements;</w:t>
      </w:r>
    </w:p>
    <w:p>
      <w:pPr>
        <w:spacing w:after="0" w:line="104" w:lineRule="exact"/>
        <w:rPr>
          <w:rFonts w:ascii="Arial" w:cs="Arial" w:eastAsia="Arial" w:hAnsi="Arial"/>
          <w:sz w:val="19"/>
          <w:szCs w:val="19"/>
          <w:color w:val="auto"/>
        </w:rPr>
      </w:pPr>
    </w:p>
    <w:p>
      <w:pPr>
        <w:ind w:left="540" w:right="360" w:hanging="158"/>
        <w:spacing w:after="0" w:line="25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Monitoring both suppliers and customers for signs of liquidity constraints, limiting exposure to any resulting inability to meet delivery commitments or pay amounts due, and identifying alternate sources of supply as necessary; and</w:t>
      </w:r>
    </w:p>
    <w:p>
      <w:pPr>
        <w:spacing w:after="0" w:line="93" w:lineRule="exact"/>
        <w:rPr>
          <w:rFonts w:ascii="Arial" w:cs="Arial" w:eastAsia="Arial" w:hAnsi="Arial"/>
          <w:sz w:val="19"/>
          <w:szCs w:val="19"/>
          <w:color w:val="auto"/>
        </w:rPr>
      </w:pPr>
    </w:p>
    <w:p>
      <w:pPr>
        <w:ind w:left="540" w:right="860" w:hanging="158"/>
        <w:spacing w:after="0" w:line="25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Managing Corporate costs, including costs incurred for asbestos and environmental matters, pension and other post-retirement expenses and our tax expense.</w:t>
      </w: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Review of Business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2007</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8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(Dollars in millions)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6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tcPr>
          <w:p>
            <w:pPr>
              <w:ind w:left="380"/>
              <w:spacing w:after="0"/>
              <w:rPr>
                <w:sz w:val="20"/>
                <w:szCs w:val="20"/>
                <w:color w:val="auto"/>
              </w:rPr>
            </w:pPr>
            <w:r>
              <w:rPr>
                <w:rFonts w:ascii="Arial" w:cs="Arial" w:eastAsia="Arial" w:hAnsi="Arial"/>
                <w:sz w:val="19"/>
                <w:szCs w:val="19"/>
                <w:color w:val="auto"/>
              </w:rPr>
              <w:t>Aerospace</w:t>
            </w:r>
          </w:p>
        </w:tc>
        <w:tc>
          <w:tcPr>
            <w:tcW w:w="282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10,763</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12,650</w:t>
            </w:r>
          </w:p>
        </w:tc>
        <w:tc>
          <w:tcPr>
            <w:tcW w:w="3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12,236</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Automation and Control Solutions</w:t>
            </w:r>
          </w:p>
        </w:tc>
        <w:tc>
          <w:tcPr>
            <w:tcW w:w="26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12,611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14,018</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12,478</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tcPr>
          <w:p>
            <w:pPr>
              <w:ind w:left="380"/>
              <w:spacing w:after="0"/>
              <w:rPr>
                <w:sz w:val="20"/>
                <w:szCs w:val="20"/>
                <w:color w:val="auto"/>
              </w:rPr>
            </w:pPr>
            <w:r>
              <w:rPr>
                <w:rFonts w:ascii="Arial" w:cs="Arial" w:eastAsia="Arial" w:hAnsi="Arial"/>
                <w:sz w:val="19"/>
                <w:szCs w:val="19"/>
                <w:color w:val="auto"/>
              </w:rPr>
              <w:t>Specialty Materials</w:t>
            </w:r>
          </w:p>
        </w:tc>
        <w:tc>
          <w:tcPr>
            <w:tcW w:w="2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4,144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5,266</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4,866</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Transportation Systems</w:t>
            </w:r>
          </w:p>
        </w:tc>
        <w:tc>
          <w:tcPr>
            <w:tcW w:w="26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3,389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4,622</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5,009</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tcPr>
          <w:p>
            <w:pPr>
              <w:ind w:left="380"/>
              <w:spacing w:after="0"/>
              <w:rPr>
                <w:sz w:val="20"/>
                <w:szCs w:val="20"/>
                <w:color w:val="auto"/>
              </w:rPr>
            </w:pPr>
            <w:r>
              <w:rPr>
                <w:rFonts w:ascii="Arial" w:cs="Arial" w:eastAsia="Arial" w:hAnsi="Arial"/>
                <w:sz w:val="19"/>
                <w:szCs w:val="19"/>
                <w:color w:val="auto"/>
              </w:rPr>
              <w:t>Corporate</w:t>
            </w:r>
          </w:p>
        </w:tc>
        <w:tc>
          <w:tcPr>
            <w:tcW w:w="2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3"/>
                <w:szCs w:val="23"/>
                <w:color w:val="auto"/>
              </w:rPr>
            </w:pP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shd w:val="clear" w:color="auto" w:fill="E5FFFF"/>
          </w:tcPr>
          <w:p>
            <w:pPr>
              <w:spacing w:after="0"/>
              <w:rPr>
                <w:sz w:val="23"/>
                <w:szCs w:val="23"/>
                <w:color w:val="auto"/>
              </w:rPr>
            </w:pPr>
          </w:p>
        </w:tc>
        <w:tc>
          <w:tcPr>
            <w:tcW w:w="28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30,908</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36,556</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34,589</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80" w:type="dxa"/>
            <w:vAlign w:val="bottom"/>
            <w:vMerge w:val="restart"/>
          </w:tcPr>
          <w:p>
            <w:pPr>
              <w:ind w:left="20"/>
              <w:spacing w:after="0"/>
              <w:rPr>
                <w:sz w:val="20"/>
                <w:szCs w:val="20"/>
                <w:color w:val="auto"/>
              </w:rPr>
            </w:pPr>
            <w:r>
              <w:rPr>
                <w:rFonts w:ascii="Arial" w:cs="Arial" w:eastAsia="Arial" w:hAnsi="Arial"/>
                <w:sz w:val="19"/>
                <w:szCs w:val="19"/>
                <w:color w:val="auto"/>
              </w:rPr>
              <w:t>Segment Profit</w:t>
            </w:r>
          </w:p>
        </w:tc>
        <w:tc>
          <w:tcPr>
            <w:tcW w:w="2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sz w:val="22"/>
                <w:szCs w:val="22"/>
                <w:color w:val="auto"/>
              </w:rPr>
            </w:pPr>
          </w:p>
        </w:tc>
        <w:tc>
          <w:tcPr>
            <w:tcW w:w="4180" w:type="dxa"/>
            <w:vAlign w:val="bottom"/>
            <w:vMerge w:val="continue"/>
          </w:tcPr>
          <w:p>
            <w:pPr>
              <w:spacing w:after="0"/>
              <w:rPr>
                <w:sz w:val="22"/>
                <w:szCs w:val="22"/>
                <w:color w:val="auto"/>
              </w:rPr>
            </w:pPr>
          </w:p>
        </w:tc>
        <w:tc>
          <w:tcPr>
            <w:tcW w:w="2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Aerospace</w:t>
            </w:r>
          </w:p>
        </w:tc>
        <w:tc>
          <w:tcPr>
            <w:tcW w:w="28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1,893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2,300</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2,197</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tcPr>
          <w:p>
            <w:pPr>
              <w:ind w:left="380"/>
              <w:spacing w:after="0"/>
              <w:rPr>
                <w:sz w:val="20"/>
                <w:szCs w:val="20"/>
                <w:color w:val="auto"/>
              </w:rPr>
            </w:pPr>
            <w:r>
              <w:rPr>
                <w:rFonts w:ascii="Arial" w:cs="Arial" w:eastAsia="Arial" w:hAnsi="Arial"/>
                <w:sz w:val="19"/>
                <w:szCs w:val="19"/>
                <w:color w:val="auto"/>
              </w:rPr>
              <w:t>Automation and Control Solutions</w:t>
            </w:r>
          </w:p>
        </w:tc>
        <w:tc>
          <w:tcPr>
            <w:tcW w:w="2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1,588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1,622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1,405</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Specialty Materials</w:t>
            </w:r>
          </w:p>
        </w:tc>
        <w:tc>
          <w:tcPr>
            <w:tcW w:w="26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605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721</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658</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tcPr>
          <w:p>
            <w:pPr>
              <w:ind w:left="380"/>
              <w:spacing w:after="0"/>
              <w:rPr>
                <w:sz w:val="20"/>
                <w:szCs w:val="20"/>
                <w:color w:val="auto"/>
              </w:rPr>
            </w:pPr>
            <w:r>
              <w:rPr>
                <w:rFonts w:ascii="Arial" w:cs="Arial" w:eastAsia="Arial" w:hAnsi="Arial"/>
                <w:sz w:val="19"/>
                <w:szCs w:val="19"/>
                <w:color w:val="auto"/>
              </w:rPr>
              <w:t>Transportation Systems</w:t>
            </w:r>
          </w:p>
        </w:tc>
        <w:tc>
          <w:tcPr>
            <w:tcW w:w="2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156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406</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583</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1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w:t>
            </w:r>
          </w:p>
        </w:tc>
        <w:tc>
          <w:tcPr>
            <w:tcW w:w="26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(145 )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(204 )</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(189 )</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2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4,097</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4,845</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4,654</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0" w:type="dxa"/>
            <w:vAlign w:val="bottom"/>
            <w:vMerge w:val="restart"/>
          </w:tcPr>
          <w:p>
            <w:pPr>
              <w:jc w:val="right"/>
              <w:ind w:right="1363"/>
              <w:spacing w:after="0"/>
              <w:rPr>
                <w:sz w:val="20"/>
                <w:szCs w:val="20"/>
                <w:color w:val="auto"/>
              </w:rPr>
            </w:pPr>
            <w:r>
              <w:rPr>
                <w:rFonts w:ascii="Arial" w:cs="Arial" w:eastAsia="Arial" w:hAnsi="Arial"/>
                <w:sz w:val="19"/>
                <w:szCs w:val="19"/>
                <w:color w:val="auto"/>
              </w:rPr>
              <w:t>26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29" w:name="page30"/>
    <w:bookmarkEnd w:id="29"/>
    <w:p>
      <w:pPr>
        <w:ind w:left="360"/>
        <w:spacing w:after="0"/>
        <w:rPr>
          <w:sz w:val="20"/>
          <w:szCs w:val="20"/>
          <w:color w:val="auto"/>
        </w:rPr>
      </w:pPr>
      <w:r>
        <w:rPr>
          <w:rFonts w:ascii="Arial" w:cs="Arial" w:eastAsia="Arial" w:hAnsi="Arial"/>
          <w:sz w:val="19"/>
          <w:szCs w:val="19"/>
          <w:color w:val="auto"/>
        </w:rPr>
        <w:t>A reconciliation of segment profit to income from continuing operations before taxes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86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2007</w:t>
            </w:r>
          </w:p>
        </w:tc>
      </w:tr>
      <w:tr>
        <w:trPr>
          <w:trHeight w:val="264"/>
        </w:trPr>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gridSpan w:val="4"/>
          </w:tcPr>
          <w:p>
            <w:pPr>
              <w:ind w:left="60"/>
              <w:spacing w:after="0"/>
              <w:rPr>
                <w:sz w:val="20"/>
                <w:szCs w:val="20"/>
                <w:color w:val="auto"/>
              </w:rPr>
            </w:pPr>
            <w:r>
              <w:rPr>
                <w:rFonts w:ascii="Arial" w:cs="Arial" w:eastAsia="Arial" w:hAnsi="Arial"/>
                <w:sz w:val="16"/>
                <w:szCs w:val="16"/>
                <w:b w:val="1"/>
                <w:bCs w:val="1"/>
                <w:color w:val="auto"/>
                <w:w w:val="98"/>
              </w:rPr>
              <w:t>(Dollars in millions)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500" w:type="dxa"/>
            <w:vAlign w:val="bottom"/>
          </w:tcPr>
          <w:p>
            <w:pPr>
              <w:spacing w:after="0"/>
              <w:rPr>
                <w:sz w:val="23"/>
                <w:szCs w:val="23"/>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$ 4,097</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4,845</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4,654</w:t>
            </w:r>
          </w:p>
        </w:tc>
      </w:tr>
      <w:tr>
        <w:trPr>
          <w:trHeight w:val="270"/>
        </w:trPr>
        <w:tc>
          <w:tcPr>
            <w:tcW w:w="500" w:type="dxa"/>
            <w:vAlign w:val="bottom"/>
          </w:tcPr>
          <w:p>
            <w:pPr>
              <w:spacing w:after="0"/>
              <w:rPr>
                <w:sz w:val="23"/>
                <w:szCs w:val="23"/>
                <w:color w:val="auto"/>
              </w:rPr>
            </w:pPr>
          </w:p>
        </w:tc>
        <w:tc>
          <w:tcPr>
            <w:tcW w:w="7080" w:type="dxa"/>
            <w:vAlign w:val="bottom"/>
            <w:gridSpan w:val="2"/>
          </w:tcPr>
          <w:p>
            <w:pPr>
              <w:ind w:left="20"/>
              <w:spacing w:after="0"/>
              <w:rPr>
                <w:sz w:val="20"/>
                <w:szCs w:val="20"/>
                <w:color w:val="auto"/>
              </w:rPr>
            </w:pPr>
            <w:r>
              <w:rPr>
                <w:rFonts w:ascii="Arial" w:cs="Arial" w:eastAsia="Arial" w:hAnsi="Arial"/>
                <w:sz w:val="19"/>
                <w:szCs w:val="19"/>
                <w:color w:val="auto"/>
              </w:rPr>
              <w:t>Other income (expense)(1)</w:t>
            </w:r>
          </w:p>
        </w:tc>
        <w:tc>
          <w:tcPr>
            <w:tcW w:w="860" w:type="dxa"/>
            <w:vAlign w:val="bottom"/>
          </w:tcPr>
          <w:p>
            <w:pPr>
              <w:jc w:val="right"/>
              <w:ind w:right="45"/>
              <w:spacing w:after="0"/>
              <w:rPr>
                <w:sz w:val="20"/>
                <w:szCs w:val="20"/>
                <w:color w:val="auto"/>
              </w:rPr>
            </w:pPr>
            <w:r>
              <w:rPr>
                <w:rFonts w:ascii="Arial" w:cs="Arial" w:eastAsia="Arial" w:hAnsi="Arial"/>
                <w:sz w:val="19"/>
                <w:szCs w:val="19"/>
                <w:color w:val="auto"/>
              </w:rPr>
              <w:t>29</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65"/>
              <w:spacing w:after="0"/>
              <w:rPr>
                <w:sz w:val="20"/>
                <w:szCs w:val="20"/>
                <w:color w:val="auto"/>
              </w:rPr>
            </w:pPr>
            <w:r>
              <w:rPr>
                <w:rFonts w:ascii="Arial" w:cs="Arial" w:eastAsia="Arial" w:hAnsi="Arial"/>
                <w:sz w:val="19"/>
                <w:szCs w:val="19"/>
                <w:color w:val="auto"/>
              </w:rPr>
              <w:t>685</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65"/>
              <w:spacing w:after="0"/>
              <w:rPr>
                <w:sz w:val="20"/>
                <w:szCs w:val="20"/>
                <w:color w:val="auto"/>
              </w:rPr>
            </w:pPr>
            <w:r>
              <w:rPr>
                <w:rFonts w:ascii="Arial" w:cs="Arial" w:eastAsia="Arial" w:hAnsi="Arial"/>
                <w:sz w:val="19"/>
                <w:szCs w:val="19"/>
                <w:color w:val="auto"/>
              </w:rPr>
              <w:t>69</w:t>
            </w:r>
          </w:p>
        </w:tc>
      </w:tr>
      <w:tr>
        <w:trPr>
          <w:trHeight w:val="270"/>
        </w:trPr>
        <w:tc>
          <w:tcPr>
            <w:tcW w:w="500" w:type="dxa"/>
            <w:vAlign w:val="bottom"/>
          </w:tcPr>
          <w:p>
            <w:pPr>
              <w:spacing w:after="0"/>
              <w:rPr>
                <w:sz w:val="23"/>
                <w:szCs w:val="23"/>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Interest and other financial charges</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(459 )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(456 )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(456 )</w:t>
            </w:r>
          </w:p>
        </w:tc>
      </w:tr>
      <w:tr>
        <w:trPr>
          <w:trHeight w:val="270"/>
        </w:trPr>
        <w:tc>
          <w:tcPr>
            <w:tcW w:w="500" w:type="dxa"/>
            <w:vAlign w:val="bottom"/>
          </w:tcPr>
          <w:p>
            <w:pPr>
              <w:spacing w:after="0"/>
              <w:rPr>
                <w:sz w:val="23"/>
                <w:szCs w:val="23"/>
                <w:color w:val="auto"/>
              </w:rPr>
            </w:pPr>
          </w:p>
        </w:tc>
        <w:tc>
          <w:tcPr>
            <w:tcW w:w="7080" w:type="dxa"/>
            <w:vAlign w:val="bottom"/>
            <w:gridSpan w:val="2"/>
          </w:tcPr>
          <w:p>
            <w:pPr>
              <w:ind w:left="20"/>
              <w:spacing w:after="0"/>
              <w:rPr>
                <w:sz w:val="20"/>
                <w:szCs w:val="20"/>
                <w:color w:val="auto"/>
              </w:rPr>
            </w:pPr>
            <w:r>
              <w:rPr>
                <w:rFonts w:ascii="Arial" w:cs="Arial" w:eastAsia="Arial" w:hAnsi="Arial"/>
                <w:sz w:val="19"/>
                <w:szCs w:val="19"/>
                <w:color w:val="auto"/>
              </w:rPr>
              <w:t>Stock compensation expense(2),(3)</w:t>
            </w:r>
          </w:p>
        </w:tc>
        <w:tc>
          <w:tcPr>
            <w:tcW w:w="860" w:type="dxa"/>
            <w:vAlign w:val="bottom"/>
          </w:tcPr>
          <w:p>
            <w:pPr>
              <w:jc w:val="right"/>
              <w:spacing w:after="0"/>
              <w:rPr>
                <w:sz w:val="20"/>
                <w:szCs w:val="20"/>
                <w:color w:val="auto"/>
              </w:rPr>
            </w:pPr>
            <w:r>
              <w:rPr>
                <w:rFonts w:ascii="Arial" w:cs="Arial" w:eastAsia="Arial" w:hAnsi="Arial"/>
                <w:sz w:val="19"/>
                <w:szCs w:val="19"/>
                <w:color w:val="auto"/>
              </w:rPr>
              <w:t>(118 )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(128 )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(65 )</w:t>
            </w:r>
          </w:p>
        </w:tc>
      </w:tr>
      <w:tr>
        <w:trPr>
          <w:trHeight w:val="270"/>
        </w:trPr>
        <w:tc>
          <w:tcPr>
            <w:tcW w:w="500" w:type="dxa"/>
            <w:vAlign w:val="bottom"/>
          </w:tcPr>
          <w:p>
            <w:pPr>
              <w:spacing w:after="0"/>
              <w:rPr>
                <w:sz w:val="23"/>
                <w:szCs w:val="23"/>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 and other postretirement benefits expense(2)</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(93 )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(322 )</w:t>
            </w:r>
          </w:p>
        </w:tc>
      </w:tr>
      <w:tr>
        <w:trPr>
          <w:trHeight w:val="270"/>
        </w:trPr>
        <w:tc>
          <w:tcPr>
            <w:tcW w:w="500" w:type="dxa"/>
            <w:vAlign w:val="bottom"/>
          </w:tcPr>
          <w:p>
            <w:pPr>
              <w:spacing w:after="0"/>
              <w:rPr>
                <w:sz w:val="23"/>
                <w:szCs w:val="23"/>
                <w:color w:val="auto"/>
              </w:rPr>
            </w:pPr>
          </w:p>
        </w:tc>
        <w:tc>
          <w:tcPr>
            <w:tcW w:w="7080" w:type="dxa"/>
            <w:vAlign w:val="bottom"/>
            <w:gridSpan w:val="2"/>
          </w:tcPr>
          <w:p>
            <w:pPr>
              <w:ind w:left="20"/>
              <w:spacing w:after="0"/>
              <w:rPr>
                <w:sz w:val="20"/>
                <w:szCs w:val="20"/>
                <w:color w:val="auto"/>
              </w:rPr>
            </w:pPr>
            <w:r>
              <w:rPr>
                <w:rFonts w:ascii="Arial" w:cs="Arial" w:eastAsia="Arial" w:hAnsi="Arial"/>
                <w:sz w:val="19"/>
                <w:szCs w:val="19"/>
                <w:color w:val="auto"/>
              </w:rPr>
              <w:t>Repositioning and other charges(2)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(478 )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(1,012 )</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(543 )</w:t>
            </w: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from continuing operations before taxes</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$ 2,978</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3,821</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3,337</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jc w:val="both"/>
        <w:ind w:left="400" w:right="280" w:hanging="332"/>
        <w:spacing w:after="0" w:line="245" w:lineRule="auto"/>
        <w:tabs>
          <w:tab w:leader="none" w:pos="400" w:val="left"/>
        </w:tabs>
        <w:numPr>
          <w:ilvl w:val="0"/>
          <w:numId w:val="5"/>
        </w:numPr>
        <w:rPr>
          <w:rFonts w:ascii="Arial" w:cs="Arial" w:eastAsia="Arial" w:hAnsi="Arial"/>
          <w:sz w:val="19"/>
          <w:szCs w:val="19"/>
          <w:color w:val="auto"/>
        </w:rPr>
      </w:pPr>
      <w:r>
        <w:rPr>
          <w:rFonts w:ascii="Arial" w:cs="Arial" w:eastAsia="Arial" w:hAnsi="Arial"/>
          <w:sz w:val="19"/>
          <w:szCs w:val="19"/>
          <w:color w:val="auto"/>
        </w:rPr>
        <w:t>Equity income/(loss) of affiliated companies was included in Segment Profit, on a prospective basis, commencing January 1, 2008. Other income/(expense) as presented above includes equity income of affiliated companies of $10 million for the year ended December 31, 2007.</w:t>
      </w:r>
    </w:p>
    <w:p>
      <w:pPr>
        <w:spacing w:after="0" w:line="100" w:lineRule="exact"/>
        <w:rPr>
          <w:rFonts w:ascii="Arial" w:cs="Arial" w:eastAsia="Arial" w:hAnsi="Arial"/>
          <w:sz w:val="19"/>
          <w:szCs w:val="19"/>
          <w:color w:val="auto"/>
        </w:rPr>
      </w:pPr>
    </w:p>
    <w:p>
      <w:pPr>
        <w:ind w:left="400" w:hanging="332"/>
        <w:spacing w:after="0"/>
        <w:tabs>
          <w:tab w:leader="none" w:pos="4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Amounts included in cost of products and services sold and selling, general and administrative expenses.</w:t>
      </w:r>
    </w:p>
    <w:p>
      <w:pPr>
        <w:spacing w:after="0" w:line="119" w:lineRule="exact"/>
        <w:rPr>
          <w:rFonts w:ascii="Arial" w:cs="Arial" w:eastAsia="Arial" w:hAnsi="Arial"/>
          <w:sz w:val="19"/>
          <w:szCs w:val="19"/>
          <w:color w:val="auto"/>
        </w:rPr>
      </w:pPr>
    </w:p>
    <w:p>
      <w:pPr>
        <w:ind w:left="400" w:right="80" w:hanging="332"/>
        <w:spacing w:after="0" w:line="245" w:lineRule="auto"/>
        <w:tabs>
          <w:tab w:leader="none" w:pos="40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Costs associated with restricted stock units (“RSU”) were excluded from Segment Profit, on a prospective basis, commencing January 1, 2008. Stock compensation expense, including RSU expense, totaled $112 million for the year ended December 31, 2007. Stock option expense is included for all periods presented.</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Aerospace is a leading global supplier of aircraft engines, avionics, and related products and services for aircraft manufacturers, airlines, aircraft operators, military services, and defense and space contractors. Our Aerospace products and services include auxiliary power units, propulsion engines, environmental control systems, engine controls, flight safety, communications, navigation, radar and surveillance systems, aircraft lighting, management and technical services, advanced systems and instruments, aircraft wheels and brakes and repair and overhaul services. Aerospace sells its products to original equipment (OE) manufacturers in the air transport, regional, business and general aviation aircraft segments, and provides spare parts and repair and maintenance services for the aftermarket (principally to aircraft operators). The United States Government is also a major customer for our defense and space products.</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Economic and Other Factors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Aerospace operating results are principally driven by:</w:t>
      </w:r>
    </w:p>
    <w:p>
      <w:pPr>
        <w:spacing w:after="0" w:line="160" w:lineRule="exact"/>
        <w:rPr>
          <w:sz w:val="20"/>
          <w:szCs w:val="20"/>
          <w:color w:val="auto"/>
        </w:rPr>
      </w:pPr>
    </w:p>
    <w:p>
      <w:pPr>
        <w:ind w:left="540" w:right="560" w:hanging="158"/>
        <w:spacing w:after="0" w:line="25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New aircraft production rates and delivery schedules set by commercial air transport, regional jet, business and general aviation OE manufacturers, as well as airline profitability and retirement of aircraft from service;</w:t>
      </w:r>
    </w:p>
    <w:p>
      <w:pPr>
        <w:spacing w:after="0" w:line="93" w:lineRule="exact"/>
        <w:rPr>
          <w:rFonts w:ascii="Arial" w:cs="Arial" w:eastAsia="Arial" w:hAnsi="Arial"/>
          <w:sz w:val="19"/>
          <w:szCs w:val="19"/>
          <w:color w:val="auto"/>
        </w:rPr>
      </w:pPr>
    </w:p>
    <w:p>
      <w:pPr>
        <w:jc w:val="both"/>
        <w:ind w:left="540" w:right="500" w:hanging="158"/>
        <w:spacing w:after="0" w:line="25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Global demand for commercial air travel as reflected in global flying hours and utilization rates for corporate and general aviation aircraft, as well as the demand for spare parts and maintenance and repair services for aircraft currently in use;</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Level and mix of U.S. Government appropriations for defense and space programs and military activity;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Availability and price volatility of raw materials such as titanium and other metals.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color w:val="auto"/>
        </w:rPr>
        <w:t>Results of Operations</w:t>
      </w:r>
    </w:p>
    <w:p>
      <w:pPr>
        <w:spacing w:after="0" w:line="129"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2009</w:t>
            </w: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2008</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6"/>
                <w:szCs w:val="16"/>
                <w:b w:val="1"/>
                <w:bCs w:val="1"/>
                <w:color w:val="auto"/>
              </w:rPr>
              <w:t>2007</w:t>
            </w:r>
          </w:p>
        </w:tc>
      </w:tr>
      <w:tr>
        <w:trPr>
          <w:trHeight w:val="264"/>
        </w:trPr>
        <w:tc>
          <w:tcPr>
            <w:tcW w:w="14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9"/>
          </w:tcPr>
          <w:p>
            <w:pPr>
              <w:jc w:val="right"/>
              <w:ind w:right="200"/>
              <w:spacing w:after="0"/>
              <w:rPr>
                <w:sz w:val="20"/>
                <w:szCs w:val="20"/>
                <w:color w:val="auto"/>
              </w:rPr>
            </w:pPr>
            <w:r>
              <w:rPr>
                <w:rFonts w:ascii="Arial" w:cs="Arial" w:eastAsia="Arial" w:hAnsi="Arial"/>
                <w:sz w:val="16"/>
                <w:szCs w:val="16"/>
                <w:b w:val="1"/>
                <w:bCs w:val="1"/>
                <w:color w:val="auto"/>
                <w:w w:val="98"/>
              </w:rPr>
              <w:t>(Dollars in millions)</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140" w:type="dxa"/>
            <w:vAlign w:val="bottom"/>
          </w:tcPr>
          <w:p>
            <w:pPr>
              <w:spacing w:after="0"/>
              <w:rPr>
                <w:sz w:val="23"/>
                <w:szCs w:val="23"/>
                <w:color w:val="auto"/>
              </w:rPr>
            </w:pPr>
          </w:p>
        </w:tc>
        <w:tc>
          <w:tcPr>
            <w:tcW w:w="55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1280" w:type="dxa"/>
            <w:vAlign w:val="bottom"/>
            <w:gridSpan w:val="5"/>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10,763</w:t>
            </w:r>
          </w:p>
        </w:tc>
        <w:tc>
          <w:tcPr>
            <w:tcW w:w="280" w:type="dxa"/>
            <w:vAlign w:val="bottom"/>
            <w:shd w:val="clear" w:color="auto" w:fill="E5FFFF"/>
          </w:tcPr>
          <w:p>
            <w:pPr>
              <w:spacing w:after="0"/>
              <w:rPr>
                <w:sz w:val="23"/>
                <w:szCs w:val="23"/>
                <w:color w:val="auto"/>
              </w:rPr>
            </w:pPr>
          </w:p>
        </w:tc>
        <w:tc>
          <w:tcPr>
            <w:tcW w:w="48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900" w:type="dxa"/>
            <w:vAlign w:val="bottom"/>
            <w:gridSpan w:val="4"/>
            <w:shd w:val="clear" w:color="auto" w:fill="E5FFFF"/>
          </w:tcPr>
          <w:p>
            <w:pPr>
              <w:jc w:val="right"/>
              <w:ind w:right="169"/>
              <w:spacing w:after="0"/>
              <w:rPr>
                <w:sz w:val="20"/>
                <w:szCs w:val="20"/>
                <w:color w:val="auto"/>
              </w:rPr>
            </w:pPr>
            <w:r>
              <w:rPr>
                <w:rFonts w:ascii="Arial" w:cs="Arial" w:eastAsia="Arial" w:hAnsi="Arial"/>
                <w:sz w:val="19"/>
                <w:szCs w:val="19"/>
                <w:color w:val="auto"/>
              </w:rPr>
              <w:t>12,650</w:t>
            </w: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12,236</w:t>
            </w:r>
          </w:p>
        </w:tc>
      </w:tr>
      <w:tr>
        <w:trPr>
          <w:trHeight w:val="270"/>
        </w:trPr>
        <w:tc>
          <w:tcPr>
            <w:tcW w:w="140" w:type="dxa"/>
            <w:vAlign w:val="bottom"/>
          </w:tcPr>
          <w:p>
            <w:pPr>
              <w:spacing w:after="0"/>
              <w:rPr>
                <w:sz w:val="23"/>
                <w:szCs w:val="23"/>
                <w:color w:val="auto"/>
              </w:rPr>
            </w:pPr>
          </w:p>
        </w:tc>
        <w:tc>
          <w:tcPr>
            <w:tcW w:w="554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(15 )%</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w w:val="91"/>
              </w:rPr>
              <w:t>3 %</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140" w:type="dxa"/>
            <w:vAlign w:val="bottom"/>
          </w:tcPr>
          <w:p>
            <w:pPr>
              <w:spacing w:after="0"/>
              <w:rPr>
                <w:sz w:val="23"/>
                <w:szCs w:val="23"/>
                <w:color w:val="auto"/>
              </w:rPr>
            </w:pPr>
          </w:p>
        </w:tc>
        <w:tc>
          <w:tcPr>
            <w:tcW w:w="55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1280" w:type="dxa"/>
            <w:vAlign w:val="bottom"/>
            <w:gridSpan w:val="5"/>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1,893</w:t>
            </w:r>
          </w:p>
        </w:tc>
        <w:tc>
          <w:tcPr>
            <w:tcW w:w="280" w:type="dxa"/>
            <w:vAlign w:val="bottom"/>
            <w:shd w:val="clear" w:color="auto" w:fill="E5FFFF"/>
          </w:tcPr>
          <w:p>
            <w:pPr>
              <w:spacing w:after="0"/>
              <w:rPr>
                <w:sz w:val="23"/>
                <w:szCs w:val="23"/>
                <w:color w:val="auto"/>
              </w:rPr>
            </w:pPr>
          </w:p>
        </w:tc>
        <w:tc>
          <w:tcPr>
            <w:tcW w:w="48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900" w:type="dxa"/>
            <w:vAlign w:val="bottom"/>
            <w:gridSpan w:val="4"/>
            <w:shd w:val="clear" w:color="auto" w:fill="E5FFFF"/>
          </w:tcPr>
          <w:p>
            <w:pPr>
              <w:jc w:val="right"/>
              <w:ind w:right="169"/>
              <w:spacing w:after="0"/>
              <w:rPr>
                <w:sz w:val="20"/>
                <w:szCs w:val="20"/>
                <w:color w:val="auto"/>
              </w:rPr>
            </w:pPr>
            <w:r>
              <w:rPr>
                <w:rFonts w:ascii="Arial" w:cs="Arial" w:eastAsia="Arial" w:hAnsi="Arial"/>
                <w:sz w:val="19"/>
                <w:szCs w:val="19"/>
                <w:color w:val="auto"/>
              </w:rPr>
              <w:t>2,300</w:t>
            </w: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2,197</w:t>
            </w:r>
          </w:p>
        </w:tc>
      </w:tr>
      <w:tr>
        <w:trPr>
          <w:trHeight w:val="274"/>
        </w:trPr>
        <w:tc>
          <w:tcPr>
            <w:tcW w:w="140" w:type="dxa"/>
            <w:vAlign w:val="bottom"/>
          </w:tcPr>
          <w:p>
            <w:pPr>
              <w:spacing w:after="0"/>
              <w:rPr>
                <w:sz w:val="23"/>
                <w:szCs w:val="23"/>
                <w:color w:val="auto"/>
              </w:rPr>
            </w:pPr>
          </w:p>
        </w:tc>
        <w:tc>
          <w:tcPr>
            <w:tcW w:w="554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(18 )%</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w w:val="91"/>
              </w:rPr>
              <w:t>5 %</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338"/>
        </w:trPr>
        <w:tc>
          <w:tcPr>
            <w:tcW w:w="5680" w:type="dxa"/>
            <w:vAlign w:val="bottom"/>
            <w:gridSpan w:val="2"/>
          </w:tcPr>
          <w:p>
            <w:pPr>
              <w:spacing w:after="0"/>
              <w:rPr>
                <w:sz w:val="20"/>
                <w:szCs w:val="20"/>
                <w:color w:val="auto"/>
              </w:rPr>
            </w:pPr>
            <w:r>
              <w:rPr>
                <w:rFonts w:ascii="Arial" w:cs="Arial" w:eastAsia="Arial" w:hAnsi="Arial"/>
                <w:sz w:val="19"/>
                <w:szCs w:val="19"/>
                <w:color w:val="auto"/>
              </w:rPr>
              <w:t>Aerospace sales by major customer end-markets were as follows: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1"/>
        </w:trPr>
        <w:tc>
          <w:tcPr>
            <w:tcW w:w="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8"/>
              </w:rPr>
              <w:t>% of Aerospace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7"/>
          </w:tcPr>
          <w:p>
            <w:pPr>
              <w:jc w:val="right"/>
              <w:ind w:right="261"/>
              <w:spacing w:after="0"/>
              <w:rPr>
                <w:sz w:val="20"/>
                <w:szCs w:val="20"/>
                <w:color w:val="auto"/>
              </w:rPr>
            </w:pPr>
            <w:r>
              <w:rPr>
                <w:rFonts w:ascii="Arial" w:cs="Arial" w:eastAsia="Arial" w:hAnsi="Arial"/>
                <w:sz w:val="16"/>
                <w:szCs w:val="16"/>
                <w:b w:val="1"/>
                <w:bCs w:val="1"/>
                <w:color w:val="auto"/>
              </w:rPr>
              <w:t>% Change in</w:t>
            </w:r>
          </w:p>
        </w:tc>
      </w:tr>
      <w:tr>
        <w:trPr>
          <w:trHeight w:val="204"/>
        </w:trPr>
        <w:tc>
          <w:tcPr>
            <w:tcW w:w="1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Sales</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right"/>
              <w:ind w:right="521"/>
              <w:spacing w:after="0"/>
              <w:rPr>
                <w:sz w:val="20"/>
                <w:szCs w:val="20"/>
                <w:color w:val="auto"/>
              </w:rPr>
            </w:pPr>
            <w:r>
              <w:rPr>
                <w:rFonts w:ascii="Arial" w:cs="Arial" w:eastAsia="Arial" w:hAnsi="Arial"/>
                <w:sz w:val="16"/>
                <w:szCs w:val="16"/>
                <w:b w:val="1"/>
                <w:bCs w:val="1"/>
                <w:color w:val="auto"/>
              </w:rPr>
              <w:t>Sales</w:t>
            </w:r>
          </w:p>
        </w:tc>
      </w:tr>
      <w:tr>
        <w:trPr>
          <w:trHeight w:val="168"/>
        </w:trPr>
        <w:tc>
          <w:tcPr>
            <w:tcW w:w="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61"/>
              <w:spacing w:after="0" w:line="168" w:lineRule="exact"/>
              <w:rPr>
                <w:sz w:val="20"/>
                <w:szCs w:val="20"/>
                <w:color w:val="auto"/>
              </w:rPr>
            </w:pPr>
            <w:r>
              <w:rPr>
                <w:rFonts w:ascii="Arial" w:cs="Arial" w:eastAsia="Arial" w:hAnsi="Arial"/>
                <w:sz w:val="16"/>
                <w:szCs w:val="16"/>
                <w:b w:val="1"/>
                <w:bCs w:val="1"/>
                <w:color w:val="auto"/>
              </w:rPr>
              <w:t>2009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1"/>
              <w:spacing w:after="0" w:line="168" w:lineRule="exact"/>
              <w:rPr>
                <w:sz w:val="20"/>
                <w:szCs w:val="20"/>
                <w:color w:val="auto"/>
              </w:rPr>
            </w:pPr>
            <w:r>
              <w:rPr>
                <w:rFonts w:ascii="Arial" w:cs="Arial" w:eastAsia="Arial" w:hAnsi="Arial"/>
                <w:sz w:val="16"/>
                <w:szCs w:val="16"/>
                <w:b w:val="1"/>
                <w:bCs w:val="1"/>
                <w:color w:val="auto"/>
              </w:rPr>
              <w:t>2008</w:t>
            </w:r>
          </w:p>
        </w:tc>
      </w:tr>
      <w:tr>
        <w:trPr>
          <w:trHeight w:val="176"/>
        </w:trPr>
        <w:tc>
          <w:tcPr>
            <w:tcW w:w="1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tcPr>
          <w:p>
            <w:pPr>
              <w:jc w:val="right"/>
              <w:ind w:right="60"/>
              <w:spacing w:after="0" w:line="176" w:lineRule="exact"/>
              <w:rPr>
                <w:sz w:val="20"/>
                <w:szCs w:val="20"/>
                <w:color w:val="auto"/>
              </w:rPr>
            </w:pPr>
            <w:r>
              <w:rPr>
                <w:rFonts w:ascii="Arial" w:cs="Arial" w:eastAsia="Arial" w:hAnsi="Arial"/>
                <w:sz w:val="16"/>
                <w:szCs w:val="16"/>
                <w:b w:val="1"/>
                <w:bCs w:val="1"/>
                <w:color w:val="auto"/>
              </w:rPr>
              <w:t>Versus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Versus</w:t>
            </w:r>
          </w:p>
        </w:tc>
      </w:tr>
      <w:tr>
        <w:trPr>
          <w:trHeight w:val="204"/>
        </w:trPr>
        <w:tc>
          <w:tcPr>
            <w:tcW w:w="140" w:type="dxa"/>
            <w:vAlign w:val="bottom"/>
          </w:tcPr>
          <w:p>
            <w:pPr>
              <w:spacing w:after="0"/>
              <w:rPr>
                <w:sz w:val="17"/>
                <w:szCs w:val="17"/>
                <w:color w:val="auto"/>
              </w:rPr>
            </w:pPr>
          </w:p>
        </w:tc>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Customer End-Markets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5"/>
              </w:rPr>
              <w:t>2008</w:t>
            </w:r>
          </w:p>
        </w:tc>
        <w:tc>
          <w:tcPr>
            <w:tcW w:w="280" w:type="dxa"/>
            <w:vAlign w:val="bottom"/>
          </w:tcPr>
          <w:p>
            <w:pPr>
              <w:spacing w:after="0"/>
              <w:rPr>
                <w:sz w:val="17"/>
                <w:szCs w:val="17"/>
                <w:color w:val="auto"/>
              </w:rPr>
            </w:pPr>
          </w:p>
        </w:tc>
        <w:tc>
          <w:tcPr>
            <w:tcW w:w="700" w:type="dxa"/>
            <w:vAlign w:val="bottom"/>
            <w:gridSpan w:val="4"/>
          </w:tcPr>
          <w:p>
            <w:pPr>
              <w:jc w:val="right"/>
              <w:ind w:right="89"/>
              <w:spacing w:after="0"/>
              <w:rPr>
                <w:sz w:val="20"/>
                <w:szCs w:val="20"/>
                <w:color w:val="auto"/>
              </w:rPr>
            </w:pPr>
            <w:r>
              <w:rPr>
                <w:rFonts w:ascii="Arial" w:cs="Arial" w:eastAsia="Arial" w:hAnsi="Arial"/>
                <w:sz w:val="16"/>
                <w:szCs w:val="16"/>
                <w:b w:val="1"/>
                <w:bCs w:val="1"/>
                <w:color w:val="auto"/>
              </w:rPr>
              <w:t>2007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rPr>
              <w:t>2008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rPr>
              <w:t>2007</w:t>
            </w:r>
          </w:p>
        </w:tc>
      </w:tr>
      <w:tr>
        <w:trPr>
          <w:trHeight w:val="237"/>
        </w:trPr>
        <w:tc>
          <w:tcPr>
            <w:tcW w:w="140" w:type="dxa"/>
            <w:vAlign w:val="bottom"/>
          </w:tcPr>
          <w:p>
            <w:pPr>
              <w:spacing w:after="0"/>
              <w:rPr>
                <w:sz w:val="20"/>
                <w:szCs w:val="20"/>
                <w:color w:val="auto"/>
              </w:rPr>
            </w:pPr>
          </w:p>
        </w:tc>
        <w:tc>
          <w:tcPr>
            <w:tcW w:w="5540" w:type="dxa"/>
            <w:vAlign w:val="bottom"/>
            <w:tcBorders>
              <w:top w:val="single" w:sz="8" w:color="auto"/>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Commercial:</w:t>
            </w:r>
          </w:p>
        </w:tc>
        <w:tc>
          <w:tcPr>
            <w:tcW w:w="260" w:type="dxa"/>
            <w:vAlign w:val="bottom"/>
            <w:shd w:val="clear" w:color="auto" w:fill="E5FFFF"/>
          </w:tcPr>
          <w:p>
            <w:pPr>
              <w:spacing w:after="0"/>
              <w:rPr>
                <w:sz w:val="20"/>
                <w:szCs w:val="20"/>
                <w:color w:val="auto"/>
              </w:rPr>
            </w:pPr>
          </w:p>
        </w:tc>
        <w:tc>
          <w:tcPr>
            <w:tcW w:w="720" w:type="dxa"/>
            <w:vAlign w:val="bottom"/>
            <w:tcBorders>
              <w:top w:val="single" w:sz="8" w:color="auto"/>
            </w:tcBorders>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68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260" w:type="dxa"/>
            <w:vAlign w:val="bottom"/>
            <w:tcBorders>
              <w:top w:val="single" w:sz="8" w:color="auto"/>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380" w:type="dxa"/>
            <w:vAlign w:val="bottom"/>
            <w:tcBorders>
              <w:top w:val="single" w:sz="8" w:color="auto"/>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spacing w:after="0"/>
              <w:rPr>
                <w:sz w:val="20"/>
                <w:szCs w:val="20"/>
                <w:color w:val="auto"/>
              </w:rPr>
            </w:pPr>
          </w:p>
        </w:tc>
      </w:tr>
      <w:tr>
        <w:trPr>
          <w:trHeight w:val="270"/>
        </w:trPr>
        <w:tc>
          <w:tcPr>
            <w:tcW w:w="140" w:type="dxa"/>
            <w:vAlign w:val="bottom"/>
          </w:tcPr>
          <w:p>
            <w:pPr>
              <w:spacing w:after="0"/>
              <w:rPr>
                <w:sz w:val="23"/>
                <w:szCs w:val="23"/>
                <w:color w:val="auto"/>
              </w:rPr>
            </w:pPr>
          </w:p>
        </w:tc>
        <w:tc>
          <w:tcPr>
            <w:tcW w:w="5540" w:type="dxa"/>
            <w:vAlign w:val="bottom"/>
          </w:tcPr>
          <w:p>
            <w:pPr>
              <w:ind w:left="380"/>
              <w:spacing w:after="0"/>
              <w:rPr>
                <w:sz w:val="20"/>
                <w:szCs w:val="20"/>
                <w:color w:val="auto"/>
              </w:rPr>
            </w:pPr>
            <w:r>
              <w:rPr>
                <w:rFonts w:ascii="Arial" w:cs="Arial" w:eastAsia="Arial" w:hAnsi="Arial"/>
                <w:sz w:val="19"/>
                <w:szCs w:val="19"/>
                <w:color w:val="auto"/>
              </w:rPr>
              <w:t>Air transport and regional original equipment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13 %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14 %</w:t>
            </w:r>
          </w:p>
        </w:tc>
        <w:tc>
          <w:tcPr>
            <w:tcW w:w="280" w:type="dxa"/>
            <w:vAlign w:val="bottom"/>
          </w:tcPr>
          <w:p>
            <w:pPr>
              <w:spacing w:after="0"/>
              <w:rPr>
                <w:sz w:val="23"/>
                <w:szCs w:val="23"/>
                <w:color w:val="auto"/>
              </w:rPr>
            </w:pPr>
          </w:p>
        </w:tc>
        <w:tc>
          <w:tcPr>
            <w:tcW w:w="700" w:type="dxa"/>
            <w:vAlign w:val="bottom"/>
            <w:gridSpan w:val="4"/>
          </w:tcPr>
          <w:p>
            <w:pPr>
              <w:jc w:val="right"/>
              <w:spacing w:after="0"/>
              <w:rPr>
                <w:sz w:val="20"/>
                <w:szCs w:val="20"/>
                <w:color w:val="auto"/>
              </w:rPr>
            </w:pPr>
            <w:r>
              <w:rPr>
                <w:rFonts w:ascii="Arial" w:cs="Arial" w:eastAsia="Arial" w:hAnsi="Arial"/>
                <w:sz w:val="19"/>
                <w:szCs w:val="19"/>
                <w:color w:val="auto"/>
              </w:rPr>
              <w:t>16 %</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9"/>
                <w:szCs w:val="19"/>
                <w:color w:val="auto"/>
              </w:rPr>
              <w:t>(21 )%</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(6 )%</w:t>
            </w:r>
          </w:p>
        </w:tc>
      </w:tr>
      <w:tr>
        <w:trPr>
          <w:trHeight w:val="270"/>
        </w:trPr>
        <w:tc>
          <w:tcPr>
            <w:tcW w:w="140" w:type="dxa"/>
            <w:vAlign w:val="bottom"/>
          </w:tcPr>
          <w:p>
            <w:pPr>
              <w:spacing w:after="0"/>
              <w:rPr>
                <w:sz w:val="23"/>
                <w:szCs w:val="23"/>
                <w:color w:val="auto"/>
              </w:rPr>
            </w:pPr>
          </w:p>
        </w:tc>
        <w:tc>
          <w:tcPr>
            <w:tcW w:w="55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Air transport and regional aftermarket</w:t>
            </w:r>
          </w:p>
        </w:tc>
        <w:tc>
          <w:tcPr>
            <w:tcW w:w="980" w:type="dxa"/>
            <w:vAlign w:val="bottom"/>
            <w:gridSpan w:val="2"/>
            <w:shd w:val="clear" w:color="auto" w:fill="E5FFFF"/>
          </w:tcPr>
          <w:p>
            <w:pPr>
              <w:jc w:val="right"/>
              <w:ind w:right="260"/>
              <w:spacing w:after="0"/>
              <w:rPr>
                <w:sz w:val="20"/>
                <w:szCs w:val="20"/>
                <w:color w:val="auto"/>
              </w:rPr>
            </w:pPr>
            <w:r>
              <w:rPr>
                <w:rFonts w:ascii="Arial" w:cs="Arial" w:eastAsia="Arial" w:hAnsi="Arial"/>
                <w:sz w:val="19"/>
                <w:szCs w:val="19"/>
                <w:color w:val="auto"/>
              </w:rPr>
              <w:t>22</w:t>
            </w: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167"/>
              <w:spacing w:after="0"/>
              <w:rPr>
                <w:sz w:val="20"/>
                <w:szCs w:val="20"/>
                <w:color w:val="auto"/>
              </w:rPr>
            </w:pPr>
            <w:r>
              <w:rPr>
                <w:rFonts w:ascii="Arial" w:cs="Arial" w:eastAsia="Arial" w:hAnsi="Arial"/>
                <w:sz w:val="19"/>
                <w:szCs w:val="19"/>
                <w:color w:val="auto"/>
              </w:rPr>
              <w:t>23</w:t>
            </w:r>
          </w:p>
        </w:tc>
        <w:tc>
          <w:tcPr>
            <w:tcW w:w="280" w:type="dxa"/>
            <w:vAlign w:val="bottom"/>
            <w:shd w:val="clear" w:color="auto" w:fill="E5FFFF"/>
          </w:tcPr>
          <w:p>
            <w:pPr>
              <w:spacing w:after="0"/>
              <w:rPr>
                <w:sz w:val="23"/>
                <w:szCs w:val="23"/>
                <w:color w:val="auto"/>
              </w:rPr>
            </w:pPr>
          </w:p>
        </w:tc>
        <w:tc>
          <w:tcPr>
            <w:tcW w:w="4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22</w:t>
            </w:r>
          </w:p>
        </w:tc>
        <w:tc>
          <w:tcPr>
            <w:tcW w:w="2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6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(16 )</w:t>
            </w:r>
          </w:p>
        </w:tc>
        <w:tc>
          <w:tcPr>
            <w:tcW w:w="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4</w:t>
            </w:r>
          </w:p>
        </w:tc>
      </w:tr>
      <w:tr>
        <w:trPr>
          <w:trHeight w:val="270"/>
        </w:trPr>
        <w:tc>
          <w:tcPr>
            <w:tcW w:w="140" w:type="dxa"/>
            <w:vAlign w:val="bottom"/>
          </w:tcPr>
          <w:p>
            <w:pPr>
              <w:spacing w:after="0"/>
              <w:rPr>
                <w:sz w:val="23"/>
                <w:szCs w:val="23"/>
                <w:color w:val="auto"/>
              </w:rPr>
            </w:pPr>
          </w:p>
        </w:tc>
        <w:tc>
          <w:tcPr>
            <w:tcW w:w="5540" w:type="dxa"/>
            <w:vAlign w:val="bottom"/>
          </w:tcPr>
          <w:p>
            <w:pPr>
              <w:ind w:left="380"/>
              <w:spacing w:after="0"/>
              <w:rPr>
                <w:sz w:val="20"/>
                <w:szCs w:val="20"/>
                <w:color w:val="auto"/>
              </w:rPr>
            </w:pPr>
            <w:r>
              <w:rPr>
                <w:rFonts w:ascii="Arial" w:cs="Arial" w:eastAsia="Arial" w:hAnsi="Arial"/>
                <w:sz w:val="19"/>
                <w:szCs w:val="19"/>
                <w:color w:val="auto"/>
              </w:rPr>
              <w:t>Business and general aviation original equipment</w:t>
            </w:r>
          </w:p>
        </w:tc>
        <w:tc>
          <w:tcPr>
            <w:tcW w:w="980" w:type="dxa"/>
            <w:vAlign w:val="bottom"/>
            <w:gridSpan w:val="2"/>
          </w:tcPr>
          <w:p>
            <w:pPr>
              <w:jc w:val="right"/>
              <w:ind w:right="260"/>
              <w:spacing w:after="0"/>
              <w:rPr>
                <w:sz w:val="20"/>
                <w:szCs w:val="20"/>
                <w:color w:val="auto"/>
              </w:rPr>
            </w:pPr>
            <w:r>
              <w:rPr>
                <w:rFonts w:ascii="Arial" w:cs="Arial" w:eastAsia="Arial" w:hAnsi="Arial"/>
                <w:sz w:val="19"/>
                <w:szCs w:val="19"/>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167"/>
              <w:spacing w:after="0"/>
              <w:rPr>
                <w:sz w:val="20"/>
                <w:szCs w:val="20"/>
                <w:color w:val="auto"/>
              </w:rPr>
            </w:pPr>
            <w:r>
              <w:rPr>
                <w:rFonts w:ascii="Arial" w:cs="Arial" w:eastAsia="Arial" w:hAnsi="Arial"/>
                <w:sz w:val="19"/>
                <w:szCs w:val="19"/>
                <w:color w:val="auto"/>
              </w:rPr>
              <w:t>11</w:t>
            </w:r>
          </w:p>
        </w:tc>
        <w:tc>
          <w:tcPr>
            <w:tcW w:w="280" w:type="dxa"/>
            <w:vAlign w:val="bottom"/>
          </w:tcPr>
          <w:p>
            <w:pPr>
              <w:spacing w:after="0"/>
              <w:rPr>
                <w:sz w:val="23"/>
                <w:szCs w:val="2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9"/>
                <w:szCs w:val="19"/>
                <w:color w:val="auto"/>
              </w:rPr>
              <w:t>11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gridSpan w:val="2"/>
          </w:tcPr>
          <w:p>
            <w:pPr>
              <w:jc w:val="right"/>
              <w:ind w:right="81"/>
              <w:spacing w:after="0"/>
              <w:rPr>
                <w:sz w:val="20"/>
                <w:szCs w:val="20"/>
                <w:color w:val="auto"/>
              </w:rPr>
            </w:pPr>
            <w:r>
              <w:rPr>
                <w:rFonts w:ascii="Arial" w:cs="Arial" w:eastAsia="Arial" w:hAnsi="Arial"/>
                <w:sz w:val="19"/>
                <w:szCs w:val="19"/>
                <w:color w:val="auto"/>
              </w:rPr>
              <w:t>(51 )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41"/>
              <w:spacing w:after="0"/>
              <w:rPr>
                <w:sz w:val="20"/>
                <w:szCs w:val="20"/>
                <w:color w:val="auto"/>
              </w:rPr>
            </w:pPr>
            <w:r>
              <w:rPr>
                <w:rFonts w:ascii="Arial" w:cs="Arial" w:eastAsia="Arial" w:hAnsi="Arial"/>
                <w:sz w:val="19"/>
                <w:szCs w:val="19"/>
                <w:color w:val="auto"/>
              </w:rPr>
              <w:t>5</w:t>
            </w:r>
          </w:p>
        </w:tc>
      </w:tr>
      <w:tr>
        <w:trPr>
          <w:trHeight w:val="270"/>
        </w:trPr>
        <w:tc>
          <w:tcPr>
            <w:tcW w:w="140" w:type="dxa"/>
            <w:vAlign w:val="bottom"/>
          </w:tcPr>
          <w:p>
            <w:pPr>
              <w:spacing w:after="0"/>
              <w:rPr>
                <w:sz w:val="23"/>
                <w:szCs w:val="23"/>
                <w:color w:val="auto"/>
              </w:rPr>
            </w:pPr>
          </w:p>
        </w:tc>
        <w:tc>
          <w:tcPr>
            <w:tcW w:w="55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Business and general aviation aftermarket</w:t>
            </w:r>
          </w:p>
        </w:tc>
        <w:tc>
          <w:tcPr>
            <w:tcW w:w="980" w:type="dxa"/>
            <w:vAlign w:val="bottom"/>
            <w:gridSpan w:val="2"/>
            <w:shd w:val="clear" w:color="auto" w:fill="E5FFFF"/>
          </w:tcPr>
          <w:p>
            <w:pPr>
              <w:jc w:val="right"/>
              <w:ind w:right="260"/>
              <w:spacing w:after="0"/>
              <w:rPr>
                <w:sz w:val="20"/>
                <w:szCs w:val="20"/>
                <w:color w:val="auto"/>
              </w:rPr>
            </w:pPr>
            <w:r>
              <w:rPr>
                <w:rFonts w:ascii="Arial" w:cs="Arial" w:eastAsia="Arial" w:hAnsi="Arial"/>
                <w:sz w:val="19"/>
                <w:szCs w:val="19"/>
                <w:color w:val="auto"/>
              </w:rPr>
              <w:t>8</w:t>
            </w: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167"/>
              <w:spacing w:after="0"/>
              <w:rPr>
                <w:sz w:val="20"/>
                <w:szCs w:val="20"/>
                <w:color w:val="auto"/>
              </w:rPr>
            </w:pPr>
            <w:r>
              <w:rPr>
                <w:rFonts w:ascii="Arial" w:cs="Arial" w:eastAsia="Arial" w:hAnsi="Arial"/>
                <w:sz w:val="19"/>
                <w:szCs w:val="19"/>
                <w:color w:val="auto"/>
              </w:rPr>
              <w:t>10</w:t>
            </w:r>
          </w:p>
        </w:tc>
        <w:tc>
          <w:tcPr>
            <w:tcW w:w="280" w:type="dxa"/>
            <w:vAlign w:val="bottom"/>
            <w:shd w:val="clear" w:color="auto" w:fill="E5FFFF"/>
          </w:tcPr>
          <w:p>
            <w:pPr>
              <w:spacing w:after="0"/>
              <w:rPr>
                <w:sz w:val="23"/>
                <w:szCs w:val="23"/>
                <w:color w:val="auto"/>
              </w:rPr>
            </w:pPr>
          </w:p>
        </w:tc>
        <w:tc>
          <w:tcPr>
            <w:tcW w:w="4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10</w:t>
            </w:r>
          </w:p>
        </w:tc>
        <w:tc>
          <w:tcPr>
            <w:tcW w:w="2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6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(27 )</w:t>
            </w:r>
          </w:p>
        </w:tc>
        <w:tc>
          <w:tcPr>
            <w:tcW w:w="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6</w:t>
            </w:r>
          </w:p>
        </w:tc>
      </w:tr>
      <w:tr>
        <w:trPr>
          <w:trHeight w:val="270"/>
        </w:trPr>
        <w:tc>
          <w:tcPr>
            <w:tcW w:w="140" w:type="dxa"/>
            <w:vAlign w:val="bottom"/>
          </w:tcPr>
          <w:p>
            <w:pPr>
              <w:spacing w:after="0"/>
              <w:rPr>
                <w:sz w:val="23"/>
                <w:szCs w:val="23"/>
                <w:color w:val="auto"/>
              </w:rPr>
            </w:pPr>
          </w:p>
        </w:tc>
        <w:tc>
          <w:tcPr>
            <w:tcW w:w="5540" w:type="dxa"/>
            <w:vAlign w:val="bottom"/>
          </w:tcPr>
          <w:p>
            <w:pPr>
              <w:ind w:left="20"/>
              <w:spacing w:after="0"/>
              <w:rPr>
                <w:sz w:val="20"/>
                <w:szCs w:val="20"/>
                <w:color w:val="auto"/>
              </w:rPr>
            </w:pPr>
            <w:r>
              <w:rPr>
                <w:rFonts w:ascii="Arial" w:cs="Arial" w:eastAsia="Arial" w:hAnsi="Arial"/>
                <w:sz w:val="19"/>
                <w:szCs w:val="19"/>
                <w:b w:val="1"/>
                <w:bCs w:val="1"/>
                <w:color w:val="auto"/>
              </w:rPr>
              <w:t>Defense and Space</w:t>
            </w:r>
          </w:p>
        </w:tc>
        <w:tc>
          <w:tcPr>
            <w:tcW w:w="980" w:type="dxa"/>
            <w:vAlign w:val="bottom"/>
            <w:gridSpan w:val="2"/>
          </w:tcPr>
          <w:p>
            <w:pPr>
              <w:jc w:val="right"/>
              <w:ind w:right="260"/>
              <w:spacing w:after="0"/>
              <w:rPr>
                <w:sz w:val="20"/>
                <w:szCs w:val="20"/>
                <w:color w:val="auto"/>
              </w:rPr>
            </w:pPr>
            <w:r>
              <w:rPr>
                <w:rFonts w:ascii="Arial" w:cs="Arial" w:eastAsia="Arial" w:hAnsi="Arial"/>
                <w:sz w:val="19"/>
                <w:szCs w:val="19"/>
                <w:color w:val="auto"/>
              </w:rPr>
              <w:t>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167"/>
              <w:spacing w:after="0"/>
              <w:rPr>
                <w:sz w:val="20"/>
                <w:szCs w:val="20"/>
                <w:color w:val="auto"/>
              </w:rPr>
            </w:pPr>
            <w:r>
              <w:rPr>
                <w:rFonts w:ascii="Arial" w:cs="Arial" w:eastAsia="Arial" w:hAnsi="Arial"/>
                <w:sz w:val="19"/>
                <w:szCs w:val="19"/>
                <w:color w:val="auto"/>
              </w:rPr>
              <w:t>42</w:t>
            </w:r>
          </w:p>
        </w:tc>
        <w:tc>
          <w:tcPr>
            <w:tcW w:w="280" w:type="dxa"/>
            <w:vAlign w:val="bottom"/>
          </w:tcPr>
          <w:p>
            <w:pPr>
              <w:spacing w:after="0"/>
              <w:rPr>
                <w:sz w:val="23"/>
                <w:szCs w:val="2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9"/>
                <w:szCs w:val="19"/>
                <w:color w:val="auto"/>
              </w:rPr>
              <w:t>41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41"/>
              <w:spacing w:after="0"/>
              <w:rPr>
                <w:sz w:val="20"/>
                <w:szCs w:val="20"/>
                <w:color w:val="auto"/>
              </w:rPr>
            </w:pPr>
            <w:r>
              <w:rPr>
                <w:rFonts w:ascii="Arial" w:cs="Arial" w:eastAsia="Arial" w:hAnsi="Arial"/>
                <w:sz w:val="19"/>
                <w:szCs w:val="19"/>
                <w:color w:val="auto"/>
              </w:rPr>
              <w:t>6</w:t>
            </w:r>
          </w:p>
        </w:tc>
      </w:tr>
      <w:tr>
        <w:trPr>
          <w:trHeight w:val="34"/>
        </w:trPr>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55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w:t>
            </w:r>
          </w:p>
        </w:tc>
        <w:tc>
          <w:tcPr>
            <w:tcW w:w="9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100 %</w:t>
            </w: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100 %</w:t>
            </w:r>
          </w:p>
        </w:tc>
        <w:tc>
          <w:tcPr>
            <w:tcW w:w="280" w:type="dxa"/>
            <w:vAlign w:val="bottom"/>
            <w:shd w:val="clear" w:color="auto" w:fill="E5FFFF"/>
          </w:tcPr>
          <w:p>
            <w:pPr>
              <w:spacing w:after="0"/>
              <w:rPr>
                <w:sz w:val="23"/>
                <w:szCs w:val="23"/>
                <w:color w:val="auto"/>
              </w:rPr>
            </w:pPr>
          </w:p>
        </w:tc>
        <w:tc>
          <w:tcPr>
            <w:tcW w:w="7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100 %</w:t>
            </w: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6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(15 )%</w:t>
            </w: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3 %</w:t>
            </w:r>
          </w:p>
        </w:tc>
      </w:tr>
      <w:tr>
        <w:trPr>
          <w:trHeight w:val="20"/>
        </w:trPr>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2009 compared with 2008</w:t>
      </w:r>
    </w:p>
    <w:p>
      <w:pPr>
        <w:spacing w:after="0" w:line="130" w:lineRule="exact"/>
        <w:rPr>
          <w:sz w:val="20"/>
          <w:szCs w:val="20"/>
          <w:color w:val="auto"/>
        </w:rPr>
      </w:pPr>
    </w:p>
    <w:p>
      <w:pPr>
        <w:ind w:right="400" w:firstLine="357"/>
        <w:spacing w:after="0" w:line="253" w:lineRule="auto"/>
        <w:rPr>
          <w:sz w:val="20"/>
          <w:szCs w:val="20"/>
          <w:color w:val="auto"/>
        </w:rPr>
      </w:pPr>
      <w:r>
        <w:rPr>
          <w:rFonts w:ascii="Arial" w:cs="Arial" w:eastAsia="Arial" w:hAnsi="Arial"/>
          <w:sz w:val="19"/>
          <w:szCs w:val="19"/>
          <w:color w:val="auto"/>
        </w:rPr>
        <w:t>Aerospace sales decreased by 15 percent in 2009. Details regarding the decrease in sales by customer end-markets are as follows:</w:t>
      </w:r>
    </w:p>
    <w:p>
      <w:pPr>
        <w:spacing w:after="0" w:line="134" w:lineRule="exact"/>
        <w:rPr>
          <w:sz w:val="20"/>
          <w:szCs w:val="20"/>
          <w:color w:val="auto"/>
        </w:rPr>
      </w:pPr>
    </w:p>
    <w:p>
      <w:pPr>
        <w:ind w:left="540" w:right="80" w:hanging="158"/>
        <w:spacing w:after="0" w:line="242"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Air transport and regional original equipment (OE) sales decreased by 21 percent in 2009. The decrease is driven by lower sales to our OE customers, consistent with production rates and platform mix, and the impact of divesting our Consumables Solutions business, partially offset by a 12 percent increase in the fourth quarter of 2009 mainly due to the absence of a strike at a major OEM in the fourth quarter of 2008.</w:t>
      </w:r>
    </w:p>
    <w:p>
      <w:pPr>
        <w:spacing w:after="0" w:line="104" w:lineRule="exact"/>
        <w:rPr>
          <w:rFonts w:ascii="Arial" w:cs="Arial" w:eastAsia="Arial" w:hAnsi="Arial"/>
          <w:sz w:val="19"/>
          <w:szCs w:val="19"/>
          <w:color w:val="auto"/>
        </w:rPr>
      </w:pPr>
    </w:p>
    <w:p>
      <w:pPr>
        <w:ind w:left="540" w:hanging="158"/>
        <w:spacing w:after="0" w:line="241"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Air transport and regional aftermarket sales decreased by 16 percent in 2009 primarily due to decreased sales of spare parts and lower maintenance activity driven by the impact of higher parked aircraft part utilization, customer inventory reduction initiatives and decreased flying hours of approximately 2 percent, including a 1 percent increase in the fourth quarter. While we expect global flying hours to increase slightly in 2010, we expect aftermarket sales to remain soft in the first half of 2010 due to the continuation of inventory destocking and the rising number of parked aircraft.</w:t>
      </w:r>
    </w:p>
    <w:p>
      <w:pPr>
        <w:spacing w:after="0" w:line="104" w:lineRule="exact"/>
        <w:rPr>
          <w:rFonts w:ascii="Arial" w:cs="Arial" w:eastAsia="Arial" w:hAnsi="Arial"/>
          <w:sz w:val="19"/>
          <w:szCs w:val="19"/>
          <w:color w:val="auto"/>
        </w:rPr>
      </w:pPr>
    </w:p>
    <w:p>
      <w:pPr>
        <w:ind w:left="540" w:right="200" w:hanging="15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Business and general aviation OE sales decreased by 51 percent in 2009 due to the decrease in new business jet deliveries reflecting rescheduling and cancellations of deliveries by OE customers.</w:t>
      </w:r>
    </w:p>
    <w:p>
      <w:pPr>
        <w:spacing w:after="0" w:line="93" w:lineRule="exact"/>
        <w:rPr>
          <w:rFonts w:ascii="Arial" w:cs="Arial" w:eastAsia="Arial" w:hAnsi="Arial"/>
          <w:sz w:val="19"/>
          <w:szCs w:val="19"/>
          <w:color w:val="auto"/>
        </w:rPr>
      </w:pPr>
    </w:p>
    <w:p>
      <w:pPr>
        <w:ind w:left="540" w:right="140" w:hanging="158"/>
        <w:spacing w:after="0" w:line="242"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Business and general aviation aftermarket sales decreased by 27 percent in 2009. The decrease was primarily due to decreased sales of spare parts and lower revenue associated with maintenance service agreements, consistent with the decrease in business jet utilization. We started to see an increase in business jet utilization rates in the fourth quarter of 2009 and expect stabilization at these levels.</w:t>
      </w:r>
    </w:p>
    <w:p>
      <w:pPr>
        <w:spacing w:after="0" w:line="104" w:lineRule="exact"/>
        <w:rPr>
          <w:rFonts w:ascii="Arial" w:cs="Arial" w:eastAsia="Arial" w:hAnsi="Arial"/>
          <w:sz w:val="19"/>
          <w:szCs w:val="19"/>
          <w:color w:val="auto"/>
        </w:rPr>
      </w:pPr>
    </w:p>
    <w:p>
      <w:pPr>
        <w:jc w:val="both"/>
        <w:ind w:left="540" w:right="180" w:hanging="158"/>
        <w:spacing w:after="0" w:line="245"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Defense and space sales were essentially unchanged in 2009, primarily due to higher sales of logistics services and original equipment for military platforms in the first nine months of 2009 offset by program completions. Delays in defense and space programs could impact the timing of sales in this end- market over the course of 2010.</w:t>
      </w:r>
    </w:p>
    <w:p>
      <w:pPr>
        <w:spacing w:after="0" w:line="195" w:lineRule="exact"/>
        <w:rPr>
          <w:sz w:val="20"/>
          <w:szCs w:val="20"/>
          <w:color w:val="auto"/>
        </w:rPr>
      </w:pPr>
    </w:p>
    <w:p>
      <w:pPr>
        <w:ind w:right="180" w:firstLine="357"/>
        <w:spacing w:after="0" w:line="245" w:lineRule="auto"/>
        <w:rPr>
          <w:sz w:val="20"/>
          <w:szCs w:val="20"/>
          <w:color w:val="auto"/>
        </w:rPr>
      </w:pPr>
      <w:r>
        <w:rPr>
          <w:rFonts w:ascii="Arial" w:cs="Arial" w:eastAsia="Arial" w:hAnsi="Arial"/>
          <w:sz w:val="19"/>
          <w:szCs w:val="19"/>
          <w:color w:val="auto"/>
        </w:rPr>
        <w:t>Aerospace segment profit decreased by 18 percent in 2009 compared to 2008 due primarily to lower sales as a result of the factors discussed above and inflation, partially offset by volume related material cost reductions and reduced labor costs (reflecting reduced census, work schedule reductions,</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6" w:right="279" w:bottom="1440" w:gutter="0" w:footer="0" w:header="0"/>
        </w:sectPr>
      </w:pPr>
    </w:p>
    <w:bookmarkStart w:id="31" w:name="page32"/>
    <w:bookmarkEnd w:id="31"/>
    <w:p>
      <w:pPr>
        <w:ind w:right="640"/>
        <w:spacing w:after="0" w:line="253" w:lineRule="auto"/>
        <w:rPr>
          <w:sz w:val="20"/>
          <w:szCs w:val="20"/>
          <w:color w:val="auto"/>
        </w:rPr>
      </w:pPr>
      <w:r>
        <w:rPr>
          <w:rFonts w:ascii="Arial" w:cs="Arial" w:eastAsia="Arial" w:hAnsi="Arial"/>
          <w:sz w:val="19"/>
          <w:szCs w:val="19"/>
          <w:color w:val="auto"/>
        </w:rPr>
        <w:t>benefits from prior repositioning actions and lower incentive compensation), the positive impact of cost savings initiatives and increased prices.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2008 compared with 2007</w:t>
      </w:r>
    </w:p>
    <w:p>
      <w:pPr>
        <w:spacing w:after="0" w:line="130"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Aerospace sales increased by 3 percent in 2008. Details regarding the net increase in sales by customer end-markets are as follows:</w:t>
      </w:r>
    </w:p>
    <w:p>
      <w:pPr>
        <w:spacing w:after="0" w:line="134" w:lineRule="exact"/>
        <w:rPr>
          <w:sz w:val="20"/>
          <w:szCs w:val="20"/>
          <w:color w:val="auto"/>
        </w:rPr>
      </w:pPr>
    </w:p>
    <w:p>
      <w:pPr>
        <w:ind w:left="540" w:hanging="158"/>
        <w:spacing w:after="0" w:line="242"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Air transport and regional original equipment (OE) sales decreased by 6 percent in 2008. The decrease was driven by the sale of our Consumables Solutions business, partially offset by increased deliveries to our air transport customers, notwithstanding a decrease in total aircraft production rates at major OEM’s mainly due to a strike at a major OEM, which was settled in the fourth quarter of 2008.</w:t>
      </w:r>
    </w:p>
    <w:p>
      <w:pPr>
        <w:spacing w:after="0" w:line="104" w:lineRule="exact"/>
        <w:rPr>
          <w:rFonts w:ascii="Arial" w:cs="Arial" w:eastAsia="Arial" w:hAnsi="Arial"/>
          <w:sz w:val="19"/>
          <w:szCs w:val="19"/>
          <w:color w:val="auto"/>
        </w:rPr>
      </w:pPr>
    </w:p>
    <w:p>
      <w:pPr>
        <w:ind w:left="540" w:right="180" w:hanging="158"/>
        <w:spacing w:after="0" w:line="245"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Air transport and regional aftermarket sales increased by 4 percent in 2008 primarily due to increased volume, the price of spare parts and aftermarket growth driven by flight hour growth. The growth rate in global flying hours slowed to 3 percent in 2008, including a 2 percent decline in the fourth quarter.</w:t>
      </w:r>
    </w:p>
    <w:p>
      <w:pPr>
        <w:spacing w:after="0" w:line="100" w:lineRule="exact"/>
        <w:rPr>
          <w:rFonts w:ascii="Arial" w:cs="Arial" w:eastAsia="Arial" w:hAnsi="Arial"/>
          <w:sz w:val="19"/>
          <w:szCs w:val="19"/>
          <w:color w:val="auto"/>
        </w:rPr>
      </w:pPr>
    </w:p>
    <w:p>
      <w:pPr>
        <w:ind w:left="540" w:right="40" w:hanging="158"/>
        <w:spacing w:after="0" w:line="242"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Business and general aviation OE sales increased by 5 percent in 2008 due to continued demand in the business jet end market as evidenced by an increase in new business jet deliveries, improved pricing and continued additions to the fractional ownership and charter fleets. In 2008, sales to this end- market primarily consisted of sales of Primus Epic integrated avionics systems and the TFE 731 and HTF 7000 engines.</w:t>
      </w:r>
    </w:p>
    <w:p>
      <w:pPr>
        <w:spacing w:after="0" w:line="104" w:lineRule="exact"/>
        <w:rPr>
          <w:rFonts w:ascii="Arial" w:cs="Arial" w:eastAsia="Arial" w:hAnsi="Arial"/>
          <w:sz w:val="19"/>
          <w:szCs w:val="19"/>
          <w:color w:val="auto"/>
        </w:rPr>
      </w:pPr>
    </w:p>
    <w:p>
      <w:pPr>
        <w:ind w:left="540" w:right="80" w:hanging="158"/>
        <w:spacing w:after="0" w:line="253"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Business and general aviation aftermarket sales increased by 6 percent in 2008. The increase was primarily due to increased revenue under maintenance service agreements and higher sales of spare parts.</w:t>
      </w:r>
    </w:p>
    <w:p>
      <w:pPr>
        <w:spacing w:after="0" w:line="93" w:lineRule="exact"/>
        <w:rPr>
          <w:rFonts w:ascii="Arial" w:cs="Arial" w:eastAsia="Arial" w:hAnsi="Arial"/>
          <w:sz w:val="19"/>
          <w:szCs w:val="19"/>
          <w:color w:val="auto"/>
        </w:rPr>
      </w:pPr>
    </w:p>
    <w:p>
      <w:pPr>
        <w:ind w:left="540" w:right="140" w:hanging="158"/>
        <w:spacing w:after="0" w:line="242"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Defense and space sales increased by 6 percent in 2008. The increase was primarily due to logistics services (including the positive impact of the acquisition of Dimensions International, a defense logistics business), helicopter OE sales, an increase in government funded engineering related to the Orion (CEV) program, higher sales of specialty foam insulation, certain surface systems and classified space programs.</w:t>
      </w:r>
    </w:p>
    <w:p>
      <w:pPr>
        <w:spacing w:after="0" w:line="199" w:lineRule="exact"/>
        <w:rPr>
          <w:sz w:val="20"/>
          <w:szCs w:val="20"/>
          <w:color w:val="auto"/>
        </w:rPr>
      </w:pPr>
    </w:p>
    <w:p>
      <w:pPr>
        <w:jc w:val="both"/>
        <w:ind w:right="60" w:firstLine="357"/>
        <w:spacing w:after="0" w:line="245" w:lineRule="auto"/>
        <w:rPr>
          <w:sz w:val="20"/>
          <w:szCs w:val="20"/>
          <w:color w:val="auto"/>
        </w:rPr>
      </w:pPr>
      <w:r>
        <w:rPr>
          <w:rFonts w:ascii="Arial" w:cs="Arial" w:eastAsia="Arial" w:hAnsi="Arial"/>
          <w:sz w:val="19"/>
          <w:szCs w:val="19"/>
          <w:color w:val="auto"/>
        </w:rPr>
        <w:t>Aerospace segment profit increased by 5 percent in 2008 compared to 2007 due primarily to increased prices, productivity and sales volume growth. These increases are partially offset by inflation, the Consumables Solutions divestiture and higher spending to support new platform growth.</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2010 Areas of Focus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Aerospace’s primary areas of focus for 2010 include:</w:t>
      </w:r>
    </w:p>
    <w:p>
      <w:pPr>
        <w:spacing w:after="0" w:line="160" w:lineRule="exact"/>
        <w:rPr>
          <w:sz w:val="20"/>
          <w:szCs w:val="20"/>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Focus on cost structure initiatives to maintain profitability in the face of challenging commercial aerospace conditions;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Aligning inventory, production and research and development with customer demand and production schedules;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Expanding sales and operations in international locations;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Pursuit of new defense and space platforms;</w:t>
      </w:r>
    </w:p>
    <w:p>
      <w:pPr>
        <w:spacing w:after="0" w:line="132" w:lineRule="exact"/>
        <w:rPr>
          <w:rFonts w:ascii="Arial" w:cs="Arial" w:eastAsia="Arial" w:hAnsi="Arial"/>
          <w:sz w:val="19"/>
          <w:szCs w:val="19"/>
          <w:color w:val="auto"/>
        </w:rPr>
      </w:pPr>
    </w:p>
    <w:p>
      <w:pPr>
        <w:ind w:left="540" w:right="220" w:hanging="15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Continuing to design equipment that enhances the safety, performance and durability of aerospace and defense equipment, while reducing weight and operating costs;</w:t>
      </w:r>
    </w:p>
    <w:p>
      <w:pPr>
        <w:spacing w:after="0" w:line="93" w:lineRule="exact"/>
        <w:rPr>
          <w:rFonts w:ascii="Arial" w:cs="Arial" w:eastAsia="Arial" w:hAnsi="Arial"/>
          <w:sz w:val="19"/>
          <w:szCs w:val="19"/>
          <w:color w:val="auto"/>
        </w:rPr>
      </w:pPr>
    </w:p>
    <w:p>
      <w:pPr>
        <w:ind w:left="540" w:right="160" w:hanging="15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Delivering world-class customer service and achieving cycle and lead time reduction to improve responsiveness to customer demand; and</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Continued deployment of our common enterprise resource planning (ERP) system.</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Automation and Control Solutions (ACS)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ACS provides innovative products and solutions that make homes, buildings, industrial sites and infrastructure more efficient, safe and comfortable. Our ACS products and services include controls for heating, cooling, indoor air quality, ventilation, humidification, lighting and home automation; advanced software applications for home/building control and optimization; sensors, switches, control systems and instruments for measuring pressure, air flow, temperature and electrical current; security, fire and gas detection; personal protection equipment; access control; video surveillance; remote patient monitoring systems; products for automatic identification and data collection, installation, maintenance and upgrades of systems that keep buildings safe, comfortable and productive; and automation and control solutions for industrial plants, including advanced software and automation systems that integrate, control and monitor complex processes in many types of industrial settings as well as equipment that controls, measures and analyzes natural gas production and transportation.</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Economic and Other Factors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ACS’s operating results are principally driven by:</w:t>
      </w:r>
    </w:p>
    <w:p>
      <w:pPr>
        <w:spacing w:after="0" w:line="160" w:lineRule="exact"/>
        <w:rPr>
          <w:sz w:val="20"/>
          <w:szCs w:val="20"/>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Global commercial construction (including retrofits and upgrades);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Demand for residential security and environmental control retrofits and upgrades;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Demand for energy efficient products and solutions;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Industrial production;</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Government and public sector spending;</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U.S. and European economic conditions;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Economic growth rates in developed (U.S. and Europe) and emerging markets;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strength of capital and operating spending on process (including petrochemical and refining) and building automation;</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Inventory levels in distribution channels;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Changes to energy, fire, security, health care, safety and environmental concerns and regulations.</w:t>
      </w: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Results of Operations</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b w:val="1"/>
                <w:bCs w:val="1"/>
                <w:color w:val="auto"/>
              </w:rPr>
              <w:t>2007</w:t>
            </w:r>
          </w:p>
        </w:tc>
      </w:tr>
      <w:tr>
        <w:trPr>
          <w:trHeight w:val="264"/>
        </w:trPr>
        <w:tc>
          <w:tcPr>
            <w:tcW w:w="6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gridSpan w:val="4"/>
          </w:tcPr>
          <w:p>
            <w:pPr>
              <w:ind w:left="40"/>
              <w:spacing w:after="0"/>
              <w:rPr>
                <w:sz w:val="20"/>
                <w:szCs w:val="20"/>
                <w:color w:val="auto"/>
              </w:rPr>
            </w:pPr>
            <w:r>
              <w:rPr>
                <w:rFonts w:ascii="Arial" w:cs="Arial" w:eastAsia="Arial" w:hAnsi="Arial"/>
                <w:sz w:val="16"/>
                <w:szCs w:val="16"/>
                <w:b w:val="1"/>
                <w:bCs w:val="1"/>
                <w:color w:val="auto"/>
              </w:rPr>
              <w:t>(Dollars in millions)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6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ind w:right="247"/>
              <w:spacing w:after="0"/>
              <w:rPr>
                <w:sz w:val="20"/>
                <w:szCs w:val="20"/>
                <w:color w:val="auto"/>
              </w:rPr>
            </w:pPr>
            <w:r>
              <w:rPr>
                <w:rFonts w:ascii="Arial" w:cs="Arial" w:eastAsia="Arial" w:hAnsi="Arial"/>
                <w:sz w:val="19"/>
                <w:szCs w:val="19"/>
                <w:color w:val="auto"/>
              </w:rPr>
              <w:t>12,611</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187"/>
              <w:spacing w:after="0"/>
              <w:rPr>
                <w:sz w:val="20"/>
                <w:szCs w:val="20"/>
                <w:color w:val="auto"/>
              </w:rPr>
            </w:pPr>
            <w:r>
              <w:rPr>
                <w:rFonts w:ascii="Arial" w:cs="Arial" w:eastAsia="Arial" w:hAnsi="Arial"/>
                <w:sz w:val="19"/>
                <w:szCs w:val="19"/>
                <w:color w:val="auto"/>
              </w:rPr>
              <w:t>14,018</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12,478</w:t>
            </w:r>
          </w:p>
        </w:tc>
      </w:tr>
      <w:tr>
        <w:trPr>
          <w:trHeight w:val="270"/>
        </w:trPr>
        <w:tc>
          <w:tcPr>
            <w:tcW w:w="650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(10 )%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12 %</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6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ind w:right="247"/>
              <w:spacing w:after="0"/>
              <w:rPr>
                <w:sz w:val="20"/>
                <w:szCs w:val="20"/>
                <w:color w:val="auto"/>
              </w:rPr>
            </w:pPr>
            <w:r>
              <w:rPr>
                <w:rFonts w:ascii="Arial" w:cs="Arial" w:eastAsia="Arial" w:hAnsi="Arial"/>
                <w:sz w:val="19"/>
                <w:szCs w:val="19"/>
                <w:color w:val="auto"/>
              </w:rPr>
              <w:t>1,588</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187"/>
              <w:spacing w:after="0"/>
              <w:rPr>
                <w:sz w:val="20"/>
                <w:szCs w:val="20"/>
                <w:color w:val="auto"/>
              </w:rPr>
            </w:pPr>
            <w:r>
              <w:rPr>
                <w:rFonts w:ascii="Arial" w:cs="Arial" w:eastAsia="Arial" w:hAnsi="Arial"/>
                <w:sz w:val="19"/>
                <w:szCs w:val="19"/>
                <w:color w:val="auto"/>
              </w:rPr>
              <w:t>1,622</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1,405</w:t>
            </w:r>
          </w:p>
        </w:tc>
      </w:tr>
      <w:tr>
        <w:trPr>
          <w:trHeight w:val="274"/>
        </w:trPr>
        <w:tc>
          <w:tcPr>
            <w:tcW w:w="650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15 %</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2009 compared with 2008</w:t>
      </w:r>
    </w:p>
    <w:p>
      <w:pPr>
        <w:spacing w:after="0" w:line="130" w:lineRule="exact"/>
        <w:rPr>
          <w:sz w:val="20"/>
          <w:szCs w:val="20"/>
          <w:color w:val="auto"/>
        </w:rPr>
      </w:pPr>
    </w:p>
    <w:p>
      <w:pPr>
        <w:jc w:val="both"/>
        <w:ind w:right="320" w:firstLine="357"/>
        <w:spacing w:after="0" w:line="245" w:lineRule="auto"/>
        <w:rPr>
          <w:sz w:val="20"/>
          <w:szCs w:val="20"/>
          <w:color w:val="auto"/>
        </w:rPr>
      </w:pPr>
      <w:r>
        <w:rPr>
          <w:rFonts w:ascii="Arial" w:cs="Arial" w:eastAsia="Arial" w:hAnsi="Arial"/>
          <w:sz w:val="19"/>
          <w:szCs w:val="19"/>
          <w:color w:val="auto"/>
        </w:rPr>
        <w:t>ACS sales decreased by 10 percent in 2009 compared with 2008, primarily due to decreased sales volume (reflecting slower global economic growth) and an unfavorable impact of foreign exchange of 4 percent, partially offset by a 3 percent growth from acquisitions.</w:t>
      </w:r>
    </w:p>
    <w:p>
      <w:pPr>
        <w:spacing w:after="0" w:line="141" w:lineRule="exact"/>
        <w:rPr>
          <w:sz w:val="20"/>
          <w:szCs w:val="20"/>
          <w:color w:val="auto"/>
        </w:rPr>
      </w:pPr>
    </w:p>
    <w:p>
      <w:pPr>
        <w:ind w:left="540" w:hanging="158"/>
        <w:spacing w:after="0" w:line="245"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Sales in our Products businesses decreased by 11 percent, including (i) lower volumes of sales in each of our businesses (excluding the impact of acquisitions) and (ii) the unfavorable impact of foreign exchange. Softness in residential and industrial end-markets was partially offset by the positive impact of acquisitions, most significantly Norcross Safety Products.</w:t>
      </w:r>
    </w:p>
    <w:p>
      <w:pPr>
        <w:spacing w:after="0" w:line="100" w:lineRule="exact"/>
        <w:rPr>
          <w:rFonts w:ascii="Arial" w:cs="Arial" w:eastAsia="Arial" w:hAnsi="Arial"/>
          <w:sz w:val="19"/>
          <w:szCs w:val="19"/>
          <w:color w:val="auto"/>
        </w:rPr>
      </w:pPr>
    </w:p>
    <w:p>
      <w:pPr>
        <w:ind w:left="540" w:right="300" w:hanging="158"/>
        <w:spacing w:after="0" w:line="245"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Sales in our Solutions businesses decreased by 9 percent primarily due to the unfavorable impact of foreign exchange and volume decreases largely due to softening demand as a result of customer deferral of capital and operating expenditures. Orders decreased while backlog</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33" w:name="page34"/>
    <w:bookmarkEnd w:id="33"/>
    <w:p>
      <w:pPr>
        <w:ind w:left="480" w:right="280"/>
        <w:spacing w:after="0" w:line="245" w:lineRule="auto"/>
        <w:rPr>
          <w:sz w:val="20"/>
          <w:szCs w:val="20"/>
          <w:color w:val="auto"/>
        </w:rPr>
      </w:pPr>
      <w:r>
        <w:rPr>
          <w:rFonts w:ascii="Arial" w:cs="Arial" w:eastAsia="Arial" w:hAnsi="Arial"/>
          <w:sz w:val="19"/>
          <w:szCs w:val="19"/>
          <w:color w:val="auto"/>
        </w:rPr>
        <w:t>increased in 2009. Decreased orders are primarily due to the unfavorable impact of foreign exchange, softening demand (as noted above) and order timing and delays. Higher backlog is primarily due to longer duration projects. The impact of these factors was partially offset by the positive impact of acquisitions, most significantly the RMG Group.</w:t>
      </w:r>
    </w:p>
    <w:p>
      <w:pPr>
        <w:spacing w:after="0" w:line="195"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ACS segment profit decreased by 2 percent in 2009 compared with 2008 principally due to the negative impact of lower sales as a result of the factors discussed above and inflation, partially offset by lower material costs, reduced labor costs (reflecting reduced census, work schedule reductions, benefits from prior repositioning actions and lower incentive compensation) and the positive impact of indirect cost savings initiatives. In the fourth quarter of 2009 these factors more than offset the impact of lower sales described above resulting in a 5 percent increase in segment profit.</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2008 compared with 2007</w:t>
      </w:r>
    </w:p>
    <w:p>
      <w:pPr>
        <w:spacing w:after="0" w:line="130" w:lineRule="exact"/>
        <w:rPr>
          <w:sz w:val="20"/>
          <w:szCs w:val="20"/>
          <w:color w:val="auto"/>
        </w:rPr>
      </w:pPr>
    </w:p>
    <w:p>
      <w:pPr>
        <w:ind w:right="520" w:firstLine="357"/>
        <w:spacing w:after="0" w:line="245" w:lineRule="auto"/>
        <w:rPr>
          <w:sz w:val="20"/>
          <w:szCs w:val="20"/>
          <w:color w:val="auto"/>
        </w:rPr>
      </w:pPr>
      <w:r>
        <w:rPr>
          <w:rFonts w:ascii="Arial" w:cs="Arial" w:eastAsia="Arial" w:hAnsi="Arial"/>
          <w:sz w:val="19"/>
          <w:szCs w:val="19"/>
          <w:color w:val="auto"/>
        </w:rPr>
        <w:t>ACS sales increased by 12 percent in 2008 compared with 2007, including 10 percent net growth from acquisitions and divestitures. Although foreign exchange had minimal impact on full year sales, there was a 9 percent negative impact of foreign exchange on fourth quarter sales.</w:t>
      </w:r>
    </w:p>
    <w:p>
      <w:pPr>
        <w:spacing w:after="0" w:line="141" w:lineRule="exact"/>
        <w:rPr>
          <w:sz w:val="20"/>
          <w:szCs w:val="20"/>
          <w:color w:val="auto"/>
        </w:rPr>
      </w:pPr>
    </w:p>
    <w:p>
      <w:pPr>
        <w:ind w:left="540" w:right="100" w:hanging="15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Sales in our Products businesses grew by 15 percent, including (i) the positive impact of acquisitions, most significantly Norcross Safety Products, Metrologic Instruments, Hand Held Products Inc and Maxon Corporation, (ii) continued strong demand for life safety products, particularly fire systems and sensors and (iii) increased sales of our environmental and combustion products, driven by new products and demand for energy efficient controls, including growth across all regions. These factors were partially offset by decreases in sales volumes of our security (reflecting U.S. and European residential construction softness) and sensing and controls products (most notably automotive customers), reflecting softness in the U.S. and Europe.</w:t>
      </w:r>
    </w:p>
    <w:p>
      <w:pPr>
        <w:spacing w:after="0" w:line="104" w:lineRule="exact"/>
        <w:rPr>
          <w:rFonts w:ascii="Arial" w:cs="Arial" w:eastAsia="Arial" w:hAnsi="Arial"/>
          <w:sz w:val="19"/>
          <w:szCs w:val="19"/>
          <w:color w:val="auto"/>
        </w:rPr>
      </w:pPr>
    </w:p>
    <w:p>
      <w:pPr>
        <w:ind w:left="540" w:hanging="158"/>
        <w:spacing w:after="0" w:line="245"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Sales in our Solutions businesses increased by 8 percent primarily due to (i) volume growth, driven by continued orders growth and strong conversion to sales from our orders backlog and (ii) the positive impact of acquisitions, most significantly Enraf Holding B.V.</w:t>
      </w:r>
    </w:p>
    <w:p>
      <w:pPr>
        <w:spacing w:after="0" w:line="195" w:lineRule="exact"/>
        <w:rPr>
          <w:sz w:val="20"/>
          <w:szCs w:val="20"/>
          <w:color w:val="auto"/>
        </w:rPr>
      </w:pPr>
    </w:p>
    <w:p>
      <w:pPr>
        <w:ind w:right="540" w:firstLine="357"/>
        <w:spacing w:after="0" w:line="253" w:lineRule="auto"/>
        <w:rPr>
          <w:sz w:val="20"/>
          <w:szCs w:val="20"/>
          <w:color w:val="auto"/>
        </w:rPr>
      </w:pPr>
      <w:r>
        <w:rPr>
          <w:rFonts w:ascii="Arial" w:cs="Arial" w:eastAsia="Arial" w:hAnsi="Arial"/>
          <w:sz w:val="19"/>
          <w:szCs w:val="19"/>
          <w:color w:val="auto"/>
        </w:rPr>
        <w:t>ACS segment profit increased by 15 percent in 2008 compared with 2007 principally due to increased productivity savings, acquisitions, and improved pricing, partially offset by inflation.</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2010 Areas of Focus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ACS’s primary areas of focus for 2010 include:</w:t>
      </w:r>
    </w:p>
    <w:p>
      <w:pPr>
        <w:spacing w:after="0" w:line="160" w:lineRule="exact"/>
        <w:rPr>
          <w:sz w:val="20"/>
          <w:szCs w:val="20"/>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Products and solutions for energy efficiency and asset management;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Extending technology leadership: lowest total installed cost and integrated product solutions;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Defending and extending our installed base through customer productivity and globalization;</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Sustaining strong brand recognition through our brand and channel management;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Centralization and standardization of global software development capabilities;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Continuing to identify, execute and integrate acquisitions in or adjacent to the markets which we serve;</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Continuing to establish and grow emerging markets presence and capability;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Continuing to invest in new product development and introductions;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Continued deployment of our common ERP system.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Specialty Materials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right="560" w:firstLine="357"/>
        <w:spacing w:after="0" w:line="245" w:lineRule="auto"/>
        <w:rPr>
          <w:sz w:val="20"/>
          <w:szCs w:val="20"/>
          <w:color w:val="auto"/>
        </w:rPr>
      </w:pPr>
      <w:r>
        <w:rPr>
          <w:rFonts w:ascii="Arial" w:cs="Arial" w:eastAsia="Arial" w:hAnsi="Arial"/>
          <w:sz w:val="19"/>
          <w:szCs w:val="19"/>
          <w:color w:val="auto"/>
        </w:rPr>
        <w:t>Specialty Materials develops and manufactures high-purity, high-quality and high-performance chemicals and materials for applications in the refining, petrochemical, automotive, healthcare, agricultural, packaging, refrigeration, appliance, housing, semiconductor, wax and adhesives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34" w:name="page35"/>
    <w:bookmarkEnd w:id="34"/>
    <w:p>
      <w:pPr>
        <w:ind w:right="280"/>
        <w:spacing w:after="0" w:line="242" w:lineRule="auto"/>
        <w:rPr>
          <w:sz w:val="20"/>
          <w:szCs w:val="20"/>
          <w:color w:val="auto"/>
        </w:rPr>
      </w:pPr>
      <w:r>
        <w:rPr>
          <w:rFonts w:ascii="Arial" w:cs="Arial" w:eastAsia="Arial" w:hAnsi="Arial"/>
          <w:sz w:val="19"/>
          <w:szCs w:val="19"/>
          <w:color w:val="auto"/>
        </w:rPr>
        <w:t>segments. Specialty Materials also provides process technology, products and services for the petroleum refining, gas processing technology, petrochemical and other industries. Specialty Materials’ product portfolio includes fluorocarbons, caprolactam, ammonium sulfate for fertilizer, specialty films, advanced fibers, customized research chemicals and intermediates, electronic materials and chemicals, catalysts, and adsorbents.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Economic and Other Factors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Specialty Materials operating results are principally driven by:</w:t>
      </w:r>
    </w:p>
    <w:p>
      <w:pPr>
        <w:spacing w:after="0" w:line="160" w:lineRule="exact"/>
        <w:rPr>
          <w:sz w:val="20"/>
          <w:szCs w:val="20"/>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Level and timing of capital spending and capacity and utilization rates in refining and petrochemical end markets;</w:t>
      </w:r>
    </w:p>
    <w:p>
      <w:pPr>
        <w:spacing w:after="0" w:line="132" w:lineRule="exact"/>
        <w:rPr>
          <w:rFonts w:ascii="Arial" w:cs="Arial" w:eastAsia="Arial" w:hAnsi="Arial"/>
          <w:sz w:val="19"/>
          <w:szCs w:val="19"/>
          <w:color w:val="auto"/>
        </w:rPr>
      </w:pPr>
    </w:p>
    <w:p>
      <w:pPr>
        <w:ind w:left="540" w:right="260" w:hanging="158"/>
        <w:spacing w:after="0" w:line="25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Degree of pricing volatility in raw materials such as benzene (the key component in phenol), fluorspar, natural gas, ethylene and sulfur;</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Impact of environmental and energy efficiency regulations;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Extent of change in order rates from global semiconductor customers;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Global demand for non-ozone depleting Hydro fluorocarbons (HFC’s);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Condition of the U.S. residential housing industry;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Global demand for commodities such as caprolactam and ammonium sulfate;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Increasing demand for renewable energy and biofuels.</w:t>
      </w: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Results of Operations</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2007</w:t>
            </w:r>
          </w:p>
        </w:tc>
      </w:tr>
      <w:tr>
        <w:trPr>
          <w:trHeight w:val="264"/>
        </w:trPr>
        <w:tc>
          <w:tcPr>
            <w:tcW w:w="6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gridSpan w:val="4"/>
          </w:tcPr>
          <w:p>
            <w:pPr>
              <w:ind w:left="40"/>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6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227"/>
              <w:spacing w:after="0"/>
              <w:rPr>
                <w:sz w:val="20"/>
                <w:szCs w:val="20"/>
                <w:color w:val="auto"/>
              </w:rPr>
            </w:pPr>
            <w:r>
              <w:rPr>
                <w:rFonts w:ascii="Arial" w:cs="Arial" w:eastAsia="Arial" w:hAnsi="Arial"/>
                <w:sz w:val="19"/>
                <w:szCs w:val="19"/>
                <w:color w:val="auto"/>
              </w:rPr>
              <w:t>4,144</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147"/>
              <w:spacing w:after="0"/>
              <w:rPr>
                <w:sz w:val="20"/>
                <w:szCs w:val="20"/>
                <w:color w:val="auto"/>
              </w:rPr>
            </w:pPr>
            <w:r>
              <w:rPr>
                <w:rFonts w:ascii="Arial" w:cs="Arial" w:eastAsia="Arial" w:hAnsi="Arial"/>
                <w:sz w:val="19"/>
                <w:szCs w:val="19"/>
                <w:color w:val="auto"/>
              </w:rPr>
              <w:t>5,266</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187"/>
              <w:spacing w:after="0"/>
              <w:rPr>
                <w:sz w:val="20"/>
                <w:szCs w:val="20"/>
                <w:color w:val="auto"/>
              </w:rPr>
            </w:pPr>
            <w:r>
              <w:rPr>
                <w:rFonts w:ascii="Arial" w:cs="Arial" w:eastAsia="Arial" w:hAnsi="Arial"/>
                <w:sz w:val="19"/>
                <w:szCs w:val="19"/>
                <w:color w:val="auto"/>
              </w:rPr>
              <w:t>4,866</w:t>
            </w:r>
          </w:p>
        </w:tc>
      </w:tr>
      <w:tr>
        <w:trPr>
          <w:trHeight w:val="270"/>
        </w:trPr>
        <w:tc>
          <w:tcPr>
            <w:tcW w:w="674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(21 )%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5 %</w:t>
            </w:r>
          </w:p>
        </w:tc>
      </w:tr>
      <w:tr>
        <w:trPr>
          <w:trHeight w:val="270"/>
        </w:trPr>
        <w:tc>
          <w:tcPr>
            <w:tcW w:w="6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227"/>
              <w:spacing w:after="0"/>
              <w:rPr>
                <w:sz w:val="20"/>
                <w:szCs w:val="20"/>
                <w:color w:val="auto"/>
              </w:rPr>
            </w:pPr>
            <w:r>
              <w:rPr>
                <w:rFonts w:ascii="Arial" w:cs="Arial" w:eastAsia="Arial" w:hAnsi="Arial"/>
                <w:sz w:val="19"/>
                <w:szCs w:val="19"/>
                <w:color w:val="auto"/>
              </w:rPr>
              <w:t>605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147"/>
              <w:spacing w:after="0"/>
              <w:rPr>
                <w:sz w:val="20"/>
                <w:szCs w:val="20"/>
                <w:color w:val="auto"/>
              </w:rPr>
            </w:pPr>
            <w:r>
              <w:rPr>
                <w:rFonts w:ascii="Arial" w:cs="Arial" w:eastAsia="Arial" w:hAnsi="Arial"/>
                <w:sz w:val="19"/>
                <w:szCs w:val="19"/>
                <w:color w:val="auto"/>
              </w:rPr>
              <w:t>721</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187"/>
              <w:spacing w:after="0"/>
              <w:rPr>
                <w:sz w:val="20"/>
                <w:szCs w:val="20"/>
                <w:color w:val="auto"/>
              </w:rPr>
            </w:pPr>
            <w:r>
              <w:rPr>
                <w:rFonts w:ascii="Arial" w:cs="Arial" w:eastAsia="Arial" w:hAnsi="Arial"/>
                <w:sz w:val="19"/>
                <w:szCs w:val="19"/>
                <w:color w:val="auto"/>
              </w:rPr>
              <w:t>658</w:t>
            </w:r>
          </w:p>
        </w:tc>
      </w:tr>
      <w:tr>
        <w:trPr>
          <w:trHeight w:val="274"/>
        </w:trPr>
        <w:tc>
          <w:tcPr>
            <w:tcW w:w="674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(16 )%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16 %</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2009 compared with 2008</w:t>
      </w:r>
    </w:p>
    <w:p>
      <w:pPr>
        <w:spacing w:after="0" w:line="130" w:lineRule="exact"/>
        <w:rPr>
          <w:sz w:val="20"/>
          <w:szCs w:val="20"/>
          <w:color w:val="auto"/>
        </w:rPr>
      </w:pPr>
    </w:p>
    <w:p>
      <w:pPr>
        <w:ind w:right="140" w:firstLine="357"/>
        <w:spacing w:after="0" w:line="239" w:lineRule="auto"/>
        <w:rPr>
          <w:sz w:val="20"/>
          <w:szCs w:val="20"/>
          <w:color w:val="auto"/>
        </w:rPr>
      </w:pPr>
      <w:r>
        <w:rPr>
          <w:rFonts w:ascii="Arial" w:cs="Arial" w:eastAsia="Arial" w:hAnsi="Arial"/>
          <w:sz w:val="19"/>
          <w:szCs w:val="19"/>
          <w:color w:val="auto"/>
        </w:rPr>
        <w:t>Specialty Materials sales decreased by 21 percent in 2009 compared to 2008 primarily driven by (i) a 32 percent decrease in Resins and Chemicals sales due to substantial price declines arising from pass through of lower raw materials costs, partially offset by increased volume (most notably in the fourth quarter), (ii) a 19 percent decrease in UOP sales due to customer deferrals of projects as a result of reduced demand for additional capacity in the refining and petrochemical industries as well as lower catalyst sales, (iii) a 22 percent decrease in Specialty Products sales most significantly due to continued demand softness across key customer end-markets, and (iv) an 11 percent decrease in Fluorine Products sales due to lower volume sales of refrigerants and insulating materials principally driven by customer inventory reduction initiatives and soft construction and original equipment manufacturing end markets, partially offset by price increases.</w:t>
      </w:r>
    </w:p>
    <w:p>
      <w:pPr>
        <w:spacing w:after="0" w:line="96"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Specialty Materials segment profit decreased by 16 percent in 2009 compared with 2008. This decrease is principally due to lower sales as a result of the factors discussed above, partially offset by lower material costs, reduced labor costs (reflecting reduced census, work schedule reductions and lower incentive compensation), the positive impact of indirect cost savings initiatives and increased prices. In the fourth quarter of 2009 these factors more than offset the impact of lower sales described above resulting in a 56 percent increase in segment profit.</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2008 compared with 2007</w:t>
      </w:r>
    </w:p>
    <w:p>
      <w:pPr>
        <w:spacing w:after="0" w:line="130"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Specialty Materials sales increased by 8 percent in 2008 compared to 2007 primarily driven by (i) increased pricing reflecting the pass-through of higher raw material costs and other pricing actions (including benefits from formula based pricing arrangements), most significantly in Resins and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35" w:name="page36"/>
    <w:bookmarkEnd w:id="35"/>
    <w:p>
      <w:pPr>
        <w:ind w:right="160"/>
        <w:spacing w:after="0" w:line="242" w:lineRule="auto"/>
        <w:rPr>
          <w:sz w:val="20"/>
          <w:szCs w:val="20"/>
          <w:color w:val="auto"/>
        </w:rPr>
      </w:pPr>
      <w:r>
        <w:rPr>
          <w:rFonts w:ascii="Arial" w:cs="Arial" w:eastAsia="Arial" w:hAnsi="Arial"/>
          <w:sz w:val="19"/>
          <w:szCs w:val="19"/>
          <w:color w:val="auto"/>
        </w:rPr>
        <w:t>Chemicals and Fluorine Products, and (ii) an 8 percent increase in UOP sales as a result of higher volume sales in its products and projects businesses. Full year 2008 sales growth was partially offset by a 12 percent sales decline in revenue during the fourth quarter, primarily in our Resins and Chemicals business due to sharp declines in global demand for commodities such as caprolactam and ammonium sulfate.</w:t>
      </w:r>
    </w:p>
    <w:p>
      <w:pPr>
        <w:spacing w:after="0" w:line="199"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Specialty Materials segment profit increased by 10 percent in 2008 compared with 2007. This increase is due principally to increased UOP, Fluorine Products and Resins and Chemicals sales as a result of the factors discussed above and higher income from our joint ventures, partially offset by the impacts of hurricanes Gustav and Ike and the fourth quarter sales decline noted below. Overall, the effects of increased pricing reflecting the pass-through of higher raw material costs and other pricing actions (including benefits from formula based pricing arrangements) and productivity gains more than offset raw material (most significantly sulfur) and other inflation.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2010 Areas of Focus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Specialty Materials primary areas of focus for 2010 include:</w:t>
      </w:r>
    </w:p>
    <w:p>
      <w:pPr>
        <w:spacing w:after="0" w:line="160" w:lineRule="exact"/>
        <w:rPr>
          <w:sz w:val="20"/>
          <w:szCs w:val="20"/>
          <w:color w:val="auto"/>
        </w:rPr>
      </w:pPr>
    </w:p>
    <w:p>
      <w:pPr>
        <w:ind w:left="540" w:right="360" w:hanging="158"/>
        <w:spacing w:after="0" w:line="25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Continue to develop new processes, products and technologies that address energy efficiency, renewable energy sources, global warming, security regulations and position the portfolio for higher value;</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Commercialize new products and technologies in the petrochemical, gas processing and refining industries;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Drive sales and marketing excellence and expand local presence in fast growing emerging markets;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Execution of awarded government stimulus projects and pursuit of additional projects;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Manage exposure to raw material commodity fluctuations;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Prioritize critical investment to increase plant reliability and attainment, productivity, quality and operational excellence.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Transportation Systems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Transportation Systems provides automotive products that improve the performance, efficiency, and appearance of cars, trucks, and other vehicles through state-of-the-art technologies, world class brands and global solutions to customers’ needs. Transportation Systems’ products include turbochargers and charge-air and thermal systems; car care products including anti-freeze (Prestone(R)), filters (Fram(R)), spark plugs (Autolite(R)), and cleaners, waxes and additives (Holts(R)); and brake hard parts and other friction materials (Bendix(R) and Jurid(R)). Transportation Systems sells its products to original equipment (“OE”) automotive and truck manufacturers (e.g., BMW, Caterpillar, Daimler, Renault, Ford, and Volkswagen), wholesalers and distributors and through the retail aftermarket.</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Economic and Other Factors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Transportation Systems operating results are principally driven by:</w:t>
      </w:r>
    </w:p>
    <w:p>
      <w:pPr>
        <w:spacing w:after="0" w:line="160" w:lineRule="exact"/>
        <w:rPr>
          <w:sz w:val="20"/>
          <w:szCs w:val="20"/>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Financial strength and stability of automotive OE manufacturers;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Global demand for automobile and truck production;</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Turbo penetration rates for new engine platforms;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Global consumer preferences for boosted diesel passenger cars;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Degree of volatility in raw material prices, including nickel and steel;</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New automobile production rates and the impact of customer inventory levels on demand for our products;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36" w:name="page37"/>
    <w:bookmarkEnd w:id="36"/>
    <w:p>
      <w:pPr>
        <w:ind w:left="540" w:right="200" w:hanging="15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Automotive aftermarket trends such as consumer confidence, miles driven, and consumer preference for branded vs. private label aftermarket and car care products;</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Regulations mandating lower emissions and improved fuel economy;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Consumers’ ability to obtain financing for new vehicle purchases.</w:t>
      </w: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Results of Operations</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2007</w:t>
            </w:r>
          </w:p>
        </w:tc>
      </w:tr>
      <w:tr>
        <w:trPr>
          <w:trHeight w:val="264"/>
        </w:trPr>
        <w:tc>
          <w:tcPr>
            <w:tcW w:w="6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gridSpan w:val="4"/>
          </w:tcPr>
          <w:p>
            <w:pPr>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0"/>
        </w:trPr>
        <w:tc>
          <w:tcPr>
            <w:tcW w:w="6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227"/>
              <w:spacing w:after="0"/>
              <w:rPr>
                <w:sz w:val="20"/>
                <w:szCs w:val="20"/>
                <w:color w:val="auto"/>
              </w:rPr>
            </w:pPr>
            <w:r>
              <w:rPr>
                <w:rFonts w:ascii="Arial" w:cs="Arial" w:eastAsia="Arial" w:hAnsi="Arial"/>
                <w:sz w:val="19"/>
                <w:szCs w:val="19"/>
                <w:color w:val="auto"/>
              </w:rPr>
              <w:t>3,389</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247"/>
              <w:spacing w:after="0"/>
              <w:rPr>
                <w:sz w:val="20"/>
                <w:szCs w:val="20"/>
                <w:color w:val="auto"/>
              </w:rPr>
            </w:pPr>
            <w:r>
              <w:rPr>
                <w:rFonts w:ascii="Arial" w:cs="Arial" w:eastAsia="Arial" w:hAnsi="Arial"/>
                <w:sz w:val="19"/>
                <w:szCs w:val="19"/>
                <w:color w:val="auto"/>
              </w:rPr>
              <w:t>4,622</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5,009</w:t>
            </w:r>
          </w:p>
        </w:tc>
      </w:tr>
      <w:tr>
        <w:trPr>
          <w:trHeight w:val="270"/>
        </w:trPr>
        <w:tc>
          <w:tcPr>
            <w:tcW w:w="682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(27 )%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6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227"/>
              <w:spacing w:after="0"/>
              <w:rPr>
                <w:sz w:val="20"/>
                <w:szCs w:val="20"/>
                <w:color w:val="auto"/>
              </w:rPr>
            </w:pPr>
            <w:r>
              <w:rPr>
                <w:rFonts w:ascii="Arial" w:cs="Arial" w:eastAsia="Arial" w:hAnsi="Arial"/>
                <w:sz w:val="19"/>
                <w:szCs w:val="19"/>
                <w:color w:val="auto"/>
              </w:rPr>
              <w:t>156</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247"/>
              <w:spacing w:after="0"/>
              <w:rPr>
                <w:sz w:val="20"/>
                <w:szCs w:val="20"/>
                <w:color w:val="auto"/>
              </w:rPr>
            </w:pPr>
            <w:r>
              <w:rPr>
                <w:rFonts w:ascii="Arial" w:cs="Arial" w:eastAsia="Arial" w:hAnsi="Arial"/>
                <w:sz w:val="19"/>
                <w:szCs w:val="19"/>
                <w:color w:val="auto"/>
              </w:rPr>
              <w:t>406</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583</w:t>
            </w:r>
          </w:p>
        </w:tc>
      </w:tr>
      <w:tr>
        <w:trPr>
          <w:trHeight w:val="274"/>
        </w:trPr>
        <w:tc>
          <w:tcPr>
            <w:tcW w:w="6820" w:type="dxa"/>
            <w:vAlign w:val="bottom"/>
          </w:tcPr>
          <w:p>
            <w:pPr>
              <w:ind w:left="20"/>
              <w:spacing w:after="0"/>
              <w:rPr>
                <w:sz w:val="20"/>
                <w:szCs w:val="20"/>
                <w:color w:val="auto"/>
              </w:rPr>
            </w:pPr>
            <w:r>
              <w:rPr>
                <w:rFonts w:ascii="Arial" w:cs="Arial" w:eastAsia="Arial" w:hAnsi="Arial"/>
                <w:sz w:val="19"/>
                <w:szCs w:val="19"/>
                <w:color w:val="auto"/>
              </w:rPr>
              <w:t>% change compared with prior year</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(62 )%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(30 )%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29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2009 compared with 2008</w:t>
      </w:r>
    </w:p>
    <w:p>
      <w:pPr>
        <w:spacing w:after="0" w:line="130" w:lineRule="exact"/>
        <w:rPr>
          <w:sz w:val="20"/>
          <w:szCs w:val="20"/>
          <w:color w:val="auto"/>
        </w:rPr>
      </w:pPr>
    </w:p>
    <w:p>
      <w:pPr>
        <w:jc w:val="both"/>
        <w:ind w:right="160" w:firstLine="357"/>
        <w:spacing w:after="0" w:line="245" w:lineRule="auto"/>
        <w:rPr>
          <w:sz w:val="20"/>
          <w:szCs w:val="20"/>
          <w:color w:val="auto"/>
        </w:rPr>
      </w:pPr>
      <w:r>
        <w:rPr>
          <w:rFonts w:ascii="Arial" w:cs="Arial" w:eastAsia="Arial" w:hAnsi="Arial"/>
          <w:sz w:val="19"/>
          <w:szCs w:val="19"/>
          <w:color w:val="auto"/>
        </w:rPr>
        <w:t>Transportation Systems sales decreased by 27 percent in 2009 compared with 2008, primarily due to lower volumes (driven by the ongoing challenging global automotive industry conditions) and the negative impact of foreign exchange in the first nine months of 2009.</w:t>
      </w:r>
    </w:p>
    <w:p>
      <w:pPr>
        <w:spacing w:after="0" w:line="141" w:lineRule="exact"/>
        <w:rPr>
          <w:sz w:val="20"/>
          <w:szCs w:val="20"/>
          <w:color w:val="auto"/>
        </w:rPr>
      </w:pPr>
    </w:p>
    <w:p>
      <w:pPr>
        <w:ind w:left="540" w:right="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Turbo Technologies sales decreased by 34 percent primarily due to lower sales volumes to both our commercial and light vehicle engine manufacturing customers and the negative impact of foreign exchange. Diesel penetration rates in Western Europe declined in the first nine months of 2009 and there was a shift in consumer preference towards lower displacement engines. Full year 2009 sales decline was partially offset by a 22 percent sales increase during the fourth quarter primarily due to the positive impact of foreign exchange and higher sales volumes to our light vehicle engine manufacturing customers. We expect increased volumes to continue as we benefit from new platform launches scheduled in 2010.</w:t>
      </w:r>
    </w:p>
    <w:p>
      <w:pPr>
        <w:spacing w:after="0" w:line="93" w:lineRule="exact"/>
        <w:rPr>
          <w:rFonts w:ascii="Arial" w:cs="Arial" w:eastAsia="Arial" w:hAnsi="Arial"/>
          <w:sz w:val="19"/>
          <w:szCs w:val="19"/>
          <w:color w:val="auto"/>
        </w:rPr>
      </w:pPr>
    </w:p>
    <w:p>
      <w:pPr>
        <w:ind w:left="540" w:right="320" w:hanging="158"/>
        <w:spacing w:after="0" w:line="253"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CPG sales decreased by 8 percent primarily due to lower prices (primarily pass through of ethylene glycol cost decreases), lower volumes, and the negative impact of foreign exchange.</w:t>
      </w:r>
    </w:p>
    <w:p>
      <w:pPr>
        <w:spacing w:after="0" w:line="93" w:lineRule="exact"/>
        <w:rPr>
          <w:rFonts w:ascii="Arial" w:cs="Arial" w:eastAsia="Arial" w:hAnsi="Arial"/>
          <w:sz w:val="19"/>
          <w:szCs w:val="19"/>
          <w:color w:val="auto"/>
        </w:rPr>
      </w:pPr>
    </w:p>
    <w:p>
      <w:pPr>
        <w:ind w:left="540" w:right="380" w:hanging="158"/>
        <w:spacing w:after="0" w:line="253"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Friction Materials sales decreased by 24 percent primarily due to continued declines in sales volumes and the unfavorable impact of foreign exchange.</w:t>
      </w:r>
    </w:p>
    <w:p>
      <w:pPr>
        <w:spacing w:after="0" w:line="188" w:lineRule="exact"/>
        <w:rPr>
          <w:sz w:val="20"/>
          <w:szCs w:val="20"/>
          <w:color w:val="auto"/>
        </w:rPr>
      </w:pPr>
    </w:p>
    <w:p>
      <w:pPr>
        <w:ind w:right="180" w:firstLine="357"/>
        <w:spacing w:after="0"/>
        <w:rPr>
          <w:sz w:val="20"/>
          <w:szCs w:val="20"/>
          <w:color w:val="auto"/>
        </w:rPr>
      </w:pPr>
      <w:r>
        <w:rPr>
          <w:rFonts w:ascii="Arial" w:cs="Arial" w:eastAsia="Arial" w:hAnsi="Arial"/>
          <w:sz w:val="19"/>
          <w:szCs w:val="19"/>
          <w:color w:val="auto"/>
        </w:rPr>
        <w:t>Transportation Systems segment profit decreased by 62 percent in 2009 compared with 2008 due principally to lower sales volume as a result of the factors discussed above partially offset by lower material costs, reduced labor costs (reflecting reduced census, work schedule reductions, benefits from prior repositioning actions and lower incentive compensation) and the positive impact of indirect cost savings initiatives. In the fourth quarter of 2009 these factors and increased Turbo Technologies volumes resulted in a $ 66 million increase in Transportation Systems’ segment profit. We anticipate that new platform launches will translate into increased segment profit in 2010.</w:t>
      </w:r>
    </w:p>
    <w:p>
      <w:pPr>
        <w:spacing w:after="0" w:line="28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2008 compared with 2007</w:t>
      </w:r>
    </w:p>
    <w:p>
      <w:pPr>
        <w:spacing w:after="0" w:line="130" w:lineRule="exact"/>
        <w:rPr>
          <w:sz w:val="20"/>
          <w:szCs w:val="20"/>
          <w:color w:val="auto"/>
        </w:rPr>
      </w:pPr>
    </w:p>
    <w:p>
      <w:pPr>
        <w:ind w:right="660" w:firstLine="357"/>
        <w:spacing w:after="0" w:line="253" w:lineRule="auto"/>
        <w:rPr>
          <w:sz w:val="20"/>
          <w:szCs w:val="20"/>
          <w:color w:val="auto"/>
        </w:rPr>
      </w:pPr>
      <w:r>
        <w:rPr>
          <w:rFonts w:ascii="Arial" w:cs="Arial" w:eastAsia="Arial" w:hAnsi="Arial"/>
          <w:sz w:val="19"/>
          <w:szCs w:val="19"/>
          <w:color w:val="auto"/>
        </w:rPr>
        <w:t>Transportation Systems sales decreased by 8 percent in 2008 compared with 2007, primarily due to lower volumes, most significantly in the second half of 2008, partially offset by the favorable impact of foreign exchange.</w:t>
      </w:r>
    </w:p>
    <w:p>
      <w:pPr>
        <w:spacing w:after="0" w:line="134" w:lineRule="exact"/>
        <w:rPr>
          <w:sz w:val="20"/>
          <w:szCs w:val="20"/>
          <w:color w:val="auto"/>
        </w:rPr>
      </w:pPr>
    </w:p>
    <w:p>
      <w:pPr>
        <w:ind w:left="540" w:hanging="158"/>
        <w:spacing w:after="0" w:line="242"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Turbo Technologies sales decreased by 9 percent primarily due to decreased volume from a broad decline in vehicle production due to challenging automotive industry conditions in the U.S. and Europe, which accelerated in the second half of 2008, impacting sales to both our commercial and light vehicle engine manufacturers, partially offset by the favorable impact of foreign exchange.</w:t>
      </w:r>
    </w:p>
    <w:p>
      <w:pPr>
        <w:spacing w:after="0" w:line="104" w:lineRule="exact"/>
        <w:rPr>
          <w:rFonts w:ascii="Arial" w:cs="Arial" w:eastAsia="Arial" w:hAnsi="Arial"/>
          <w:sz w:val="19"/>
          <w:szCs w:val="19"/>
          <w:color w:val="auto"/>
        </w:rPr>
      </w:pPr>
    </w:p>
    <w:p>
      <w:pPr>
        <w:ind w:left="540" w:right="140" w:hanging="158"/>
        <w:spacing w:after="0" w:line="245"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Consumer Products Group (“CPG”) sales decreased by 10 percent primarily due to lower sales of automotive aftermarket products reflecting lower miles driven and the impact of lower consumer confidence on discretionary spending, partially offset by higher prices (including the pass through of ethylene glycol cost increases).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26" w:right="259" w:bottom="1440" w:gutter="0" w:footer="0" w:header="0"/>
        </w:sectPr>
      </w:pPr>
    </w:p>
    <w:bookmarkStart w:id="37" w:name="page38"/>
    <w:bookmarkEnd w:id="37"/>
    <w:p>
      <w:pPr>
        <w:ind w:left="540" w:right="160" w:hanging="158"/>
        <w:spacing w:after="0" w:line="253" w:lineRule="auto"/>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Friction Materials sales were essentially unchanged, primarily due to the favorable impact of foreign exchange and increased pricing offset by lower original equipment and aftermarket product sales volume.</w:t>
      </w:r>
    </w:p>
    <w:p>
      <w:pPr>
        <w:spacing w:after="0" w:line="296"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Transportation Systems segment profit decreased by 30 percent in 2008 compared with 2007 primarily due to volume declines, as discussed above, material and non-material cost inflation and investments in product development to support future Turbo platforms. These factors were partially offset by increased productivity and the favorable impact of foreign exchange.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2010 Areas of Focus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Transportation Systems primary areas of focus in 2010 include:</w:t>
      </w:r>
    </w:p>
    <w:p>
      <w:pPr>
        <w:spacing w:after="0" w:line="160" w:lineRule="exact"/>
        <w:rPr>
          <w:sz w:val="20"/>
          <w:szCs w:val="20"/>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Sustaining superior turbocharger technology through successful platform launches;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Maintaining the high quality of current products while executing new product introductions;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Increasing global penetration and share of diesel and gasoline turbocharger OEM demand;</w:t>
      </w:r>
    </w:p>
    <w:p>
      <w:pPr>
        <w:spacing w:after="0" w:line="132" w:lineRule="exact"/>
        <w:rPr>
          <w:rFonts w:ascii="Arial" w:cs="Arial" w:eastAsia="Arial" w:hAnsi="Arial"/>
          <w:sz w:val="19"/>
          <w:szCs w:val="19"/>
          <w:color w:val="auto"/>
        </w:rPr>
      </w:pPr>
    </w:p>
    <w:p>
      <w:pPr>
        <w:ind w:left="540" w:right="440" w:hanging="158"/>
        <w:spacing w:after="0" w:line="25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Increasing plant productivity to address capacity challenges generated by volatility in product demand and OEM inventory levels;</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Aligning cost structure with current economic outlook, and successful execution of repositioning actions;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Aligning development efforts and costs with new turbo platform launch schedules;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Continuing global expansion and extension of established strong product brands in CPG.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Repositioning and Other Charges</w:t>
      </w:r>
    </w:p>
    <w:p>
      <w:pPr>
        <w:spacing w:after="0" w:line="11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See Note 3 to the financial statements for a discussion of repositioning and other charges incurred in 2009, 2008 and 2007. Our repositioning actions are expected to generate incremental pretax savings of approximately $300 million in 2010 compared with 2009 principally from planned workforce reductions. Cash expenditures for severance and other exit costs necessary to execute our repositioning actions were $200, $ 157 and $92 million in 2009, 2008 and 2007, respectively. Such expenditures for severance and other exit costs have been funded principally through operating cash flows. Cash expenditures for severance and other exit costs necessary to execute the remaining actions are expected to approximate $225 million in 2010 and will be funded through operating cash flows.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provide details of the pretax impact of total net repositioning and other charges by segment.</w:t>
      </w:r>
    </w:p>
    <w:p>
      <w:pPr>
        <w:spacing w:after="0" w:line="105"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12700</wp:posOffset>
            </wp:positionV>
            <wp:extent cx="17665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66" w:lineRule="exact"/>
        <w:rPr>
          <w:sz w:val="20"/>
          <w:szCs w:val="20"/>
          <w:color w:val="auto"/>
        </w:rPr>
      </w:pPr>
    </w:p>
    <w:p>
      <w:pPr>
        <w:ind w:left="8240"/>
        <w:spacing w:after="0"/>
        <w:tabs>
          <w:tab w:leader="none" w:pos="9220" w:val="left"/>
          <w:tab w:leader="none" w:pos="10340" w:val="left"/>
        </w:tabs>
        <w:rPr>
          <w:sz w:val="20"/>
          <w:szCs w:val="20"/>
          <w:color w:val="auto"/>
        </w:rPr>
      </w:pPr>
      <w:r>
        <w:rPr>
          <w:rFonts w:ascii="Arial" w:cs="Arial" w:eastAsia="Arial" w:hAnsi="Arial"/>
          <w:sz w:val="16"/>
          <w:szCs w:val="16"/>
          <w:b w:val="1"/>
          <w:bCs w:val="1"/>
          <w:color w:val="auto"/>
        </w:rPr>
        <w:t>2009</w:t>
      </w:r>
      <w:r>
        <w:rPr>
          <w:sz w:val="20"/>
          <w:szCs w:val="20"/>
          <w:color w:val="auto"/>
        </w:rPr>
        <w:tab/>
      </w:r>
      <w:r>
        <w:rPr>
          <w:rFonts w:ascii="Arial" w:cs="Arial" w:eastAsia="Arial" w:hAnsi="Arial"/>
          <w:sz w:val="16"/>
          <w:szCs w:val="16"/>
          <w:b w:val="1"/>
          <w:bCs w:val="1"/>
          <w:color w:val="auto"/>
        </w:rPr>
        <w:t>2008</w:t>
      </w:r>
      <w:r>
        <w:rPr>
          <w:sz w:val="20"/>
          <w:szCs w:val="20"/>
          <w:color w:val="auto"/>
        </w:rPr>
        <w:tab/>
      </w:r>
      <w:r>
        <w:rPr>
          <w:rFonts w:ascii="Arial" w:cs="Arial" w:eastAsia="Arial" w:hAnsi="Arial"/>
          <w:sz w:val="15"/>
          <w:szCs w:val="15"/>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12700</wp:posOffset>
            </wp:positionV>
            <wp:extent cx="17665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80"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12700</wp:posOffset>
            </wp:positionV>
            <wp:extent cx="660336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3365" cy="154305"/>
                    </a:xfrm>
                    <a:prstGeom prst="rect">
                      <a:avLst/>
                    </a:prstGeom>
                    <a:noFill/>
                  </pic:spPr>
                </pic:pic>
              </a:graphicData>
            </a:graphic>
          </wp:anchor>
        </w:drawing>
      </w:r>
    </w:p>
    <w:p>
      <w:pPr>
        <w:spacing w:after="0" w:line="5"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Aerospace</w:t>
      </w:r>
    </w:p>
    <w:p>
      <w:pPr>
        <w:spacing w:after="0" w:line="60"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9"/>
                <w:szCs w:val="19"/>
                <w:color w:val="auto"/>
              </w:rPr>
              <w:t>Net repositioning charge</w:t>
            </w:r>
          </w:p>
        </w:tc>
        <w:tc>
          <w:tcPr>
            <w:tcW w:w="580" w:type="dxa"/>
            <w:vAlign w:val="bottom"/>
          </w:tcPr>
          <w:p>
            <w:pPr>
              <w:jc w:val="right"/>
              <w:spacing w:after="0"/>
              <w:rPr>
                <w:sz w:val="20"/>
                <w:szCs w:val="20"/>
                <w:color w:val="auto"/>
              </w:rPr>
            </w:pPr>
            <w:r>
              <w:rPr>
                <w:rFonts w:ascii="Arial" w:cs="Arial" w:eastAsia="Arial" w:hAnsi="Arial"/>
                <w:sz w:val="19"/>
                <w:szCs w:val="19"/>
                <w:color w:val="auto"/>
              </w:rPr>
              <w:t>$ 31</w:t>
            </w:r>
          </w:p>
        </w:tc>
        <w:tc>
          <w:tcPr>
            <w:tcW w:w="1080" w:type="dxa"/>
            <w:vAlign w:val="bottom"/>
            <w:gridSpan w:val="2"/>
          </w:tcPr>
          <w:p>
            <w:pPr>
              <w:jc w:val="right"/>
              <w:ind w:right="100"/>
              <w:spacing w:after="0"/>
              <w:rPr>
                <w:sz w:val="20"/>
                <w:szCs w:val="20"/>
                <w:color w:val="auto"/>
              </w:rPr>
            </w:pPr>
            <w:r>
              <w:rPr>
                <w:rFonts w:ascii="Arial" w:cs="Arial" w:eastAsia="Arial" w:hAnsi="Arial"/>
                <w:sz w:val="19"/>
                <w:szCs w:val="19"/>
                <w:color w:val="auto"/>
              </w:rPr>
              <w:t>$  84</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   37</w:t>
            </w:r>
          </w:p>
        </w:tc>
      </w:tr>
      <w:tr>
        <w:trPr>
          <w:trHeight w:val="20"/>
        </w:trPr>
        <w:tc>
          <w:tcPr>
            <w:tcW w:w="7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12700</wp:posOffset>
            </wp:positionV>
            <wp:extent cx="17665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66" w:lineRule="exact"/>
        <w:rPr>
          <w:sz w:val="20"/>
          <w:szCs w:val="20"/>
          <w:color w:val="auto"/>
        </w:rPr>
      </w:pPr>
    </w:p>
    <w:p>
      <w:pPr>
        <w:ind w:left="8240"/>
        <w:spacing w:after="0"/>
        <w:tabs>
          <w:tab w:leader="none" w:pos="9220" w:val="left"/>
          <w:tab w:leader="none" w:pos="10340" w:val="left"/>
        </w:tabs>
        <w:rPr>
          <w:sz w:val="20"/>
          <w:szCs w:val="20"/>
          <w:color w:val="auto"/>
        </w:rPr>
      </w:pPr>
      <w:r>
        <w:rPr>
          <w:rFonts w:ascii="Arial" w:cs="Arial" w:eastAsia="Arial" w:hAnsi="Arial"/>
          <w:sz w:val="16"/>
          <w:szCs w:val="16"/>
          <w:b w:val="1"/>
          <w:bCs w:val="1"/>
          <w:color w:val="auto"/>
        </w:rPr>
        <w:t>2009</w:t>
      </w:r>
      <w:r>
        <w:rPr>
          <w:sz w:val="20"/>
          <w:szCs w:val="20"/>
          <w:color w:val="auto"/>
        </w:rPr>
        <w:tab/>
      </w:r>
      <w:r>
        <w:rPr>
          <w:rFonts w:ascii="Arial" w:cs="Arial" w:eastAsia="Arial" w:hAnsi="Arial"/>
          <w:sz w:val="16"/>
          <w:szCs w:val="16"/>
          <w:b w:val="1"/>
          <w:bCs w:val="1"/>
          <w:color w:val="auto"/>
        </w:rPr>
        <w:t>2008</w:t>
      </w:r>
      <w:r>
        <w:rPr>
          <w:sz w:val="20"/>
          <w:szCs w:val="20"/>
          <w:color w:val="auto"/>
        </w:rPr>
        <w:tab/>
      </w:r>
      <w:r>
        <w:rPr>
          <w:rFonts w:ascii="Arial" w:cs="Arial" w:eastAsia="Arial" w:hAnsi="Arial"/>
          <w:sz w:val="15"/>
          <w:szCs w:val="15"/>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12700</wp:posOffset>
            </wp:positionV>
            <wp:extent cx="17665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80"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12700</wp:posOffset>
            </wp:positionV>
            <wp:extent cx="660336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3365" cy="154305"/>
                    </a:xfrm>
                    <a:prstGeom prst="rect">
                      <a:avLst/>
                    </a:prstGeom>
                    <a:noFill/>
                  </pic:spPr>
                </pic:pic>
              </a:graphicData>
            </a:graphic>
          </wp:anchor>
        </w:drawing>
      </w:r>
    </w:p>
    <w:p>
      <w:pPr>
        <w:spacing w:after="0" w:line="5"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Automation and Control Solutions</w:t>
      </w:r>
    </w:p>
    <w:p>
      <w:pPr>
        <w:spacing w:after="0" w:line="60"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9"/>
                <w:szCs w:val="19"/>
                <w:color w:val="auto"/>
              </w:rPr>
              <w:t>Net repositioning charge</w:t>
            </w:r>
          </w:p>
        </w:tc>
        <w:tc>
          <w:tcPr>
            <w:tcW w:w="580" w:type="dxa"/>
            <w:vAlign w:val="bottom"/>
          </w:tcPr>
          <w:p>
            <w:pPr>
              <w:jc w:val="right"/>
              <w:spacing w:after="0"/>
              <w:rPr>
                <w:sz w:val="20"/>
                <w:szCs w:val="20"/>
                <w:color w:val="auto"/>
              </w:rPr>
            </w:pPr>
            <w:r>
              <w:rPr>
                <w:rFonts w:ascii="Arial" w:cs="Arial" w:eastAsia="Arial" w:hAnsi="Arial"/>
                <w:sz w:val="19"/>
                <w:szCs w:val="19"/>
                <w:color w:val="auto"/>
              </w:rPr>
              <w:t>$ 70</w:t>
            </w:r>
          </w:p>
        </w:tc>
        <w:tc>
          <w:tcPr>
            <w:tcW w:w="1080" w:type="dxa"/>
            <w:vAlign w:val="bottom"/>
            <w:gridSpan w:val="2"/>
          </w:tcPr>
          <w:p>
            <w:pPr>
              <w:jc w:val="right"/>
              <w:ind w:right="100"/>
              <w:spacing w:after="0"/>
              <w:rPr>
                <w:sz w:val="20"/>
                <w:szCs w:val="20"/>
                <w:color w:val="auto"/>
              </w:rPr>
            </w:pPr>
            <w:r>
              <w:rPr>
                <w:rFonts w:ascii="Arial" w:cs="Arial" w:eastAsia="Arial" w:hAnsi="Arial"/>
                <w:sz w:val="19"/>
                <w:szCs w:val="19"/>
                <w:color w:val="auto"/>
              </w:rPr>
              <w:t>$ 164</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  127</w:t>
            </w:r>
          </w:p>
        </w:tc>
      </w:tr>
      <w:tr>
        <w:trPr>
          <w:trHeight w:val="20"/>
        </w:trPr>
        <w:tc>
          <w:tcPr>
            <w:tcW w:w="7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26" w:right="259" w:bottom="1440" w:gutter="0" w:footer="0" w:header="0"/>
        </w:sectPr>
      </w:pPr>
    </w:p>
    <w:bookmarkStart w:id="38" w:name="page39"/>
    <w:bookmarkEnd w:id="38"/>
    <w:tbl>
      <w:tblPr>
        <w:tblLayout w:type="fixed"/>
        <w:tblInd w:w="50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8"/>
          </w:tcPr>
          <w:p>
            <w:pPr>
              <w:jc w:val="right"/>
              <w:ind w:right="183"/>
              <w:spacing w:after="0"/>
              <w:rPr>
                <w:sz w:val="20"/>
                <w:szCs w:val="20"/>
                <w:color w:val="auto"/>
              </w:rPr>
            </w:pPr>
            <w:r>
              <w:rPr>
                <w:rFonts w:ascii="Arial" w:cs="Arial" w:eastAsia="Arial" w:hAnsi="Arial"/>
                <w:sz w:val="16"/>
                <w:szCs w:val="16"/>
                <w:b w:val="1"/>
                <w:bCs w:val="1"/>
                <w:color w:val="auto"/>
              </w:rPr>
              <w:t>Years Ended December 31,</w:t>
            </w:r>
          </w:p>
        </w:tc>
      </w:tr>
      <w:tr>
        <w:trPr>
          <w:trHeight w:val="250"/>
        </w:trPr>
        <w:tc>
          <w:tcPr>
            <w:tcW w:w="7820" w:type="dxa"/>
            <w:vAlign w:val="bottom"/>
          </w:tcPr>
          <w:p>
            <w:pPr>
              <w:spacing w:after="0"/>
              <w:rPr>
                <w:sz w:val="21"/>
                <w:szCs w:val="21"/>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2009</w:t>
            </w:r>
          </w:p>
        </w:tc>
        <w:tc>
          <w:tcPr>
            <w:tcW w:w="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rPr>
              <w:t>2008</w:t>
            </w:r>
          </w:p>
        </w:tc>
        <w:tc>
          <w:tcPr>
            <w:tcW w:w="380" w:type="dxa"/>
            <w:vAlign w:val="bottom"/>
          </w:tcPr>
          <w:p>
            <w:pPr>
              <w:spacing w:after="0"/>
              <w:rPr>
                <w:sz w:val="21"/>
                <w:szCs w:val="21"/>
                <w:color w:val="auto"/>
              </w:rPr>
            </w:pP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rPr>
              <w:t>2007</w:t>
            </w:r>
          </w:p>
        </w:tc>
      </w:tr>
      <w:tr>
        <w:trPr>
          <w:trHeight w:val="264"/>
        </w:trPr>
        <w:tc>
          <w:tcPr>
            <w:tcW w:w="7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6"/>
          </w:tcPr>
          <w:p>
            <w:pPr>
              <w:jc w:val="right"/>
              <w:ind w:right="61"/>
              <w:spacing w:after="0"/>
              <w:rPr>
                <w:sz w:val="20"/>
                <w:szCs w:val="20"/>
                <w:color w:val="auto"/>
              </w:rPr>
            </w:pPr>
            <w:r>
              <w:rPr>
                <w:rFonts w:ascii="Arial" w:cs="Arial" w:eastAsia="Arial" w:hAnsi="Arial"/>
                <w:sz w:val="16"/>
                <w:szCs w:val="16"/>
                <w:b w:val="1"/>
                <w:bCs w:val="1"/>
                <w:color w:val="auto"/>
                <w:w w:val="99"/>
              </w:rPr>
              <w:t>(Dollars in millions)</w:t>
            </w:r>
          </w:p>
        </w:tc>
        <w:tc>
          <w:tcPr>
            <w:tcW w:w="420" w:type="dxa"/>
            <w:vAlign w:val="bottom"/>
          </w:tcPr>
          <w:p>
            <w:pPr>
              <w:spacing w:after="0"/>
              <w:rPr>
                <w:sz w:val="22"/>
                <w:szCs w:val="22"/>
                <w:color w:val="auto"/>
              </w:rPr>
            </w:pPr>
          </w:p>
        </w:tc>
      </w:tr>
      <w:tr>
        <w:trPr>
          <w:trHeight w:val="243"/>
        </w:trPr>
        <w:tc>
          <w:tcPr>
            <w:tcW w:w="78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Specialty Materials</w:t>
            </w:r>
          </w:p>
        </w:tc>
        <w:tc>
          <w:tcPr>
            <w:tcW w:w="2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r>
      <w:tr>
        <w:trPr>
          <w:trHeight w:val="270"/>
        </w:trPr>
        <w:tc>
          <w:tcPr>
            <w:tcW w:w="7820" w:type="dxa"/>
            <w:vAlign w:val="bottom"/>
          </w:tcPr>
          <w:p>
            <w:pPr>
              <w:ind w:left="380"/>
              <w:spacing w:after="0"/>
              <w:rPr>
                <w:sz w:val="20"/>
                <w:szCs w:val="20"/>
                <w:color w:val="auto"/>
              </w:rPr>
            </w:pPr>
            <w:r>
              <w:rPr>
                <w:rFonts w:ascii="Arial" w:cs="Arial" w:eastAsia="Arial" w:hAnsi="Arial"/>
                <w:sz w:val="19"/>
                <w:szCs w:val="19"/>
                <w:color w:val="auto"/>
              </w:rPr>
              <w:t>Net repositioning charge</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9</w:t>
            </w:r>
          </w:p>
        </w:tc>
        <w:tc>
          <w:tcPr>
            <w:tcW w:w="6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ind w:right="3"/>
              <w:spacing w:after="0"/>
              <w:rPr>
                <w:sz w:val="20"/>
                <w:szCs w:val="20"/>
                <w:color w:val="auto"/>
              </w:rPr>
            </w:pPr>
            <w:r>
              <w:rPr>
                <w:rFonts w:ascii="Arial" w:cs="Arial" w:eastAsia="Arial" w:hAnsi="Arial"/>
                <w:sz w:val="19"/>
                <w:szCs w:val="19"/>
                <w:color w:val="auto"/>
              </w:rPr>
              <w:t>37</w:t>
            </w:r>
          </w:p>
        </w:tc>
        <w:tc>
          <w:tcPr>
            <w:tcW w:w="620" w:type="dxa"/>
            <w:vAlign w:val="bottom"/>
            <w:gridSpan w:val="2"/>
          </w:tcPr>
          <w:p>
            <w:pPr>
              <w:jc w:val="right"/>
              <w:ind w:right="1"/>
              <w:spacing w:after="0"/>
              <w:rPr>
                <w:sz w:val="20"/>
                <w:szCs w:val="20"/>
                <w:color w:val="auto"/>
              </w:rPr>
            </w:pPr>
            <w:r>
              <w:rPr>
                <w:rFonts w:ascii="Arial" w:cs="Arial" w:eastAsia="Arial" w:hAnsi="Arial"/>
                <w:sz w:val="19"/>
                <w:szCs w:val="19"/>
                <w:color w:val="auto"/>
              </w:rPr>
              <w:t>$</w:t>
            </w:r>
          </w:p>
        </w:tc>
        <w:tc>
          <w:tcPr>
            <w:tcW w:w="420" w:type="dxa"/>
            <w:vAlign w:val="bottom"/>
          </w:tcPr>
          <w:p>
            <w:pPr>
              <w:jc w:val="right"/>
              <w:ind w:right="23"/>
              <w:spacing w:after="0"/>
              <w:rPr>
                <w:sz w:val="20"/>
                <w:szCs w:val="20"/>
                <w:color w:val="auto"/>
              </w:rPr>
            </w:pPr>
            <w:r>
              <w:rPr>
                <w:rFonts w:ascii="Arial" w:cs="Arial" w:eastAsia="Arial" w:hAnsi="Arial"/>
                <w:sz w:val="19"/>
                <w:szCs w:val="19"/>
                <w:color w:val="auto"/>
              </w:rPr>
              <w:t>5</w:t>
            </w:r>
          </w:p>
        </w:tc>
      </w:tr>
      <w:tr>
        <w:trPr>
          <w:trHeight w:val="270"/>
        </w:trPr>
        <w:tc>
          <w:tcPr>
            <w:tcW w:w="7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Business impairment charges</w:t>
            </w:r>
          </w:p>
        </w:tc>
        <w:tc>
          <w:tcPr>
            <w:tcW w:w="220" w:type="dxa"/>
            <w:vAlign w:val="bottom"/>
            <w:shd w:val="clear" w:color="auto" w:fill="E5FFFF"/>
          </w:tcPr>
          <w:p>
            <w:pPr>
              <w:spacing w:after="0"/>
              <w:rPr>
                <w:sz w:val="23"/>
                <w:szCs w:val="23"/>
                <w:color w:val="auto"/>
              </w:rPr>
            </w:pP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2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rPr>
              <w:t>9</w:t>
            </w:r>
          </w:p>
        </w:tc>
      </w:tr>
      <w:tr>
        <w:trPr>
          <w:trHeight w:val="270"/>
        </w:trPr>
        <w:tc>
          <w:tcPr>
            <w:tcW w:w="7820" w:type="dxa"/>
            <w:vAlign w:val="bottom"/>
          </w:tcPr>
          <w:p>
            <w:pPr>
              <w:ind w:left="380"/>
              <w:spacing w:after="0"/>
              <w:rPr>
                <w:sz w:val="20"/>
                <w:szCs w:val="20"/>
                <w:color w:val="auto"/>
              </w:rPr>
            </w:pPr>
            <w:r>
              <w:rPr>
                <w:rFonts w:ascii="Arial" w:cs="Arial" w:eastAsia="Arial" w:hAnsi="Arial"/>
                <w:sz w:val="19"/>
                <w:szCs w:val="19"/>
                <w:color w:val="auto"/>
              </w:rPr>
              <w:t>Probable and reasonably estimable environmental liabilities</w:t>
            </w:r>
          </w:p>
        </w:tc>
        <w:tc>
          <w:tcPr>
            <w:tcW w:w="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5</w:t>
            </w:r>
          </w:p>
        </w:tc>
        <w:tc>
          <w:tcPr>
            <w:tcW w:w="3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r>
      <w:tr>
        <w:trPr>
          <w:trHeight w:val="34"/>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782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w:t>
            </w: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42</w:t>
            </w:r>
          </w:p>
        </w:tc>
        <w:tc>
          <w:tcPr>
            <w:tcW w:w="6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rPr>
              <w:t>14</w:t>
            </w:r>
          </w:p>
        </w:tc>
      </w:tr>
      <w:tr>
        <w:trPr>
          <w:trHeight w:val="20"/>
        </w:trPr>
        <w:tc>
          <w:tcPr>
            <w:tcW w:w="7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11"/>
          </w:tcPr>
          <w:p>
            <w:pPr>
              <w:jc w:val="center"/>
              <w:ind w:right="46"/>
              <w:spacing w:after="0"/>
              <w:rPr>
                <w:sz w:val="20"/>
                <w:szCs w:val="20"/>
                <w:color w:val="auto"/>
              </w:rPr>
            </w:pPr>
            <w:r>
              <w:rPr>
                <w:rFonts w:ascii="Arial" w:cs="Arial" w:eastAsia="Arial" w:hAnsi="Arial"/>
                <w:sz w:val="16"/>
                <w:szCs w:val="16"/>
                <w:b w:val="1"/>
                <w:bCs w:val="1"/>
                <w:color w:val="auto"/>
                <w:w w:val="98"/>
              </w:rPr>
              <w:t>Years Ended December 31,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w w:val="95"/>
              </w:rPr>
              <w:t>2009</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5"/>
              </w:rPr>
              <w:t>2008</w:t>
            </w:r>
          </w:p>
        </w:tc>
        <w:tc>
          <w:tcPr>
            <w:tcW w:w="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95"/>
              </w:rPr>
              <w:t>2007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gridSpan w:val="8"/>
          </w:tcPr>
          <w:p>
            <w:pPr>
              <w:jc w:val="center"/>
              <w:ind w:right="80"/>
              <w:spacing w:after="0"/>
              <w:rPr>
                <w:sz w:val="20"/>
                <w:szCs w:val="20"/>
                <w:color w:val="auto"/>
              </w:rPr>
            </w:pPr>
            <w:r>
              <w:rPr>
                <w:rFonts w:ascii="Arial" w:cs="Arial" w:eastAsia="Arial" w:hAnsi="Arial"/>
                <w:sz w:val="16"/>
                <w:szCs w:val="16"/>
                <w:b w:val="1"/>
                <w:bCs w:val="1"/>
                <w:color w:val="auto"/>
                <w:w w:val="98"/>
              </w:rPr>
              <w:t>(Dollars in millions)</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60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Transportation Systems</w:t>
            </w:r>
          </w:p>
        </w:tc>
        <w:tc>
          <w:tcPr>
            <w:tcW w:w="1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600" w:type="dxa"/>
            <w:vAlign w:val="bottom"/>
            <w:gridSpan w:val="2"/>
          </w:tcPr>
          <w:p>
            <w:pPr>
              <w:ind w:left="380"/>
              <w:spacing w:after="0"/>
              <w:rPr>
                <w:sz w:val="20"/>
                <w:szCs w:val="20"/>
                <w:color w:val="auto"/>
              </w:rPr>
            </w:pPr>
            <w:r>
              <w:rPr>
                <w:rFonts w:ascii="Arial" w:cs="Arial" w:eastAsia="Arial" w:hAnsi="Arial"/>
                <w:sz w:val="19"/>
                <w:szCs w:val="19"/>
                <w:color w:val="auto"/>
              </w:rPr>
              <w:t>Net repositioning charge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61</w:t>
            </w:r>
          </w:p>
        </w:tc>
        <w:tc>
          <w:tcPr>
            <w:tcW w:w="560" w:type="dxa"/>
            <w:vAlign w:val="bottom"/>
            <w:gridSpan w:val="5"/>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103</w:t>
            </w:r>
          </w:p>
        </w:tc>
        <w:tc>
          <w:tcPr>
            <w:tcW w:w="52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26"/>
              <w:spacing w:after="0"/>
              <w:rPr>
                <w:sz w:val="20"/>
                <w:szCs w:val="20"/>
                <w:color w:val="auto"/>
              </w:rPr>
            </w:pPr>
            <w:r>
              <w:rPr>
                <w:rFonts w:ascii="Arial" w:cs="Arial" w:eastAsia="Arial" w:hAnsi="Arial"/>
                <w:sz w:val="19"/>
                <w:szCs w:val="19"/>
                <w:color w:val="auto"/>
              </w:rPr>
              <w:t>19</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6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Asbestos related litigation charges, net of insurance</w:t>
            </w:r>
          </w:p>
        </w:tc>
        <w:tc>
          <w:tcPr>
            <w:tcW w:w="16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112</w:t>
            </w: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125</w:t>
            </w:r>
          </w:p>
        </w:tc>
        <w:tc>
          <w:tcPr>
            <w:tcW w:w="3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100</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600" w:type="dxa"/>
            <w:vAlign w:val="bottom"/>
            <w:gridSpan w:val="2"/>
          </w:tcPr>
          <w:p>
            <w:pPr>
              <w:ind w:left="380"/>
              <w:spacing w:after="0"/>
              <w:rPr>
                <w:sz w:val="20"/>
                <w:szCs w:val="20"/>
                <w:color w:val="auto"/>
              </w:rPr>
            </w:pPr>
            <w:r>
              <w:rPr>
                <w:rFonts w:ascii="Arial" w:cs="Arial" w:eastAsia="Arial" w:hAnsi="Arial"/>
                <w:sz w:val="19"/>
                <w:szCs w:val="19"/>
                <w:color w:val="auto"/>
              </w:rPr>
              <w:t>Probable and reasonably estimable environmental liabilities</w:t>
            </w: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4</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6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1</w:t>
            </w:r>
          </w:p>
        </w:tc>
        <w:tc>
          <w:tcPr>
            <w:tcW w:w="32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w:t>
            </w:r>
          </w:p>
        </w:tc>
        <w:tc>
          <w:tcPr>
            <w:tcW w:w="80" w:type="dxa"/>
            <w:vAlign w:val="bottom"/>
            <w:tcBorders>
              <w:bottom w:val="single" w:sz="8" w:color="auto"/>
            </w:tcBorders>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233</w:t>
            </w:r>
          </w:p>
        </w:tc>
        <w:tc>
          <w:tcPr>
            <w:tcW w:w="320" w:type="dxa"/>
            <w:vAlign w:val="bottom"/>
          </w:tcPr>
          <w:p>
            <w:pPr>
              <w:spacing w:after="0"/>
              <w:rPr>
                <w:sz w:val="24"/>
                <w:szCs w:val="24"/>
                <w:color w:val="auto"/>
              </w:rPr>
            </w:pPr>
          </w:p>
        </w:tc>
        <w:tc>
          <w:tcPr>
            <w:tcW w:w="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119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1"/>
          </w:tcPr>
          <w:p>
            <w:pPr>
              <w:jc w:val="center"/>
              <w:ind w:right="86"/>
              <w:spacing w:after="0"/>
              <w:rPr>
                <w:sz w:val="20"/>
                <w:szCs w:val="20"/>
                <w:color w:val="auto"/>
              </w:rPr>
            </w:pPr>
            <w:r>
              <w:rPr>
                <w:rFonts w:ascii="Arial" w:cs="Arial" w:eastAsia="Arial" w:hAnsi="Arial"/>
                <w:sz w:val="16"/>
                <w:szCs w:val="16"/>
                <w:b w:val="1"/>
                <w:bCs w:val="1"/>
                <w:color w:val="auto"/>
                <w:w w:val="98"/>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6"/>
                <w:szCs w:val="16"/>
                <w:b w:val="1"/>
                <w:bCs w:val="1"/>
                <w:color w:val="auto"/>
              </w:rPr>
              <w:t>2009</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89"/>
              </w:rPr>
              <w:t>2008</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95"/>
              </w:rPr>
              <w:t>2007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20" w:type="dxa"/>
            <w:vAlign w:val="bottom"/>
            <w:gridSpan w:val="9"/>
          </w:tcPr>
          <w:p>
            <w:pPr>
              <w:jc w:val="center"/>
              <w:ind w:right="80"/>
              <w:spacing w:after="0"/>
              <w:rPr>
                <w:sz w:val="20"/>
                <w:szCs w:val="20"/>
                <w:color w:val="auto"/>
              </w:rPr>
            </w:pPr>
            <w:r>
              <w:rPr>
                <w:rFonts w:ascii="Arial" w:cs="Arial" w:eastAsia="Arial" w:hAnsi="Arial"/>
                <w:sz w:val="16"/>
                <w:szCs w:val="16"/>
                <w:b w:val="1"/>
                <w:bCs w:val="1"/>
                <w:color w:val="auto"/>
                <w:w w:val="98"/>
              </w:rPr>
              <w:t>(Dollars in millions)</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60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Corporate</w:t>
            </w:r>
          </w:p>
        </w:tc>
        <w:tc>
          <w:tcPr>
            <w:tcW w:w="1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600" w:type="dxa"/>
            <w:vAlign w:val="bottom"/>
            <w:gridSpan w:val="2"/>
          </w:tcPr>
          <w:p>
            <w:pPr>
              <w:ind w:left="380"/>
              <w:spacing w:after="0"/>
              <w:rPr>
                <w:sz w:val="20"/>
                <w:szCs w:val="20"/>
                <w:color w:val="auto"/>
              </w:rPr>
            </w:pPr>
            <w:r>
              <w:rPr>
                <w:rFonts w:ascii="Arial" w:cs="Arial" w:eastAsia="Arial" w:hAnsi="Arial"/>
                <w:sz w:val="19"/>
                <w:szCs w:val="19"/>
                <w:color w:val="auto"/>
              </w:rPr>
              <w:t>Net repositioning charge</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560" w:type="dxa"/>
            <w:vAlign w:val="bottom"/>
            <w:gridSpan w:val="5"/>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46"/>
              <w:spacing w:after="0"/>
              <w:rPr>
                <w:sz w:val="20"/>
                <w:szCs w:val="20"/>
                <w:color w:val="auto"/>
              </w:rPr>
            </w:pPr>
            <w:r>
              <w:rPr>
                <w:rFonts w:ascii="Arial" w:cs="Arial" w:eastAsia="Arial" w:hAnsi="Arial"/>
                <w:sz w:val="19"/>
                <w:szCs w:val="19"/>
                <w:color w:val="auto"/>
              </w:rPr>
              <w:t>36</w:t>
            </w:r>
          </w:p>
        </w:tc>
        <w:tc>
          <w:tcPr>
            <w:tcW w:w="52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26"/>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6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Asbestos related litigation charges, net of insurance</w:t>
            </w:r>
          </w:p>
        </w:tc>
        <w:tc>
          <w:tcPr>
            <w:tcW w:w="16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600" w:type="dxa"/>
            <w:vAlign w:val="bottom"/>
            <w:gridSpan w:val="2"/>
          </w:tcPr>
          <w:p>
            <w:pPr>
              <w:ind w:left="380"/>
              <w:spacing w:after="0"/>
              <w:rPr>
                <w:sz w:val="20"/>
                <w:szCs w:val="20"/>
                <w:color w:val="auto"/>
              </w:rPr>
            </w:pPr>
            <w:r>
              <w:rPr>
                <w:rFonts w:ascii="Arial" w:cs="Arial" w:eastAsia="Arial" w:hAnsi="Arial"/>
                <w:sz w:val="19"/>
                <w:szCs w:val="19"/>
                <w:color w:val="auto"/>
              </w:rPr>
              <w:t>Probable and reasonably estimable environmental liabilities</w:t>
            </w: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145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9"/>
                <w:szCs w:val="19"/>
                <w:color w:val="auto"/>
              </w:rPr>
              <w:t>456</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9"/>
                <w:szCs w:val="19"/>
                <w:color w:val="auto"/>
              </w:rPr>
              <w:t>225</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5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Other</w:t>
            </w: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40" w:type="dxa"/>
            <w:vAlign w:val="bottom"/>
            <w:tcBorders>
              <w:bottom w:val="single" w:sz="8" w:color="auto"/>
            </w:tcBorders>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(3 )</w:t>
            </w:r>
          </w:p>
        </w:tc>
        <w:tc>
          <w:tcPr>
            <w:tcW w:w="3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18</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195</w:t>
            </w:r>
          </w:p>
        </w:tc>
        <w:tc>
          <w:tcPr>
            <w:tcW w:w="560" w:type="dxa"/>
            <w:vAlign w:val="bottom"/>
            <w:gridSpan w:val="5"/>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46"/>
              <w:spacing w:after="0"/>
              <w:rPr>
                <w:sz w:val="20"/>
                <w:szCs w:val="20"/>
                <w:color w:val="auto"/>
              </w:rPr>
            </w:pPr>
            <w:r>
              <w:rPr>
                <w:rFonts w:ascii="Arial" w:cs="Arial" w:eastAsia="Arial" w:hAnsi="Arial"/>
                <w:sz w:val="19"/>
                <w:szCs w:val="19"/>
                <w:color w:val="auto"/>
              </w:rPr>
              <w:t>489</w:t>
            </w:r>
          </w:p>
        </w:tc>
        <w:tc>
          <w:tcPr>
            <w:tcW w:w="52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26"/>
              <w:spacing w:after="0"/>
              <w:rPr>
                <w:sz w:val="20"/>
                <w:szCs w:val="20"/>
                <w:color w:val="auto"/>
              </w:rPr>
            </w:pPr>
            <w:r>
              <w:rPr>
                <w:rFonts w:ascii="Arial" w:cs="Arial" w:eastAsia="Arial" w:hAnsi="Arial"/>
                <w:sz w:val="19"/>
                <w:szCs w:val="19"/>
                <w:color w:val="auto"/>
              </w:rPr>
              <w:t>246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560" w:type="dxa"/>
            <w:vAlign w:val="bottom"/>
            <w:vMerge w:val="restart"/>
          </w:tcPr>
          <w:p>
            <w:pPr>
              <w:ind w:left="5100"/>
              <w:spacing w:after="0"/>
              <w:rPr>
                <w:sz w:val="20"/>
                <w:szCs w:val="20"/>
                <w:color w:val="auto"/>
              </w:rPr>
            </w:pPr>
            <w:r>
              <w:rPr>
                <w:rFonts w:ascii="Arial" w:cs="Arial" w:eastAsia="Arial" w:hAnsi="Arial"/>
                <w:sz w:val="19"/>
                <w:szCs w:val="19"/>
                <w:color w:val="auto"/>
              </w:rPr>
              <w:t>36</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0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7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LIQUIDITY AND CAPITAL RESOURCES</w:t>
      </w:r>
    </w:p>
    <w:p>
      <w:pPr>
        <w:spacing w:after="0" w:line="148"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and access to the public debt and equity markets, as well as the ability to sell trade accounts receivables. We continue to balance our cash and financing uses through investment in our existing core businesses, acquisition activity, share repurchases and dividends.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 Summary</w:t>
      </w:r>
    </w:p>
    <w:p>
      <w:pPr>
        <w:spacing w:after="0" w:line="130" w:lineRule="exact"/>
        <w:rPr>
          <w:sz w:val="20"/>
          <w:szCs w:val="20"/>
          <w:color w:val="auto"/>
        </w:rPr>
      </w:pPr>
    </w:p>
    <w:p>
      <w:pPr>
        <w:ind w:right="240" w:firstLine="357"/>
        <w:spacing w:after="0" w:line="253" w:lineRule="auto"/>
        <w:rPr>
          <w:sz w:val="20"/>
          <w:szCs w:val="20"/>
          <w:color w:val="auto"/>
        </w:rPr>
      </w:pPr>
      <w:r>
        <w:rPr>
          <w:rFonts w:ascii="Arial" w:cs="Arial" w:eastAsia="Arial" w:hAnsi="Arial"/>
          <w:sz w:val="19"/>
          <w:szCs w:val="19"/>
          <w:color w:val="auto"/>
        </w:rPr>
        <w:t>Our cash flows from operating, investing and financing activities, as reflected in the Consolidated Statement of Cash Flows for the years ended December 31, 2009, 2008 and 2007 are summarized as follows:</w:t>
      </w:r>
    </w:p>
    <w:p>
      <w:pPr>
        <w:spacing w:after="0" w:line="78"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2007</w:t>
            </w:r>
          </w:p>
        </w:tc>
      </w:tr>
      <w:tr>
        <w:trPr>
          <w:trHeight w:val="264"/>
        </w:trPr>
        <w:tc>
          <w:tcPr>
            <w:tcW w:w="6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60" w:type="dxa"/>
            <w:vAlign w:val="bottom"/>
            <w:gridSpan w:val="5"/>
          </w:tcPr>
          <w:p>
            <w:pPr>
              <w:ind w:left="80"/>
              <w:spacing w:after="0"/>
              <w:rPr>
                <w:sz w:val="20"/>
                <w:szCs w:val="20"/>
                <w:color w:val="auto"/>
              </w:rPr>
            </w:pPr>
            <w:r>
              <w:rPr>
                <w:rFonts w:ascii="Arial" w:cs="Arial" w:eastAsia="Arial" w:hAnsi="Arial"/>
                <w:sz w:val="16"/>
                <w:szCs w:val="16"/>
                <w:b w:val="1"/>
                <w:bCs w:val="1"/>
                <w:color w:val="auto"/>
                <w:w w:val="98"/>
              </w:rPr>
              <w:t>(Dollars in millions)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43"/>
        </w:trPr>
        <w:tc>
          <w:tcPr>
            <w:tcW w:w="6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provided by (used for):</w:t>
            </w: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r>
      <w:tr>
        <w:trPr>
          <w:trHeight w:val="270"/>
        </w:trPr>
        <w:tc>
          <w:tcPr>
            <w:tcW w:w="6920" w:type="dxa"/>
            <w:vAlign w:val="bottom"/>
          </w:tcPr>
          <w:p>
            <w:pPr>
              <w:ind w:left="20"/>
              <w:spacing w:after="0"/>
              <w:rPr>
                <w:sz w:val="20"/>
                <w:szCs w:val="20"/>
                <w:color w:val="auto"/>
              </w:rPr>
            </w:pPr>
            <w:r>
              <w:rPr>
                <w:rFonts w:ascii="Arial" w:cs="Arial" w:eastAsia="Arial" w:hAnsi="Arial"/>
                <w:sz w:val="19"/>
                <w:szCs w:val="19"/>
                <w:color w:val="auto"/>
              </w:rPr>
              <w:t>Operating activities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6"/>
              <w:spacing w:after="0"/>
              <w:rPr>
                <w:sz w:val="20"/>
                <w:szCs w:val="20"/>
                <w:color w:val="auto"/>
              </w:rPr>
            </w:pPr>
            <w:r>
              <w:rPr>
                <w:rFonts w:ascii="Arial" w:cs="Arial" w:eastAsia="Arial" w:hAnsi="Arial"/>
                <w:sz w:val="19"/>
                <w:szCs w:val="19"/>
                <w:color w:val="auto"/>
              </w:rPr>
              <w:t>3,946</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66"/>
              <w:spacing w:after="0"/>
              <w:rPr>
                <w:sz w:val="20"/>
                <w:szCs w:val="20"/>
                <w:color w:val="auto"/>
              </w:rPr>
            </w:pPr>
            <w:r>
              <w:rPr>
                <w:rFonts w:ascii="Arial" w:cs="Arial" w:eastAsia="Arial" w:hAnsi="Arial"/>
                <w:sz w:val="19"/>
                <w:szCs w:val="19"/>
                <w:color w:val="auto"/>
              </w:rPr>
              <w:t>3,791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6"/>
              <w:spacing w:after="0"/>
              <w:rPr>
                <w:sz w:val="20"/>
                <w:szCs w:val="20"/>
                <w:color w:val="auto"/>
              </w:rPr>
            </w:pPr>
            <w:r>
              <w:rPr>
                <w:rFonts w:ascii="Arial" w:cs="Arial" w:eastAsia="Arial" w:hAnsi="Arial"/>
                <w:sz w:val="19"/>
                <w:szCs w:val="19"/>
                <w:color w:val="auto"/>
              </w:rPr>
              <w:t>3,911</w:t>
            </w:r>
          </w:p>
        </w:tc>
      </w:tr>
      <w:tr>
        <w:trPr>
          <w:trHeight w:val="270"/>
        </w:trPr>
        <w:tc>
          <w:tcPr>
            <w:tcW w:w="6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Investing activities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(1,133 )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(2,023 )</w:t>
            </w: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(1,782 )</w:t>
            </w:r>
          </w:p>
        </w:tc>
      </w:tr>
      <w:tr>
        <w:trPr>
          <w:trHeight w:val="270"/>
        </w:trPr>
        <w:tc>
          <w:tcPr>
            <w:tcW w:w="6920" w:type="dxa"/>
            <w:vAlign w:val="bottom"/>
          </w:tcPr>
          <w:p>
            <w:pPr>
              <w:ind w:left="20"/>
              <w:spacing w:after="0"/>
              <w:rPr>
                <w:sz w:val="20"/>
                <w:szCs w:val="20"/>
                <w:color w:val="auto"/>
              </w:rPr>
            </w:pPr>
            <w:r>
              <w:rPr>
                <w:rFonts w:ascii="Arial" w:cs="Arial" w:eastAsia="Arial" w:hAnsi="Arial"/>
                <w:sz w:val="19"/>
                <w:szCs w:val="19"/>
                <w:color w:val="auto"/>
              </w:rPr>
              <w:t>Financing activities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(2,152 )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(1,370 )</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(1,574 )</w:t>
            </w:r>
          </w:p>
        </w:tc>
      </w:tr>
      <w:tr>
        <w:trPr>
          <w:trHeight w:val="270"/>
        </w:trPr>
        <w:tc>
          <w:tcPr>
            <w:tcW w:w="6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Effect of exchange rate changes on cash</w:t>
            </w: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75</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(162 )</w:t>
            </w:r>
          </w:p>
        </w:tc>
        <w:tc>
          <w:tcPr>
            <w:tcW w:w="28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50</w:t>
            </w:r>
          </w:p>
        </w:tc>
      </w:tr>
      <w:tr>
        <w:trPr>
          <w:trHeight w:val="304"/>
        </w:trPr>
        <w:tc>
          <w:tcPr>
            <w:tcW w:w="6920" w:type="dxa"/>
            <w:vAlign w:val="bottom"/>
          </w:tcPr>
          <w:p>
            <w:pPr>
              <w:ind w:left="20"/>
              <w:spacing w:after="0"/>
              <w:rPr>
                <w:sz w:val="20"/>
                <w:szCs w:val="20"/>
                <w:color w:val="auto"/>
              </w:rPr>
            </w:pPr>
            <w:r>
              <w:rPr>
                <w:rFonts w:ascii="Arial" w:cs="Arial" w:eastAsia="Arial" w:hAnsi="Arial"/>
                <w:sz w:val="19"/>
                <w:szCs w:val="19"/>
                <w:color w:val="auto"/>
              </w:rPr>
              <w:t>Net increase in cash and cash equivalents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6"/>
              <w:spacing w:after="0"/>
              <w:rPr>
                <w:sz w:val="20"/>
                <w:szCs w:val="20"/>
                <w:color w:val="auto"/>
              </w:rPr>
            </w:pPr>
            <w:r>
              <w:rPr>
                <w:rFonts w:ascii="Arial" w:cs="Arial" w:eastAsia="Arial" w:hAnsi="Arial"/>
                <w:sz w:val="19"/>
                <w:szCs w:val="19"/>
                <w:color w:val="auto"/>
              </w:rPr>
              <w:t>736</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66"/>
              <w:spacing w:after="0"/>
              <w:rPr>
                <w:sz w:val="20"/>
                <w:szCs w:val="20"/>
                <w:color w:val="auto"/>
              </w:rPr>
            </w:pPr>
            <w:r>
              <w:rPr>
                <w:rFonts w:ascii="Arial" w:cs="Arial" w:eastAsia="Arial" w:hAnsi="Arial"/>
                <w:sz w:val="19"/>
                <w:szCs w:val="19"/>
                <w:color w:val="auto"/>
              </w:rPr>
              <w:t>236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6"/>
              <w:spacing w:after="0"/>
              <w:rPr>
                <w:sz w:val="20"/>
                <w:szCs w:val="20"/>
                <w:color w:val="auto"/>
              </w:rPr>
            </w:pPr>
            <w:r>
              <w:rPr>
                <w:rFonts w:ascii="Arial" w:cs="Arial" w:eastAsia="Arial" w:hAnsi="Arial"/>
                <w:sz w:val="19"/>
                <w:szCs w:val="19"/>
                <w:color w:val="auto"/>
              </w:rPr>
              <w:t>605</w:t>
            </w:r>
          </w:p>
        </w:tc>
      </w:tr>
      <w:tr>
        <w:trPr>
          <w:trHeight w:val="20"/>
        </w:trPr>
        <w:tc>
          <w:tcPr>
            <w:tcW w:w="6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2009 compared with 2008</w:t>
      </w:r>
    </w:p>
    <w:p>
      <w:pPr>
        <w:spacing w:after="0" w:line="116"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Cash provided by operating activities increased by $155 million during 2009 compared with 2008 primarily due to a favorable impact from working capital of $577 million (primarily due to lower inventory), lower cash taxes of $449 million, and $155 million from the sale of long term receivables partially offset by decreased earnings, receipts from the sale of insurance receivables of $82 million in 2008 and higher repositioning payments of $43 million.</w:t>
      </w:r>
    </w:p>
    <w:p>
      <w:pPr>
        <w:spacing w:after="0" w:line="91" w:lineRule="exact"/>
        <w:rPr>
          <w:sz w:val="20"/>
          <w:szCs w:val="20"/>
          <w:color w:val="auto"/>
        </w:rPr>
      </w:pPr>
    </w:p>
    <w:p>
      <w:pPr>
        <w:ind w:right="240" w:firstLine="357"/>
        <w:spacing w:after="0" w:line="242" w:lineRule="auto"/>
        <w:rPr>
          <w:sz w:val="20"/>
          <w:szCs w:val="20"/>
          <w:color w:val="auto"/>
        </w:rPr>
      </w:pPr>
      <w:r>
        <w:rPr>
          <w:rFonts w:ascii="Arial" w:cs="Arial" w:eastAsia="Arial" w:hAnsi="Arial"/>
          <w:sz w:val="19"/>
          <w:szCs w:val="19"/>
          <w:color w:val="auto"/>
        </w:rPr>
        <w:t>Cash used for investing activities decreased by $890 million during 2009 compared with 2008 primarily due to a $1,713 million decrease in cash paid for acquisitions (most significantly the acquisition of Norcross and Metrolgic in 2008) and a $ 275 million decrease in expenditures for property, plant, and equipment, partially offset by a $908 million decrease in proceeds from sales of businesses (most significantly the divestiture of Consumables Solutions in 2008).</w:t>
      </w:r>
    </w:p>
    <w:p>
      <w:pPr>
        <w:spacing w:after="0" w:line="91"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Cash used for financing activities increased by $ 782 million during 2009 compared with 2008 primarily due to a net repayment of debt (including commercial paper) in 2009 of $1,272 million compared to net proceeds (including commercial paper) of $733 million in 2008, partially offset by a decrease in repurchases of common stock of $1,459 million.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2008 compared with 2007</w:t>
      </w:r>
    </w:p>
    <w:p>
      <w:pPr>
        <w:spacing w:after="0" w:line="130"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Cash provided by operating activities decreased by $120 million during 2008 compared with 2007 primarily due to a decrease in accrued liabilities of $475 million (decreased advances from customers and deferred income) and higher cash tax payments of $336 million (most significantly due to the sale of the Consumables Solutions business) partially offset by increased earnings, lower cash payments for asbestos of $121 million, and a decrease in working capital (lower accounts and other receivable offset by higher accounts payable).</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Cash used for investing activities increased by $241 million during 2008 compared with 2007 due primarily to higher spending for acquisitions partially offset by higher proceeds from sales of businesses. In 2008, cash paid for acquisitions, net of cash acquired was $2,181 million primarily for Safety Products Holding, Inc. (Norcross) and Metrologic Instruments, Inc. compared to $1,150 million in 2007, primarily for our acquisitions of Dimensions International, Enraf Holding B.V., Hand Held Products, Inc, and Maxon Corporation. Cash proceeds from divestitures were $909 million in 2008, compared to $51 million in 2007 primarily due to the sale of Consumables Solutions.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40" w:name="page41"/>
    <w:bookmarkEnd w:id="40"/>
    <w:p>
      <w:pPr>
        <w:ind w:left="360"/>
        <w:spacing w:after="0"/>
        <w:rPr>
          <w:sz w:val="20"/>
          <w:szCs w:val="20"/>
          <w:color w:val="auto"/>
        </w:rPr>
      </w:pPr>
      <w:r>
        <w:rPr>
          <w:rFonts w:ascii="Arial" w:cs="Arial" w:eastAsia="Arial" w:hAnsi="Arial"/>
          <w:sz w:val="19"/>
          <w:szCs w:val="19"/>
          <w:color w:val="auto"/>
        </w:rPr>
        <w:t>Cash used for financing activities decreased by $204 million during 2008 compared with 2007 primarily due to a $2,527 million</w:t>
      </w:r>
    </w:p>
    <w:p>
      <w:pPr>
        <w:spacing w:after="0" w:line="237" w:lineRule="auto"/>
        <w:rPr>
          <w:sz w:val="20"/>
          <w:szCs w:val="20"/>
          <w:color w:val="auto"/>
        </w:rPr>
      </w:pPr>
      <w:r>
        <w:rPr>
          <w:rFonts w:ascii="Arial" w:cs="Arial" w:eastAsia="Arial" w:hAnsi="Arial"/>
          <w:sz w:val="19"/>
          <w:szCs w:val="19"/>
          <w:color w:val="auto"/>
        </w:rPr>
        <w:t>decrease in repurchases of common stock partially offset by decreases in net proceeds from debt (including commercial paper) of</w:t>
      </w:r>
    </w:p>
    <w:p>
      <w:pPr>
        <w:spacing w:after="0"/>
        <w:rPr>
          <w:sz w:val="20"/>
          <w:szCs w:val="20"/>
          <w:color w:val="auto"/>
        </w:rPr>
      </w:pPr>
      <w:r>
        <w:rPr>
          <w:rFonts w:ascii="Arial" w:cs="Arial" w:eastAsia="Arial" w:hAnsi="Arial"/>
          <w:sz w:val="19"/>
          <w:szCs w:val="19"/>
          <w:color w:val="auto"/>
        </w:rPr>
        <w:t>$1,797 million and a decrease in proceeds from issuance of common stock primarily related to stock option exercises of $457 million.</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w:t>
      </w:r>
    </w:p>
    <w:p>
      <w:pPr>
        <w:spacing w:after="0" w:line="130"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Each of our businesses is focused on implementing strategies to improve working capital turnover in 2010 to increase operating cash flows. Considering the current economic environment in which each of our businesses operate and our business plans and strategies, including our focus on growth, cost reduction and productivity initiatives, we believe that our cash balances and operating cash flows will remain our principal source of liquidity. In addition to our available cash and operating cash flows, additional sources of liquidity include committed credit lines, short term debt from the commercial paper markets, long-term borrowings, and access to the public debt and equity markets, as well as our ability to sell trade accounts receivables.</w:t>
      </w:r>
    </w:p>
    <w:p>
      <w:pPr>
        <w:spacing w:after="0" w:line="94" w:lineRule="exact"/>
        <w:rPr>
          <w:sz w:val="20"/>
          <w:szCs w:val="20"/>
          <w:color w:val="auto"/>
        </w:rPr>
      </w:pPr>
    </w:p>
    <w:p>
      <w:pPr>
        <w:jc w:val="both"/>
        <w:ind w:right="40" w:firstLine="357"/>
        <w:spacing w:after="0" w:line="242" w:lineRule="auto"/>
        <w:rPr>
          <w:sz w:val="20"/>
          <w:szCs w:val="20"/>
          <w:color w:val="auto"/>
        </w:rPr>
      </w:pPr>
      <w:r>
        <w:rPr>
          <w:rFonts w:ascii="Arial" w:cs="Arial" w:eastAsia="Arial" w:hAnsi="Arial"/>
          <w:sz w:val="19"/>
          <w:szCs w:val="19"/>
          <w:color w:val="auto"/>
        </w:rPr>
        <w:t>A source of liquidity is our ability to issue short-term debt in the commercial paper market. Commercial paper notes are sold at a discount and have a maturity of not more than 365 days from date of issuance. Borrowings under the commercial paper program are available for general corporate purposes as well as for financing potential acquisitions. There was $298 million of commercial paper outstanding at December 31, 2009.</w:t>
      </w:r>
    </w:p>
    <w:p>
      <w:pPr>
        <w:spacing w:after="0" w:line="91"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2009, Standard and Poor’s (S&amp;P) Fitch and Moody’s have ratings on our long-term debt of A and A and A2 respectively, and short-term debt of A-1, F1 and P1 respectively. S&amp;P and Moody’s have maintained Honeywell’s ratings outlook as “stable”. Fitch’s rating outlook is “negative”. In 2010, we will support our credit rating through debt repayments. To date, the company has not experienced any limitations in our ability to access these sources of liquidity. We maintain $2.8 billion of committed bank revolving credit facilities in support of our commercial paper program, which is secured through mid-May 2012.</w:t>
      </w:r>
    </w:p>
    <w:p>
      <w:pPr>
        <w:spacing w:after="0" w:line="78"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In May 2007 Honeywell entered into a $2.8 billion Amended and Restated Five-Year Credit Agreement (“Credit Agreement”) with a syndicate of banks. Commitments under the Credit Agreement can be increased pursuant to the terms of the Credit Agreement to an aggregated amount not to exceed $3.5 billion. This credit facility contains a $700 million sub-limit for the issuance of letters of credit. The Credit Agreement is maintained for general corporate purposes, including support for the issuance of commercial paper, At December 31, 2009, there were no borrowings or letters of credit issued under the credit facility. The Credit Agreement does not restrict Honeywell’s ability to pay dividends, nor does it contain financial covenants.</w:t>
      </w:r>
    </w:p>
    <w:p>
      <w:pPr>
        <w:spacing w:after="0" w:line="94" w:lineRule="exact"/>
        <w:rPr>
          <w:sz w:val="20"/>
          <w:szCs w:val="20"/>
          <w:color w:val="auto"/>
        </w:rPr>
      </w:pPr>
    </w:p>
    <w:p>
      <w:pPr>
        <w:ind w:right="220" w:firstLine="357"/>
        <w:spacing w:after="0" w:line="241" w:lineRule="auto"/>
        <w:rPr>
          <w:sz w:val="20"/>
          <w:szCs w:val="20"/>
          <w:color w:val="auto"/>
        </w:rPr>
      </w:pPr>
      <w:r>
        <w:rPr>
          <w:rFonts w:ascii="Arial" w:cs="Arial" w:eastAsia="Arial" w:hAnsi="Arial"/>
          <w:sz w:val="19"/>
          <w:szCs w:val="19"/>
          <w:color w:val="auto"/>
        </w:rPr>
        <w:t>In February 2009, the Company issued $600 million 3.875% Senior Notes due 2014 and $ 900 million 5.00% Senior Notes due 2019 (collectively, the “2009 Senior Notes”). The 2009 Senior Notes are senior unsecured and unsubordinated obligations of Honeywell and rank equally with all of Honeywell’s existing and future senior unsecured debt and senior to all of Honeywell’s subordinated debt. The offering resulted in gross proceeds of $1.5 billion, offset by $12 million in discount and issuance costs. Proceeds from the Senior Notes were used to repay outstanding commercial paper.</w:t>
      </w:r>
    </w:p>
    <w:p>
      <w:pPr>
        <w:spacing w:after="0" w:line="91"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In August 2009, the Company completed the acquisition of the RMG Group (RMG Regel + Messtechnik GmbH), a natural gas measuring and control products, services and integrated solutions company which will be integrated into our Automation and Control Solutions segment. The purchase price, net of cash acquired, was approximately $416 million and was funded using available cash.</w:t>
      </w:r>
    </w:p>
    <w:p>
      <w:pPr>
        <w:spacing w:after="0" w:line="87" w:lineRule="exact"/>
        <w:rPr>
          <w:sz w:val="20"/>
          <w:szCs w:val="20"/>
          <w:color w:val="auto"/>
        </w:rPr>
      </w:pPr>
    </w:p>
    <w:p>
      <w:pPr>
        <w:ind w:right="380" w:firstLine="357"/>
        <w:spacing w:after="0" w:line="242" w:lineRule="auto"/>
        <w:rPr>
          <w:sz w:val="20"/>
          <w:szCs w:val="20"/>
          <w:color w:val="auto"/>
        </w:rPr>
      </w:pPr>
      <w:r>
        <w:rPr>
          <w:rFonts w:ascii="Arial" w:cs="Arial" w:eastAsia="Arial" w:hAnsi="Arial"/>
          <w:sz w:val="19"/>
          <w:szCs w:val="19"/>
          <w:color w:val="auto"/>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 proceeds of any offering would be used for general corporate purposes, including repayment of existing indebtedness, capital expenditures and acquisitions.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7" w:right="259" w:bottom="1440" w:gutter="0" w:footer="0" w:header="0"/>
        </w:sectPr>
      </w:pPr>
    </w:p>
    <w:bookmarkStart w:id="41" w:name="page42"/>
    <w:bookmarkEnd w:id="41"/>
    <w:p>
      <w:pPr>
        <w:ind w:firstLine="357"/>
        <w:spacing w:after="0"/>
        <w:rPr>
          <w:sz w:val="20"/>
          <w:szCs w:val="20"/>
          <w:color w:val="auto"/>
        </w:rPr>
      </w:pPr>
      <w:r>
        <w:rPr>
          <w:rFonts w:ascii="Arial" w:cs="Arial" w:eastAsia="Arial" w:hAnsi="Arial"/>
          <w:sz w:val="19"/>
          <w:szCs w:val="19"/>
          <w:color w:val="auto"/>
        </w:rPr>
        <w:t>We sell interests in designated pools of trade accounts receivables to third parties. In April 2009, we modified the terms of the trade accounts receivable program to permit the repurchase of receivables from the third parties at our discretion. This modification provides additional flexibility in the management of the receivable portfolio and also requires the receivables in the program to remain on the Company balance sheet. As a result, $500 million of program receivables were reflected as Accounts, notes and other receivables with a corresponding amount recorded as Short-term borrowings in the Consolidated Balance Sheet. These short-term borrowings were repaid as of December 31, 2009.</w:t>
      </w:r>
    </w:p>
    <w:p>
      <w:pPr>
        <w:spacing w:after="0" w:line="202" w:lineRule="exact"/>
        <w:rPr>
          <w:sz w:val="20"/>
          <w:szCs w:val="20"/>
          <w:color w:val="auto"/>
        </w:rPr>
      </w:pPr>
    </w:p>
    <w:p>
      <w:pPr>
        <w:jc w:val="both"/>
        <w:ind w:right="520" w:firstLine="357"/>
        <w:spacing w:after="0" w:line="245" w:lineRule="auto"/>
        <w:rPr>
          <w:sz w:val="20"/>
          <w:szCs w:val="20"/>
          <w:color w:val="auto"/>
        </w:rPr>
      </w:pPr>
      <w:r>
        <w:rPr>
          <w:rFonts w:ascii="Arial" w:cs="Arial" w:eastAsia="Arial" w:hAnsi="Arial"/>
          <w:sz w:val="19"/>
          <w:szCs w:val="19"/>
          <w:color w:val="auto"/>
        </w:rPr>
        <w:t>We monitor the third-party depository institutions that hold our cash and cash equivalents on a daily basis. Our emphasis is primarily on safety of principal and secondarily on maximizing yield on those funds. We diversify our cash and cash equivalents among counterparties to minimize exposure to any one of these entities.</w:t>
      </w:r>
    </w:p>
    <w:p>
      <w:pPr>
        <w:spacing w:after="0" w:line="87"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Current global economic conditions or the current tightening of credit could adversely affect our customers’ or suppliers’ ability to obtain financing, particularly in our long-cycle businesses and airline and automotive end markets. Customer or supplier bankruptcies, delays in their ability to obtain financing, or the unavailability of financing could adversely affect our cash flow or results of operations. To date we have not experienced material impacts from customer or supplier bankruptcy or liquidity issues. We continue to monitor and take measures to limit our exposure.</w:t>
      </w:r>
    </w:p>
    <w:p>
      <w:pPr>
        <w:spacing w:after="0" w:line="91"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In addition to our normal operating cash requirements, our principal future cash requirements will be to fund capital expenditures, debt repayments, dividends, employee benefit obligations, environmental remediation costs, asbestos claims, severance and exit costs related to repositioning actions, share repurchases and any strategic acquisitions.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Specifically, we expect our primary cash requirements in 2010 to be as follows:</w:t>
      </w:r>
    </w:p>
    <w:p>
      <w:pPr>
        <w:spacing w:after="0" w:line="160" w:lineRule="exact"/>
        <w:rPr>
          <w:sz w:val="20"/>
          <w:szCs w:val="20"/>
          <w:color w:val="auto"/>
        </w:rPr>
      </w:pPr>
    </w:p>
    <w:p>
      <w:pPr>
        <w:ind w:left="540" w:right="660" w:hanging="158"/>
        <w:spacing w:after="0" w:line="25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Capital expenditures—we expect to spend approximately $700 million for capital expenditures in 2010 primarily for cost reduction, maintenance, replacement, growth, and production and capacity expansion.</w:t>
      </w:r>
    </w:p>
    <w:p>
      <w:pPr>
        <w:spacing w:after="0" w:line="93" w:lineRule="exact"/>
        <w:rPr>
          <w:rFonts w:ascii="Arial" w:cs="Arial" w:eastAsia="Arial" w:hAnsi="Arial"/>
          <w:sz w:val="19"/>
          <w:szCs w:val="19"/>
          <w:color w:val="auto"/>
        </w:rPr>
      </w:pPr>
    </w:p>
    <w:p>
      <w:pPr>
        <w:ind w:left="540" w:right="520" w:hanging="158"/>
        <w:spacing w:after="0" w:line="25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Debt repayments—there are $1,018 million of scheduled long-term debt maturities in 2010. We expect to refinance these maturities during 2010 utilizing short-term debt and reduce overall debt balances.</w:t>
      </w:r>
    </w:p>
    <w:p>
      <w:pPr>
        <w:spacing w:after="0" w:line="93" w:lineRule="exact"/>
        <w:rPr>
          <w:rFonts w:ascii="Arial" w:cs="Arial" w:eastAsia="Arial" w:hAnsi="Arial"/>
          <w:sz w:val="19"/>
          <w:szCs w:val="19"/>
          <w:color w:val="auto"/>
        </w:rPr>
      </w:pPr>
    </w:p>
    <w:p>
      <w:pPr>
        <w:ind w:left="540" w:right="20" w:hanging="158"/>
        <w:spacing w:after="0" w:line="242"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Share repurchases—Under the Company’s previously announced $3.0 billion share repurchase program, $1.3 billion remained available as of December 31, 2009 for additional share repurchases. The amount and timing of repurchases may vary depending on market conditions and the level of operating and other investing activities. We do not anticipate any share repurchases during 2010.</w:t>
      </w:r>
    </w:p>
    <w:p>
      <w:pPr>
        <w:spacing w:after="0" w:line="104" w:lineRule="exact"/>
        <w:rPr>
          <w:rFonts w:ascii="Arial" w:cs="Arial" w:eastAsia="Arial" w:hAnsi="Arial"/>
          <w:sz w:val="19"/>
          <w:szCs w:val="19"/>
          <w:color w:val="auto"/>
        </w:rPr>
      </w:pPr>
    </w:p>
    <w:p>
      <w:pPr>
        <w:ind w:left="540" w:right="440" w:hanging="158"/>
        <w:spacing w:after="0" w:line="25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Dividends—we expect to pay approximately $940 million in dividends on our common stock in 2010, reflecting a 4 percent increase in the number of shares outstanding.</w:t>
      </w:r>
    </w:p>
    <w:p>
      <w:pPr>
        <w:spacing w:after="0" w:line="93" w:lineRule="exact"/>
        <w:rPr>
          <w:rFonts w:ascii="Arial" w:cs="Arial" w:eastAsia="Arial" w:hAnsi="Arial"/>
          <w:sz w:val="19"/>
          <w:szCs w:val="19"/>
          <w:color w:val="auto"/>
        </w:rPr>
      </w:pPr>
    </w:p>
    <w:p>
      <w:pPr>
        <w:jc w:val="both"/>
        <w:ind w:left="540" w:right="160" w:hanging="158"/>
        <w:spacing w:after="0" w:line="245"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Asbestos claims—we expect our cash spending for asbestos claims and our cash receipts for related insurance recoveries to be approximately $654 and $62 million, respectively, in 2010. See Asbestos Matters in Note 21 to the financial statements for further discussion.</w:t>
      </w:r>
    </w:p>
    <w:p>
      <w:pPr>
        <w:spacing w:after="0" w:line="100" w:lineRule="exact"/>
        <w:rPr>
          <w:rFonts w:ascii="Arial" w:cs="Arial" w:eastAsia="Arial" w:hAnsi="Arial"/>
          <w:sz w:val="19"/>
          <w:szCs w:val="19"/>
          <w:color w:val="auto"/>
        </w:rPr>
      </w:pPr>
    </w:p>
    <w:p>
      <w:pPr>
        <w:ind w:left="540" w:right="80" w:hanging="158"/>
        <w:spacing w:after="0" w:line="241"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Pension contributions—In 2010, we are not required to make any contributions to our U.S. pension plans to satisfy minimum statutory funding requirements. However, we presently anticipate making voluntary contributions of approximately $400 million of Honeywell common stock to the U.S. plan in 2010 to improve the funded status of our plans. We also expect to make contributions to our non-U.S. plans of approximately $150 million in 2010. See Note 22 to the financial statements for further discussion of pension contributions.</w:t>
      </w:r>
    </w:p>
    <w:p>
      <w:pPr>
        <w:spacing w:after="0" w:line="104" w:lineRule="exact"/>
        <w:rPr>
          <w:rFonts w:ascii="Arial" w:cs="Arial" w:eastAsia="Arial" w:hAnsi="Arial"/>
          <w:sz w:val="19"/>
          <w:szCs w:val="19"/>
          <w:color w:val="auto"/>
        </w:rPr>
      </w:pPr>
    </w:p>
    <w:p>
      <w:pPr>
        <w:ind w:left="540" w:right="180" w:hanging="158"/>
        <w:spacing w:after="0" w:line="25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Repositioning actions—we expect that cash spending for severance and other exit costs necessary to execute the previously announced repositioning actions will approximate $225 million in 2010.</w:t>
      </w:r>
    </w:p>
    <w:p>
      <w:pPr>
        <w:spacing w:after="0" w:line="93" w:lineRule="exact"/>
        <w:rPr>
          <w:rFonts w:ascii="Arial" w:cs="Arial" w:eastAsia="Arial" w:hAnsi="Arial"/>
          <w:sz w:val="19"/>
          <w:szCs w:val="19"/>
          <w:color w:val="auto"/>
        </w:rPr>
      </w:pPr>
    </w:p>
    <w:p>
      <w:pPr>
        <w:ind w:left="540" w:hanging="158"/>
        <w:spacing w:after="0" w:line="25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Environmental remediation costs—we expect to spend approximately $285 million in 2010 for remedial response and voluntary clean-up costs. See Environmental Matters in Note 21 to the financial statements for additional information.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2" w:name="page43"/>
    <w:bookmarkEnd w:id="42"/>
    <w:p>
      <w:pPr>
        <w:ind w:right="100" w:firstLine="357"/>
        <w:spacing w:after="0"/>
        <w:rPr>
          <w:sz w:val="20"/>
          <w:szCs w:val="20"/>
          <w:color w:val="auto"/>
        </w:rPr>
      </w:pPr>
      <w:r>
        <w:rPr>
          <w:rFonts w:ascii="Arial" w:cs="Arial" w:eastAsia="Arial" w:hAnsi="Arial"/>
          <w:sz w:val="19"/>
          <w:szCs w:val="19"/>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2008 we realized $909 million in cash proceeds from sales of non-strategic businesses.</w:t>
      </w:r>
    </w:p>
    <w:p>
      <w:pPr>
        <w:spacing w:after="0" w:line="202"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In July 2008, the Company completed the sale of its Consumables Solutions business to B/E Aerospace (“B/E”) for $1.05 billion, consisting of approximately $901 million in cash and six million shares of B/E common stock. As discussed in Note 3 to the financial statements, this transaction resulted in a pre- tax gain of $623 million, $417 million net of tax. These proceeds, along with our other sources and uses of liquidity, as discussed above, were utilized to invest in our existing core businesses and fund acquisition activity, share repurchases and dividends.</w:t>
      </w:r>
    </w:p>
    <w:p>
      <w:pPr>
        <w:spacing w:after="0" w:line="91"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Based on past performance and current expectations, we believe that our operating cash flows will be sufficient to meet our future cash needs. Our available cash, committed credit lines, access to the public debt and equity markets as well as our ability to sell trade accounts receivables, provide additional sources of short-term and long-term liquidity to fund current operations, debt maturities, and future investment opportunities. Based on our current financial position and expected economic performance, we do not believe that our liquidity will be adversely impacted by an inability to access our sources of financing.</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Contractual Obligations and Probable Liability Payments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Following is a summary of our significant contractual obligations and probable liability payments at December 31, 2009: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8"/>
              </w:rPr>
              <w:t>Payments by Period</w:t>
            </w:r>
          </w:p>
        </w:tc>
        <w:tc>
          <w:tcPr>
            <w:tcW w:w="8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68"/>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47"/>
              <w:spacing w:after="0" w:line="168" w:lineRule="exact"/>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96"/>
              </w:rPr>
              <w:t>Total(6)</w:t>
            </w:r>
          </w:p>
        </w:tc>
        <w:tc>
          <w:tcPr>
            <w:tcW w:w="280" w:type="dxa"/>
            <w:vAlign w:val="bottom"/>
          </w:tcPr>
          <w:p>
            <w:pPr>
              <w:spacing w:after="0"/>
              <w:rPr>
                <w:sz w:val="17"/>
                <w:szCs w:val="17"/>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2010</w:t>
            </w:r>
          </w:p>
        </w:tc>
        <w:tc>
          <w:tcPr>
            <w:tcW w:w="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Thereafter</w:t>
            </w:r>
          </w:p>
        </w:tc>
      </w:tr>
      <w:tr>
        <w:trPr>
          <w:trHeight w:val="264"/>
        </w:trPr>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40" w:type="dxa"/>
            <w:vAlign w:val="bottom"/>
            <w:gridSpan w:val="6"/>
          </w:tcPr>
          <w:p>
            <w:pPr>
              <w:ind w:left="40"/>
              <w:spacing w:after="0"/>
              <w:rPr>
                <w:sz w:val="20"/>
                <w:szCs w:val="20"/>
                <w:color w:val="auto"/>
              </w:rPr>
            </w:pPr>
            <w:r>
              <w:rPr>
                <w:rFonts w:ascii="Arial" w:cs="Arial" w:eastAsia="Arial" w:hAnsi="Arial"/>
                <w:sz w:val="16"/>
                <w:szCs w:val="16"/>
                <w:b w:val="1"/>
                <w:bCs w:val="1"/>
                <w:color w:val="auto"/>
                <w:w w:val="99"/>
              </w:rPr>
              <w:t>(Dollars 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500" w:type="dxa"/>
            <w:vAlign w:val="bottom"/>
          </w:tcPr>
          <w:p>
            <w:pPr>
              <w:spacing w:after="0"/>
              <w:rPr>
                <w:sz w:val="23"/>
                <w:szCs w:val="23"/>
                <w:color w:val="auto"/>
              </w:rPr>
            </w:pPr>
          </w:p>
        </w:tc>
        <w:tc>
          <w:tcPr>
            <w:tcW w:w="47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Long-term debt, including capitalized leases(1)</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7,264</w:t>
            </w: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$ 1,018</w:t>
            </w:r>
          </w:p>
        </w:tc>
        <w:tc>
          <w:tcPr>
            <w:tcW w:w="52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926</w:t>
            </w:r>
          </w:p>
        </w:tc>
        <w:tc>
          <w:tcPr>
            <w:tcW w:w="2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$ 1,211</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4,109</w:t>
            </w:r>
          </w:p>
        </w:tc>
      </w:tr>
      <w:tr>
        <w:trPr>
          <w:trHeight w:val="230"/>
        </w:trPr>
        <w:tc>
          <w:tcPr>
            <w:tcW w:w="50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9"/>
                <w:szCs w:val="19"/>
                <w:color w:val="auto"/>
              </w:rPr>
              <w:t>Interest payments on long-term debt, including</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4720" w:type="dxa"/>
            <w:vAlign w:val="bottom"/>
            <w:gridSpan w:val="2"/>
          </w:tcPr>
          <w:p>
            <w:pPr>
              <w:ind w:left="200"/>
              <w:spacing w:after="0"/>
              <w:rPr>
                <w:sz w:val="20"/>
                <w:szCs w:val="20"/>
                <w:color w:val="auto"/>
              </w:rPr>
            </w:pPr>
            <w:r>
              <w:rPr>
                <w:rFonts w:ascii="Arial" w:cs="Arial" w:eastAsia="Arial" w:hAnsi="Arial"/>
                <w:sz w:val="19"/>
                <w:szCs w:val="19"/>
                <w:color w:val="auto"/>
              </w:rPr>
              <w:t>capitalized leases</w:t>
            </w:r>
          </w:p>
        </w:tc>
        <w:tc>
          <w:tcPr>
            <w:tcW w:w="200" w:type="dxa"/>
            <w:vAlign w:val="bottom"/>
          </w:tcPr>
          <w:p>
            <w:pPr>
              <w:spacing w:after="0"/>
              <w:rPr>
                <w:sz w:val="19"/>
                <w:szCs w:val="19"/>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3,140</w:t>
            </w:r>
          </w:p>
        </w:tc>
        <w:tc>
          <w:tcPr>
            <w:tcW w:w="1100" w:type="dxa"/>
            <w:vAlign w:val="bottom"/>
            <w:gridSpan w:val="2"/>
          </w:tcPr>
          <w:p>
            <w:pPr>
              <w:jc w:val="right"/>
              <w:ind w:right="12"/>
              <w:spacing w:after="0"/>
              <w:rPr>
                <w:sz w:val="20"/>
                <w:szCs w:val="20"/>
                <w:color w:val="auto"/>
              </w:rPr>
            </w:pPr>
            <w:r>
              <w:rPr>
                <w:rFonts w:ascii="Arial" w:cs="Arial" w:eastAsia="Arial" w:hAnsi="Arial"/>
                <w:sz w:val="19"/>
                <w:szCs w:val="19"/>
                <w:color w:val="auto"/>
              </w:rPr>
              <w:t>297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489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ind w:right="47"/>
              <w:spacing w:after="0"/>
              <w:rPr>
                <w:sz w:val="20"/>
                <w:szCs w:val="20"/>
                <w:color w:val="auto"/>
              </w:rPr>
            </w:pPr>
            <w:r>
              <w:rPr>
                <w:rFonts w:ascii="Arial" w:cs="Arial" w:eastAsia="Arial" w:hAnsi="Arial"/>
                <w:sz w:val="19"/>
                <w:szCs w:val="19"/>
                <w:color w:val="auto"/>
              </w:rPr>
              <w:t>374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1,980</w:t>
            </w:r>
          </w:p>
        </w:tc>
      </w:tr>
      <w:tr>
        <w:trPr>
          <w:trHeight w:val="270"/>
        </w:trPr>
        <w:tc>
          <w:tcPr>
            <w:tcW w:w="500" w:type="dxa"/>
            <w:vAlign w:val="bottom"/>
          </w:tcPr>
          <w:p>
            <w:pPr>
              <w:spacing w:after="0"/>
              <w:rPr>
                <w:sz w:val="23"/>
                <w:szCs w:val="23"/>
                <w:color w:val="auto"/>
              </w:rPr>
            </w:pPr>
          </w:p>
        </w:tc>
        <w:tc>
          <w:tcPr>
            <w:tcW w:w="47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Minimum operating lease payments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1,213</w:t>
            </w: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313</w:t>
            </w:r>
          </w:p>
        </w:tc>
        <w:tc>
          <w:tcPr>
            <w:tcW w:w="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419</w:t>
            </w:r>
          </w:p>
        </w:tc>
        <w:tc>
          <w:tcPr>
            <w:tcW w:w="2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225</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256</w:t>
            </w:r>
          </w:p>
        </w:tc>
      </w:tr>
      <w:tr>
        <w:trPr>
          <w:trHeight w:val="270"/>
        </w:trPr>
        <w:tc>
          <w:tcPr>
            <w:tcW w:w="50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Arial" w:cs="Arial" w:eastAsia="Arial" w:hAnsi="Arial"/>
                <w:sz w:val="19"/>
                <w:szCs w:val="19"/>
                <w:color w:val="auto"/>
              </w:rPr>
              <w:t>Purchase obligations(2)</w:t>
            </w:r>
          </w:p>
        </w:tc>
        <w:tc>
          <w:tcPr>
            <w:tcW w:w="20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1,595</w:t>
            </w:r>
          </w:p>
        </w:tc>
        <w:tc>
          <w:tcPr>
            <w:tcW w:w="1100" w:type="dxa"/>
            <w:vAlign w:val="bottom"/>
            <w:gridSpan w:val="2"/>
          </w:tcPr>
          <w:p>
            <w:pPr>
              <w:jc w:val="right"/>
              <w:ind w:right="12"/>
              <w:spacing w:after="0"/>
              <w:rPr>
                <w:sz w:val="20"/>
                <w:szCs w:val="20"/>
                <w:color w:val="auto"/>
              </w:rPr>
            </w:pPr>
            <w:r>
              <w:rPr>
                <w:rFonts w:ascii="Arial" w:cs="Arial" w:eastAsia="Arial" w:hAnsi="Arial"/>
                <w:sz w:val="19"/>
                <w:szCs w:val="19"/>
                <w:color w:val="auto"/>
              </w:rPr>
              <w:t>806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481</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ind w:right="47"/>
              <w:spacing w:after="0"/>
              <w:rPr>
                <w:sz w:val="20"/>
                <w:szCs w:val="20"/>
                <w:color w:val="auto"/>
              </w:rPr>
            </w:pPr>
            <w:r>
              <w:rPr>
                <w:rFonts w:ascii="Arial" w:cs="Arial" w:eastAsia="Arial" w:hAnsi="Arial"/>
                <w:sz w:val="19"/>
                <w:szCs w:val="19"/>
                <w:color w:val="auto"/>
              </w:rPr>
              <w:t>211</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97</w:t>
            </w:r>
          </w:p>
        </w:tc>
      </w:tr>
      <w:tr>
        <w:trPr>
          <w:trHeight w:val="270"/>
        </w:trPr>
        <w:tc>
          <w:tcPr>
            <w:tcW w:w="500" w:type="dxa"/>
            <w:vAlign w:val="bottom"/>
          </w:tcPr>
          <w:p>
            <w:pPr>
              <w:spacing w:after="0"/>
              <w:rPr>
                <w:sz w:val="23"/>
                <w:szCs w:val="23"/>
                <w:color w:val="auto"/>
              </w:rPr>
            </w:pPr>
          </w:p>
        </w:tc>
        <w:tc>
          <w:tcPr>
            <w:tcW w:w="47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Estimated environmental liability payments(3)</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779</w:t>
            </w: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285</w:t>
            </w:r>
          </w:p>
        </w:tc>
        <w:tc>
          <w:tcPr>
            <w:tcW w:w="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290</w:t>
            </w:r>
          </w:p>
        </w:tc>
        <w:tc>
          <w:tcPr>
            <w:tcW w:w="2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160</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44</w:t>
            </w:r>
          </w:p>
        </w:tc>
      </w:tr>
      <w:tr>
        <w:trPr>
          <w:trHeight w:val="270"/>
        </w:trPr>
        <w:tc>
          <w:tcPr>
            <w:tcW w:w="50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Arial" w:cs="Arial" w:eastAsia="Arial" w:hAnsi="Arial"/>
                <w:sz w:val="19"/>
                <w:szCs w:val="19"/>
                <w:color w:val="auto"/>
              </w:rPr>
              <w:t>Asbestos related liability payments(4)</w:t>
            </w:r>
          </w:p>
        </w:tc>
        <w:tc>
          <w:tcPr>
            <w:tcW w:w="20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1,694</w:t>
            </w:r>
          </w:p>
        </w:tc>
        <w:tc>
          <w:tcPr>
            <w:tcW w:w="1100" w:type="dxa"/>
            <w:vAlign w:val="bottom"/>
            <w:gridSpan w:val="2"/>
          </w:tcPr>
          <w:p>
            <w:pPr>
              <w:jc w:val="right"/>
              <w:ind w:right="12"/>
              <w:spacing w:after="0"/>
              <w:rPr>
                <w:sz w:val="20"/>
                <w:szCs w:val="20"/>
                <w:color w:val="auto"/>
              </w:rPr>
            </w:pPr>
            <w:r>
              <w:rPr>
                <w:rFonts w:ascii="Arial" w:cs="Arial" w:eastAsia="Arial" w:hAnsi="Arial"/>
                <w:sz w:val="19"/>
                <w:szCs w:val="19"/>
                <w:color w:val="auto"/>
              </w:rPr>
              <w:t>654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563</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ind w:right="47"/>
              <w:spacing w:after="0"/>
              <w:rPr>
                <w:sz w:val="20"/>
                <w:szCs w:val="20"/>
                <w:color w:val="auto"/>
              </w:rPr>
            </w:pPr>
            <w:r>
              <w:rPr>
                <w:rFonts w:ascii="Arial" w:cs="Arial" w:eastAsia="Arial" w:hAnsi="Arial"/>
                <w:sz w:val="19"/>
                <w:szCs w:val="19"/>
                <w:color w:val="auto"/>
              </w:rPr>
              <w:t>266</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211</w:t>
            </w:r>
          </w:p>
        </w:tc>
      </w:tr>
      <w:tr>
        <w:trPr>
          <w:trHeight w:val="270"/>
        </w:trPr>
        <w:tc>
          <w:tcPr>
            <w:tcW w:w="500" w:type="dxa"/>
            <w:vAlign w:val="bottom"/>
          </w:tcPr>
          <w:p>
            <w:pPr>
              <w:spacing w:after="0"/>
              <w:rPr>
                <w:sz w:val="23"/>
                <w:szCs w:val="23"/>
                <w:color w:val="auto"/>
              </w:rPr>
            </w:pPr>
          </w:p>
        </w:tc>
        <w:tc>
          <w:tcPr>
            <w:tcW w:w="47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Asbestos insurance recoveries(5)</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(1,003 )</w:t>
            </w:r>
          </w:p>
        </w:tc>
        <w:tc>
          <w:tcPr>
            <w:tcW w:w="280" w:type="dxa"/>
            <w:vAlign w:val="bottom"/>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(62 )</w:t>
            </w:r>
          </w:p>
        </w:tc>
        <w:tc>
          <w:tcPr>
            <w:tcW w:w="6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(113 )</w:t>
            </w:r>
          </w:p>
        </w:tc>
        <w:tc>
          <w:tcPr>
            <w:tcW w:w="28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(100 )</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(728 )</w:t>
            </w:r>
          </w:p>
        </w:tc>
      </w:tr>
      <w:tr>
        <w:trPr>
          <w:trHeight w:val="304"/>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14,682</w:t>
            </w:r>
          </w:p>
        </w:tc>
        <w:tc>
          <w:tcPr>
            <w:tcW w:w="1100" w:type="dxa"/>
            <w:vAlign w:val="bottom"/>
            <w:gridSpan w:val="2"/>
          </w:tcPr>
          <w:p>
            <w:pPr>
              <w:jc w:val="right"/>
              <w:ind w:right="12"/>
              <w:spacing w:after="0"/>
              <w:rPr>
                <w:sz w:val="20"/>
                <w:szCs w:val="20"/>
                <w:color w:val="auto"/>
              </w:rPr>
            </w:pPr>
            <w:r>
              <w:rPr>
                <w:rFonts w:ascii="Arial" w:cs="Arial" w:eastAsia="Arial" w:hAnsi="Arial"/>
                <w:sz w:val="19"/>
                <w:szCs w:val="19"/>
                <w:color w:val="auto"/>
              </w:rPr>
              <w:t>$ 3,311</w:t>
            </w:r>
          </w:p>
        </w:tc>
        <w:tc>
          <w:tcPr>
            <w:tcW w:w="52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3,056</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Arial" w:cs="Arial" w:eastAsia="Arial" w:hAnsi="Arial"/>
                <w:sz w:val="19"/>
                <w:szCs w:val="19"/>
                <w:color w:val="auto"/>
              </w:rPr>
              <w:t>$ 2,344</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5,971</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9" w:lineRule="exact"/>
        <w:rPr>
          <w:sz w:val="20"/>
          <w:szCs w:val="20"/>
          <w:color w:val="auto"/>
        </w:rPr>
      </w:pPr>
    </w:p>
    <w:p>
      <w:pPr>
        <w:ind w:left="400" w:hanging="332"/>
        <w:spacing w:after="0"/>
        <w:tabs>
          <w:tab w:leader="none" w:pos="4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Assumes all long-term debt is outstanding until scheduled maturity.</w:t>
      </w:r>
    </w:p>
    <w:p>
      <w:pPr>
        <w:spacing w:after="0" w:line="105" w:lineRule="exact"/>
        <w:rPr>
          <w:rFonts w:ascii="Arial" w:cs="Arial" w:eastAsia="Arial" w:hAnsi="Arial"/>
          <w:sz w:val="19"/>
          <w:szCs w:val="19"/>
          <w:color w:val="auto"/>
        </w:rPr>
      </w:pPr>
    </w:p>
    <w:p>
      <w:pPr>
        <w:ind w:left="400" w:right="720" w:hanging="332"/>
        <w:spacing w:after="0" w:line="253" w:lineRule="auto"/>
        <w:tabs>
          <w:tab w:leader="none" w:pos="4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Purchase obligations are entered into with various vendors in the normal course of business and are consistent with our expected requirements.</w:t>
      </w:r>
    </w:p>
    <w:p>
      <w:pPr>
        <w:spacing w:after="0" w:line="93" w:lineRule="exact"/>
        <w:rPr>
          <w:rFonts w:ascii="Arial" w:cs="Arial" w:eastAsia="Arial" w:hAnsi="Arial"/>
          <w:sz w:val="19"/>
          <w:szCs w:val="19"/>
          <w:color w:val="auto"/>
        </w:rPr>
      </w:pPr>
    </w:p>
    <w:p>
      <w:pPr>
        <w:ind w:left="400" w:right="240" w:hanging="332"/>
        <w:spacing w:after="0" w:line="253" w:lineRule="auto"/>
        <w:tabs>
          <w:tab w:leader="none" w:pos="4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payment amounts in the table only reflect the environmental liabilities which are probable and reasonably estimable as of December 31, 2009. See Environmental Matters in Note 21 to the financial statements for additional information.</w:t>
      </w:r>
    </w:p>
    <w:p>
      <w:pPr>
        <w:spacing w:after="0" w:line="93" w:lineRule="exact"/>
        <w:rPr>
          <w:rFonts w:ascii="Arial" w:cs="Arial" w:eastAsia="Arial" w:hAnsi="Arial"/>
          <w:sz w:val="19"/>
          <w:szCs w:val="19"/>
          <w:color w:val="auto"/>
        </w:rPr>
      </w:pPr>
    </w:p>
    <w:p>
      <w:pPr>
        <w:ind w:left="400" w:right="240" w:hanging="332"/>
        <w:spacing w:after="0" w:line="242" w:lineRule="auto"/>
        <w:tabs>
          <w:tab w:leader="none" w:pos="4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These amounts are estimates of asbestos related cash payments for NARCO and Bendix based on our asbestos related liabilities which are probable and reasonably estimable as of December 31, 2009. NARCO estimated payments are based on the terms and conditions, including evidentiary requirements, specified in the definitive agreements or agreements in principle and pursuant to Trust Distribution Procedures. Bendix payments are based on our estimate of pending and future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43" w:name="page44"/>
    <w:bookmarkEnd w:id="43"/>
    <w:p>
      <w:pPr>
        <w:ind w:left="400" w:right="220"/>
        <w:spacing w:after="0" w:line="253" w:lineRule="auto"/>
        <w:rPr>
          <w:sz w:val="20"/>
          <w:szCs w:val="20"/>
          <w:color w:val="auto"/>
        </w:rPr>
      </w:pPr>
      <w:r>
        <w:rPr>
          <w:rFonts w:ascii="Arial" w:cs="Arial" w:eastAsia="Arial" w:hAnsi="Arial"/>
          <w:sz w:val="19"/>
          <w:szCs w:val="19"/>
          <w:color w:val="auto"/>
        </w:rPr>
        <w:t>claims. Projecting future events is subject to many uncertainties that could cause asbestos liabilities to be higher or lower than those projected and recorded. See Asbestos Matters in Note 21 to the financial statements for additional information.</w:t>
      </w:r>
    </w:p>
    <w:p>
      <w:pPr>
        <w:spacing w:after="0" w:line="93" w:lineRule="exact"/>
        <w:rPr>
          <w:sz w:val="20"/>
          <w:szCs w:val="20"/>
          <w:color w:val="auto"/>
        </w:rPr>
      </w:pPr>
    </w:p>
    <w:p>
      <w:pPr>
        <w:ind w:left="400" w:right="220" w:hanging="332"/>
        <w:spacing w:after="0" w:line="245" w:lineRule="auto"/>
        <w:tabs>
          <w:tab w:leader="none" w:pos="4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These amounts represent probable insurance recoveries through 2018 based on our insurance recoveries that are deemed probable for asbestos related liabilities as of December 31, 2009. See Asbestos Matters in Note 21 to the financial statements for additional information.</w:t>
      </w:r>
    </w:p>
    <w:p>
      <w:pPr>
        <w:spacing w:after="0" w:line="100" w:lineRule="exact"/>
        <w:rPr>
          <w:rFonts w:ascii="Arial" w:cs="Arial" w:eastAsia="Arial" w:hAnsi="Arial"/>
          <w:sz w:val="19"/>
          <w:szCs w:val="19"/>
          <w:color w:val="auto"/>
        </w:rPr>
      </w:pPr>
    </w:p>
    <w:p>
      <w:pPr>
        <w:ind w:left="400" w:hanging="332"/>
        <w:spacing w:after="0"/>
        <w:tabs>
          <w:tab w:leader="none" w:pos="4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table excludes $720 million of uncertain tax positions. See Note 6 to the financial statements.</w:t>
      </w:r>
    </w:p>
    <w:p>
      <w:pPr>
        <w:spacing w:after="0" w:line="322"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table also excludes our pension and other postretirement benefits (OPEB) obligations. During 2010, we plan to make additional voluntary contributions of Honeywell common stock to our U.S. plans to improve the funded status of our plans. We also expect to make contributions to our non-U.S. plans of approximately $150 million in 2010. Beyond 2010, minimum statutory funding requirements for our U.S. pension plans may become significant. However, the actual amounts required to be contributed are dependent upon, among other things, interest rates, underlying asset returns and the impact of legislative or regulatory actions related to pension funding obligations. Payments due under our OPEB plans are not required to be funded in advance, but are paid as medical costs are incurred by covered retiree populations, and are principally dependent upon the future cost of retiree medical benefits under our plans. We expect our OPEB payments to approximate $ 200 million in 2010 net of the benefit of approximately $14 million from the Medicare prescription subsidy. See Note 22 to the financial statements for further discussion of our pension and OPEB plans.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Following is a summary of our off-balance sheet arrangements:</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Guarantees</w:t>
      </w:r>
      <w:r>
        <w:rPr>
          <w:rFonts w:ascii="Arial" w:cs="Arial" w:eastAsia="Arial" w:hAnsi="Arial"/>
          <w:sz w:val="19"/>
          <w:szCs w:val="19"/>
          <w:color w:val="auto"/>
        </w:rPr>
        <w:t>—We have issued or are a party to the following direct and indirect guarantees at December 31, 2009:</w:t>
      </w:r>
    </w:p>
    <w:p>
      <w:pPr>
        <w:spacing w:after="0" w:line="66"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Maximum</w:t>
            </w:r>
          </w:p>
        </w:tc>
      </w:tr>
      <w:tr>
        <w:trPr>
          <w:trHeight w:val="176"/>
        </w:trPr>
        <w:tc>
          <w:tcPr>
            <w:tcW w:w="8400" w:type="dxa"/>
            <w:vAlign w:val="bottom"/>
          </w:tcPr>
          <w:p>
            <w:pPr>
              <w:spacing w:after="0"/>
              <w:rPr>
                <w:sz w:val="15"/>
                <w:szCs w:val="15"/>
                <w:color w:val="auto"/>
              </w:rPr>
            </w:pPr>
          </w:p>
        </w:tc>
        <w:tc>
          <w:tcPr>
            <w:tcW w:w="10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Potential</w:t>
            </w:r>
          </w:p>
        </w:tc>
      </w:tr>
      <w:tr>
        <w:trPr>
          <w:trHeight w:val="176"/>
        </w:trPr>
        <w:tc>
          <w:tcPr>
            <w:tcW w:w="8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68"/>
              <w:spacing w:after="0" w:line="176" w:lineRule="exact"/>
              <w:rPr>
                <w:sz w:val="20"/>
                <w:szCs w:val="20"/>
                <w:color w:val="auto"/>
              </w:rPr>
            </w:pPr>
            <w:r>
              <w:rPr>
                <w:rFonts w:ascii="Arial" w:cs="Arial" w:eastAsia="Arial" w:hAnsi="Arial"/>
                <w:sz w:val="16"/>
                <w:szCs w:val="16"/>
                <w:b w:val="1"/>
                <w:bCs w:val="1"/>
                <w:color w:val="auto"/>
              </w:rPr>
              <w:t>Future</w:t>
            </w:r>
          </w:p>
        </w:tc>
      </w:tr>
      <w:tr>
        <w:trPr>
          <w:trHeight w:val="204"/>
        </w:trPr>
        <w:tc>
          <w:tcPr>
            <w:tcW w:w="8400" w:type="dxa"/>
            <w:vAlign w:val="bottom"/>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Payments</w:t>
            </w:r>
          </w:p>
        </w:tc>
      </w:tr>
      <w:tr>
        <w:trPr>
          <w:trHeight w:val="168"/>
        </w:trPr>
        <w:tc>
          <w:tcPr>
            <w:tcW w:w="840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w w:val="99"/>
              </w:rPr>
              <w:t>(Dollars in</w:t>
            </w:r>
          </w:p>
        </w:tc>
      </w:tr>
      <w:tr>
        <w:trPr>
          <w:trHeight w:val="204"/>
        </w:trPr>
        <w:tc>
          <w:tcPr>
            <w:tcW w:w="8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68"/>
              <w:spacing w:after="0"/>
              <w:rPr>
                <w:sz w:val="20"/>
                <w:szCs w:val="20"/>
                <w:color w:val="auto"/>
              </w:rPr>
            </w:pPr>
            <w:r>
              <w:rPr>
                <w:rFonts w:ascii="Arial" w:cs="Arial" w:eastAsia="Arial" w:hAnsi="Arial"/>
                <w:sz w:val="16"/>
                <w:szCs w:val="16"/>
                <w:b w:val="1"/>
                <w:bCs w:val="1"/>
                <w:color w:val="auto"/>
              </w:rPr>
              <w:t>millions)</w:t>
            </w:r>
          </w:p>
        </w:tc>
      </w:tr>
      <w:tr>
        <w:trPr>
          <w:trHeight w:val="270"/>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Operating lease residual values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35</w:t>
            </w:r>
          </w:p>
        </w:tc>
      </w:tr>
      <w:tr>
        <w:trPr>
          <w:trHeight w:val="270"/>
        </w:trPr>
        <w:tc>
          <w:tcPr>
            <w:tcW w:w="8400" w:type="dxa"/>
            <w:vAlign w:val="bottom"/>
          </w:tcPr>
          <w:p>
            <w:pPr>
              <w:ind w:left="20"/>
              <w:spacing w:after="0"/>
              <w:rPr>
                <w:sz w:val="20"/>
                <w:szCs w:val="20"/>
                <w:color w:val="auto"/>
              </w:rPr>
            </w:pPr>
            <w:r>
              <w:rPr>
                <w:rFonts w:ascii="Arial" w:cs="Arial" w:eastAsia="Arial" w:hAnsi="Arial"/>
                <w:sz w:val="19"/>
                <w:szCs w:val="19"/>
                <w:color w:val="auto"/>
              </w:rPr>
              <w:t>Other third parties’ financing</w:t>
            </w:r>
          </w:p>
        </w:tc>
        <w:tc>
          <w:tcPr>
            <w:tcW w:w="1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9"/>
                <w:szCs w:val="19"/>
                <w:color w:val="auto"/>
              </w:rPr>
              <w:t>4</w:t>
            </w:r>
          </w:p>
        </w:tc>
      </w:tr>
      <w:tr>
        <w:trPr>
          <w:trHeight w:val="270"/>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Unconsolidated affiliates’ financing</w:t>
            </w: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30</w:t>
            </w:r>
          </w:p>
        </w:tc>
      </w:tr>
      <w:tr>
        <w:trPr>
          <w:trHeight w:val="270"/>
        </w:trPr>
        <w:tc>
          <w:tcPr>
            <w:tcW w:w="8400" w:type="dxa"/>
            <w:vAlign w:val="bottom"/>
          </w:tcPr>
          <w:p>
            <w:pPr>
              <w:ind w:left="20"/>
              <w:spacing w:after="0"/>
              <w:rPr>
                <w:sz w:val="20"/>
                <w:szCs w:val="20"/>
                <w:color w:val="auto"/>
              </w:rPr>
            </w:pPr>
            <w:r>
              <w:rPr>
                <w:rFonts w:ascii="Arial" w:cs="Arial" w:eastAsia="Arial" w:hAnsi="Arial"/>
                <w:sz w:val="19"/>
                <w:szCs w:val="19"/>
                <w:color w:val="auto"/>
              </w:rPr>
              <w:t>Customer financing</w:t>
            </w: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9"/>
                <w:szCs w:val="19"/>
                <w:color w:val="auto"/>
              </w:rPr>
              <w:t>16</w:t>
            </w:r>
          </w:p>
        </w:tc>
      </w:tr>
      <w:tr>
        <w:trPr>
          <w:trHeight w:val="34"/>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4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shd w:val="clear" w:color="auto" w:fill="E5FFFF"/>
          </w:tcPr>
          <w:p>
            <w:pPr>
              <w:jc w:val="right"/>
              <w:ind w:right="88"/>
              <w:spacing w:after="0"/>
              <w:rPr>
                <w:sz w:val="20"/>
                <w:szCs w:val="20"/>
                <w:color w:val="auto"/>
              </w:rPr>
            </w:pPr>
            <w:r>
              <w:rPr>
                <w:rFonts w:ascii="Arial" w:cs="Arial" w:eastAsia="Arial" w:hAnsi="Arial"/>
                <w:sz w:val="19"/>
                <w:szCs w:val="19"/>
                <w:color w:val="auto"/>
              </w:rPr>
              <w:t>85</w:t>
            </w:r>
          </w:p>
        </w:tc>
      </w:tr>
      <w:tr>
        <w:trPr>
          <w:trHeight w:val="20"/>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We do not expect that these guarantees will have a material adverse effect on our consolidated results of operations, financial position or liquidity.</w:t>
      </w:r>
    </w:p>
    <w:p>
      <w:pPr>
        <w:spacing w:after="0" w:line="66" w:lineRule="exact"/>
        <w:rPr>
          <w:sz w:val="20"/>
          <w:szCs w:val="20"/>
          <w:color w:val="auto"/>
        </w:rPr>
      </w:pPr>
    </w:p>
    <w:p>
      <w:pPr>
        <w:ind w:right="180" w:firstLine="357"/>
        <w:spacing w:after="0" w:line="245" w:lineRule="auto"/>
        <w:rPr>
          <w:sz w:val="20"/>
          <w:szCs w:val="20"/>
          <w:color w:val="auto"/>
        </w:rPr>
      </w:pPr>
      <w:r>
        <w:rPr>
          <w:rFonts w:ascii="Arial" w:cs="Arial" w:eastAsia="Arial" w:hAnsi="Arial"/>
          <w:sz w:val="19"/>
          <w:szCs w:val="19"/>
          <w:color w:val="auto"/>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spacing w:after="0" w:line="63"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b w:val="1"/>
          <w:bCs w:val="1"/>
          <w:i w:val="1"/>
          <w:iCs w:val="1"/>
          <w:color w:val="auto"/>
        </w:rPr>
        <w:t>Retained Interests in Factored Pools of Trade Accounts Receivables</w:t>
      </w:r>
      <w:r>
        <w:rPr>
          <w:rFonts w:ascii="Arial" w:cs="Arial" w:eastAsia="Arial" w:hAnsi="Arial"/>
          <w:sz w:val="19"/>
          <w:szCs w:val="19"/>
          <w:color w:val="auto"/>
        </w:rPr>
        <w:t>—As a source of liquidity, we sell interests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designated pools of trade accounts receivables to third parties. The sold receivables ($500 million at December 31, 2008) are over-collateralized and we retain a subordinated interest in the pool of receivables representing that over-collateralization as well as an undivided interest in the balance of the receivables pools. The over-collateralization provides credit support to the purchasers of the receivable interest by limiting their losses in the event that a portion of the receivables sold becomes uncollectible. In April 2009, we modified the terms of the trade accounts receivable program to permit the repurchase of receivables from the third parties at our discretion. This modification provides additional flexibility in the management of the receivable portfolio and also requires the receivables in the program to remain on the Company balance sheet. As a result, $500 million of program receivables were reflected as Accounts, notes and other receivables with 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44" w:name="page45"/>
    <w:bookmarkEnd w:id="44"/>
    <w:p>
      <w:pPr>
        <w:ind w:right="320"/>
        <w:spacing w:after="0" w:line="253" w:lineRule="auto"/>
        <w:rPr>
          <w:sz w:val="20"/>
          <w:szCs w:val="20"/>
          <w:color w:val="auto"/>
        </w:rPr>
      </w:pPr>
      <w:r>
        <w:rPr>
          <w:rFonts w:ascii="Arial" w:cs="Arial" w:eastAsia="Arial" w:hAnsi="Arial"/>
          <w:sz w:val="19"/>
          <w:szCs w:val="19"/>
          <w:color w:val="auto"/>
        </w:rPr>
        <w:t>corresponding amount recorded as Short-term borrowings in the Consolidated Balance Sheet. These short-term borrowings were repaid as of December 31, 2009.</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6" w:lineRule="exact"/>
        <w:rPr>
          <w:sz w:val="20"/>
          <w:szCs w:val="20"/>
          <w:color w:val="auto"/>
        </w:rPr>
      </w:pPr>
    </w:p>
    <w:p>
      <w:pPr>
        <w:ind w:right="100" w:firstLine="357"/>
        <w:spacing w:after="0" w:line="238" w:lineRule="auto"/>
        <w:rPr>
          <w:sz w:val="20"/>
          <w:szCs w:val="20"/>
          <w:color w:val="auto"/>
        </w:rPr>
      </w:pPr>
      <w:r>
        <w:rPr>
          <w:rFonts w:ascii="Arial" w:cs="Arial" w:eastAsia="Arial" w:hAnsi="Arial"/>
          <w:sz w:val="19"/>
          <w:szCs w:val="19"/>
          <w:color w:val="auto"/>
        </w:rPr>
        <w:t>With respect to environmental matters involving site contamination, we continually conduct studies, individually or jointly, with other potentially responsible parties, to determine the feasibility of various remedial techniques to address environmental matters. It is our policy (see Note 1 to the financial statements)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litigation and settlements of remediation liability, personal injury and property damage claims, regulatory approval of cleanup projects, execution timeframe of projects, remedial techniques to be utilized and agreements with other parties.</w:t>
      </w:r>
    </w:p>
    <w:p>
      <w:pPr>
        <w:spacing w:after="0" w:line="101"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Remedial response and voluntary cleanup payments were $318, $320 and $ 267 million in 2009, 2008 and 2007, respectively, and are currently estimated to be approximately $285 million in 2010. We expect to fund such expenditures from operating cash flow.</w:t>
      </w:r>
    </w:p>
    <w:p>
      <w:pPr>
        <w:spacing w:after="0" w:line="66"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Remedial response and voluntary cleanup costs charged against pretax earnings were $151, $466 and $230 million in 2009, 2008 and 2007, respectively. At December 31, 2009 and 2008, the recorded liabilities for environmental matters was $779 and $946 million, respectively. In addition, in 2009 and 2008 we incurred operating costs for ongoing businesses of approximately $73 and $69 million, respectively, relating to compliance with environmental regulations.</w:t>
      </w:r>
    </w:p>
    <w:p>
      <w:pPr>
        <w:spacing w:after="0" w:line="91"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environmental matters will have a material adverse effect on our consolidated financial position.</w:t>
      </w:r>
    </w:p>
    <w:p>
      <w:pPr>
        <w:spacing w:after="0" w:line="91" w:lineRule="exact"/>
        <w:rPr>
          <w:sz w:val="20"/>
          <w:szCs w:val="20"/>
          <w:color w:val="auto"/>
        </w:rPr>
      </w:pPr>
    </w:p>
    <w:p>
      <w:pPr>
        <w:ind w:right="620" w:firstLine="357"/>
        <w:spacing w:after="0" w:line="253" w:lineRule="auto"/>
        <w:rPr>
          <w:sz w:val="20"/>
          <w:szCs w:val="20"/>
          <w:color w:val="auto"/>
        </w:rPr>
      </w:pPr>
      <w:r>
        <w:rPr>
          <w:rFonts w:ascii="Arial" w:cs="Arial" w:eastAsia="Arial" w:hAnsi="Arial"/>
          <w:sz w:val="19"/>
          <w:szCs w:val="19"/>
          <w:color w:val="auto"/>
        </w:rPr>
        <w:t>See Note 21 to the financial statements for a discussion of our commitments and contingencies, including those related to environmental matters and toxic tort litigation.</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Instruments</w:t>
      </w:r>
    </w:p>
    <w:p>
      <w:pPr>
        <w:spacing w:after="0" w:line="130"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As a result of our global operating and financing activities, we are exposed to market risks from changes in interest and foreign currency exchange rates and commodity prices, which may adversely 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We do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45" w:name="page46"/>
    <w:bookmarkEnd w:id="45"/>
    <w:p>
      <w:pPr>
        <w:ind w:right="100"/>
        <w:spacing w:after="0" w:line="242" w:lineRule="auto"/>
        <w:rPr>
          <w:sz w:val="20"/>
          <w:szCs w:val="20"/>
          <w:color w:val="auto"/>
        </w:rPr>
      </w:pPr>
      <w:r>
        <w:rPr>
          <w:rFonts w:ascii="Arial" w:cs="Arial" w:eastAsia="Arial" w:hAnsi="Arial"/>
          <w:sz w:val="19"/>
          <w:szCs w:val="19"/>
          <w:color w:val="auto"/>
        </w:rPr>
        <w:t>not use derivative financial instruments for trading or other speculative purposes and do not use leveraged derivative financial instruments. A summary of our accounting policies for derivative financial instruments is included in Note 1 to the financial statements. We also hold investments in marketable equity securities, which exposes us to market volatility, as discussed in Note 16 to the financial statements.</w:t>
      </w:r>
    </w:p>
    <w:p>
      <w:pPr>
        <w:spacing w:after="0" w:line="199"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We conduct our business on a multinational basis in a wide variety of foreign currencies. Our exposure to market risk from changes in foreign currency exchange rates arises from international financing activities between subsidiaries, foreign currency denominated monetary assets and liabilities and anticipated transactions arising from international trade. Our objective is to preserve the economic value of non-functional currency cash flows. We attempt to hedge transaction exposures with natural offsets to the fullest extent possible and, once these opportunities have been exhausted, through foreign currency forward and option agreements with third parties. Our principal currency exposures relate to the U.S. dollar, Euro, British pound, Canadian dollar, Hong Kong dollar, Mexican peso, Swiss franc, Czech koruna, Chinese renminbi, Indian rupee, and Singapore dollar.</w:t>
      </w:r>
    </w:p>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Our exposure to market risk from changes in interest rates relates primarily to our net debt and pension obligations. As described in Notes 14 and 16 to the financial statements, we issue both fixed and variable rate debt and use interest rate swaps to manage our exposure to interest rate movements and reduce overall borrowing costs.</w:t>
      </w:r>
    </w:p>
    <w:p>
      <w:pPr>
        <w:spacing w:after="0" w:line="87"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Financial instruments, including derivatives, expose us to counterparty credit risk for nonperformance and to market risk related to changes in interest or currency exchange rates. We manage our exposure to counterparty credit risk through specific minimum credit standards, diversification of counterparties, and procedures to monitor concentrations of credit risk. Our counterparties are substantial investment and commercial banks with significant experience using such derivative instruments. We monitor the impact of market risk on the fair value and expected future cash flows of our derivative and other financial instruments considering reasonably possible changes in interest and currency exchange rates and restrict the use of derivative financial instruments to hedging activities.</w:t>
      </w:r>
    </w:p>
    <w:p>
      <w:pPr>
        <w:spacing w:after="0" w:line="94" w:lineRule="exact"/>
        <w:rPr>
          <w:sz w:val="20"/>
          <w:szCs w:val="20"/>
          <w:color w:val="auto"/>
        </w:rPr>
      </w:pPr>
    </w:p>
    <w:p>
      <w:pPr>
        <w:ind w:right="400" w:firstLine="357"/>
        <w:spacing w:after="0" w:line="241" w:lineRule="auto"/>
        <w:rPr>
          <w:sz w:val="20"/>
          <w:szCs w:val="20"/>
          <w:color w:val="auto"/>
        </w:rPr>
      </w:pPr>
      <w:r>
        <w:rPr>
          <w:rFonts w:ascii="Arial" w:cs="Arial" w:eastAsia="Arial" w:hAnsi="Arial"/>
          <w:sz w:val="19"/>
          <w:szCs w:val="19"/>
          <w:color w:val="auto"/>
        </w:rPr>
        <w:t>The following table illustrates the potential change in fair value for interest rate sensitive instruments based on a hypothetical immediate one-percentage-point increase in interest rates across all maturities, the potential change in fair value for foreign exchange rate sensitive instruments based on a 10 percent weakening of the U.S. dollar versus local currency exchange rates across all maturities, and the potential change in fair value of contracts hedging commodity purchases based on a 20 percent decrease in the price of the underlying commodity across all maturities at December 31, 2009 and 2008.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Estimated</w:t>
            </w:r>
          </w:p>
        </w:tc>
      </w:tr>
      <w:tr>
        <w:trPr>
          <w:trHeight w:val="176"/>
        </w:trPr>
        <w:tc>
          <w:tcPr>
            <w:tcW w:w="4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68"/>
              <w:spacing w:after="0" w:line="176" w:lineRule="exact"/>
              <w:rPr>
                <w:sz w:val="20"/>
                <w:szCs w:val="20"/>
                <w:color w:val="auto"/>
              </w:rPr>
            </w:pPr>
            <w:r>
              <w:rPr>
                <w:rFonts w:ascii="Arial" w:cs="Arial" w:eastAsia="Arial" w:hAnsi="Arial"/>
                <w:sz w:val="16"/>
                <w:szCs w:val="16"/>
                <w:b w:val="1"/>
                <w:bCs w:val="1"/>
                <w:color w:val="auto"/>
                <w:w w:val="98"/>
              </w:rPr>
              <w:t>Increase</w:t>
            </w:r>
          </w:p>
        </w:tc>
      </w:tr>
      <w:tr>
        <w:trPr>
          <w:trHeight w:val="176"/>
        </w:trPr>
        <w:tc>
          <w:tcPr>
            <w:tcW w:w="4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Face or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(Decrease)</w:t>
            </w:r>
          </w:p>
        </w:tc>
      </w:tr>
      <w:tr>
        <w:trPr>
          <w:trHeight w:val="176"/>
        </w:trPr>
        <w:tc>
          <w:tcPr>
            <w:tcW w:w="4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Notional</w:t>
            </w:r>
          </w:p>
        </w:tc>
        <w:tc>
          <w:tcPr>
            <w:tcW w:w="280" w:type="dxa"/>
            <w:vAlign w:val="bottom"/>
          </w:tcPr>
          <w:p>
            <w:pPr>
              <w:spacing w:after="0"/>
              <w:rPr>
                <w:sz w:val="15"/>
                <w:szCs w:val="15"/>
                <w:color w:val="auto"/>
              </w:rPr>
            </w:pPr>
          </w:p>
        </w:tc>
        <w:tc>
          <w:tcPr>
            <w:tcW w:w="940" w:type="dxa"/>
            <w:vAlign w:val="bottom"/>
          </w:tcPr>
          <w:p>
            <w:pPr>
              <w:jc w:val="right"/>
              <w:ind w:right="56"/>
              <w:spacing w:after="0" w:line="176"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5"/>
                <w:szCs w:val="15"/>
                <w:color w:val="auto"/>
              </w:rPr>
            </w:pPr>
          </w:p>
        </w:tc>
        <w:tc>
          <w:tcPr>
            <w:tcW w:w="940" w:type="dxa"/>
            <w:vAlign w:val="bottom"/>
          </w:tcPr>
          <w:p>
            <w:pPr>
              <w:jc w:val="right"/>
              <w:ind w:right="255"/>
              <w:spacing w:after="0" w:line="176" w:lineRule="exact"/>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68"/>
              <w:spacing w:after="0" w:line="176" w:lineRule="exact"/>
              <w:rPr>
                <w:sz w:val="20"/>
                <w:szCs w:val="20"/>
                <w:color w:val="auto"/>
              </w:rPr>
            </w:pPr>
            <w:r>
              <w:rPr>
                <w:rFonts w:ascii="Arial" w:cs="Arial" w:eastAsia="Arial" w:hAnsi="Arial"/>
                <w:sz w:val="16"/>
                <w:szCs w:val="16"/>
                <w:b w:val="1"/>
                <w:bCs w:val="1"/>
                <w:color w:val="auto"/>
                <w:w w:val="99"/>
              </w:rPr>
              <w:t>In Fair</w:t>
            </w:r>
          </w:p>
        </w:tc>
      </w:tr>
      <w:tr>
        <w:trPr>
          <w:trHeight w:val="204"/>
        </w:trPr>
        <w:tc>
          <w:tcPr>
            <w:tcW w:w="4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7"/>
                <w:szCs w:val="17"/>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Value(1)</w:t>
            </w:r>
          </w:p>
        </w:tc>
        <w:tc>
          <w:tcPr>
            <w:tcW w:w="300" w:type="dxa"/>
            <w:vAlign w:val="bottom"/>
          </w:tcPr>
          <w:p>
            <w:pPr>
              <w:spacing w:after="0"/>
              <w:rPr>
                <w:sz w:val="17"/>
                <w:szCs w:val="17"/>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Value(1)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6"/>
                <w:szCs w:val="16"/>
                <w:b w:val="1"/>
                <w:bCs w:val="1"/>
                <w:color w:val="auto"/>
                <w:w w:val="98"/>
              </w:rPr>
              <w:t>Value</w:t>
            </w:r>
          </w:p>
        </w:tc>
      </w:tr>
      <w:tr>
        <w:trPr>
          <w:trHeight w:val="264"/>
        </w:trPr>
        <w:tc>
          <w:tcPr>
            <w:tcW w:w="49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80" w:type="dxa"/>
            <w:vAlign w:val="bottom"/>
            <w:gridSpan w:val="3"/>
          </w:tcPr>
          <w:p>
            <w:pPr>
              <w:jc w:val="right"/>
              <w:ind w:right="255"/>
              <w:spacing w:after="0"/>
              <w:rPr>
                <w:sz w:val="20"/>
                <w:szCs w:val="20"/>
                <w:color w:val="auto"/>
              </w:rPr>
            </w:pPr>
            <w:r>
              <w:rPr>
                <w:rFonts w:ascii="Arial" w:cs="Arial" w:eastAsia="Arial" w:hAnsi="Arial"/>
                <w:sz w:val="16"/>
                <w:szCs w:val="16"/>
                <w:b w:val="1"/>
                <w:bCs w:val="1"/>
                <w:color w:val="auto"/>
              </w:rPr>
              <w:t>(Dollars in millions)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3"/>
        </w:trPr>
        <w:tc>
          <w:tcPr>
            <w:tcW w:w="49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December 31, 2009</w:t>
            </w:r>
          </w:p>
        </w:tc>
        <w:tc>
          <w:tcPr>
            <w:tcW w:w="184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9"/>
                <w:szCs w:val="19"/>
                <w:b w:val="1"/>
                <w:bCs w:val="1"/>
                <w:color w:val="auto"/>
              </w:rPr>
              <w:t>Interest Rate Sensitive Instruments</w:t>
            </w: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4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Long-term debt (including current maturities)</w:t>
            </w:r>
          </w:p>
        </w:tc>
        <w:tc>
          <w:tcPr>
            <w:tcW w:w="2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(7,264 )</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(7,262 )</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(7,677 )</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(421 )</w:t>
            </w:r>
          </w:p>
        </w:tc>
      </w:tr>
      <w:tr>
        <w:trPr>
          <w:trHeight w:val="270"/>
        </w:trPr>
        <w:tc>
          <w:tcPr>
            <w:tcW w:w="4920" w:type="dxa"/>
            <w:vAlign w:val="bottom"/>
          </w:tcPr>
          <w:p>
            <w:pPr>
              <w:ind w:left="20"/>
              <w:spacing w:after="0"/>
              <w:rPr>
                <w:sz w:val="20"/>
                <w:szCs w:val="20"/>
                <w:color w:val="auto"/>
              </w:rPr>
            </w:pPr>
            <w:r>
              <w:rPr>
                <w:rFonts w:ascii="Arial" w:cs="Arial" w:eastAsia="Arial" w:hAnsi="Arial"/>
                <w:sz w:val="19"/>
                <w:szCs w:val="19"/>
                <w:color w:val="auto"/>
              </w:rPr>
              <w:t>Interest rate swap agreements</w:t>
            </w:r>
          </w:p>
        </w:tc>
        <w:tc>
          <w:tcPr>
            <w:tcW w:w="2780" w:type="dxa"/>
            <w:vAlign w:val="bottom"/>
            <w:gridSpan w:val="2"/>
          </w:tcPr>
          <w:p>
            <w:pPr>
              <w:jc w:val="right"/>
              <w:ind w:right="76"/>
              <w:spacing w:after="0"/>
              <w:rPr>
                <w:sz w:val="20"/>
                <w:szCs w:val="20"/>
                <w:color w:val="auto"/>
              </w:rPr>
            </w:pPr>
            <w:r>
              <w:rPr>
                <w:rFonts w:ascii="Arial" w:cs="Arial" w:eastAsia="Arial" w:hAnsi="Arial"/>
                <w:sz w:val="19"/>
                <w:szCs w:val="19"/>
                <w:color w:val="auto"/>
              </w:rPr>
              <w:t>600</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(2 )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(2 )</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9"/>
                <w:szCs w:val="19"/>
                <w:color w:val="auto"/>
              </w:rPr>
              <w:t>(23 )</w:t>
            </w:r>
          </w:p>
        </w:tc>
      </w:tr>
      <w:tr>
        <w:trPr>
          <w:trHeight w:val="243"/>
        </w:trPr>
        <w:tc>
          <w:tcPr>
            <w:tcW w:w="49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Foreign Exchange Rate Sensitive Instruments</w:t>
            </w:r>
          </w:p>
        </w:tc>
        <w:tc>
          <w:tcPr>
            <w:tcW w:w="184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9"/>
                <w:szCs w:val="19"/>
                <w:color w:val="auto"/>
              </w:rPr>
              <w:t>Foreign currency exchange contracts(2)</w:t>
            </w:r>
          </w:p>
        </w:tc>
        <w:tc>
          <w:tcPr>
            <w:tcW w:w="2780" w:type="dxa"/>
            <w:vAlign w:val="bottom"/>
            <w:gridSpan w:val="2"/>
          </w:tcPr>
          <w:p>
            <w:pPr>
              <w:jc w:val="right"/>
              <w:ind w:right="76"/>
              <w:spacing w:after="0"/>
              <w:rPr>
                <w:sz w:val="20"/>
                <w:szCs w:val="20"/>
                <w:color w:val="auto"/>
              </w:rPr>
            </w:pPr>
            <w:r>
              <w:rPr>
                <w:rFonts w:ascii="Arial" w:cs="Arial" w:eastAsia="Arial" w:hAnsi="Arial"/>
                <w:sz w:val="19"/>
                <w:szCs w:val="19"/>
                <w:color w:val="auto"/>
              </w:rPr>
              <w:t>2,959</w:t>
            </w:r>
          </w:p>
        </w:tc>
        <w:tc>
          <w:tcPr>
            <w:tcW w:w="1220" w:type="dxa"/>
            <w:vAlign w:val="bottom"/>
            <w:gridSpan w:val="2"/>
          </w:tcPr>
          <w:p>
            <w:pPr>
              <w:jc w:val="right"/>
              <w:ind w:right="56"/>
              <w:spacing w:after="0"/>
              <w:rPr>
                <w:sz w:val="20"/>
                <w:szCs w:val="20"/>
                <w:color w:val="auto"/>
              </w:rPr>
            </w:pPr>
            <w:r>
              <w:rPr>
                <w:rFonts w:ascii="Arial" w:cs="Arial" w:eastAsia="Arial" w:hAnsi="Arial"/>
                <w:sz w:val="19"/>
                <w:szCs w:val="19"/>
                <w:color w:val="auto"/>
              </w:rPr>
              <w:t>8</w:t>
            </w:r>
          </w:p>
        </w:tc>
        <w:tc>
          <w:tcPr>
            <w:tcW w:w="1240" w:type="dxa"/>
            <w:vAlign w:val="bottom"/>
            <w:gridSpan w:val="2"/>
          </w:tcPr>
          <w:p>
            <w:pPr>
              <w:jc w:val="right"/>
              <w:ind w:right="75"/>
              <w:spacing w:after="0"/>
              <w:rPr>
                <w:sz w:val="20"/>
                <w:szCs w:val="20"/>
                <w:color w:val="auto"/>
              </w:rPr>
            </w:pPr>
            <w:r>
              <w:rPr>
                <w:rFonts w:ascii="Arial" w:cs="Arial" w:eastAsia="Arial" w:hAnsi="Arial"/>
                <w:sz w:val="19"/>
                <w:szCs w:val="19"/>
                <w:color w:val="auto"/>
              </w:rPr>
              <w:t>8</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9"/>
                <w:szCs w:val="19"/>
                <w:color w:val="auto"/>
              </w:rPr>
              <w:t>79</w:t>
            </w:r>
          </w:p>
        </w:tc>
      </w:tr>
      <w:tr>
        <w:trPr>
          <w:trHeight w:val="243"/>
        </w:trPr>
        <w:tc>
          <w:tcPr>
            <w:tcW w:w="49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Commodity Price Sensitive Instruments</w:t>
            </w:r>
          </w:p>
        </w:tc>
        <w:tc>
          <w:tcPr>
            <w:tcW w:w="184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9"/>
                <w:szCs w:val="19"/>
                <w:color w:val="auto"/>
              </w:rPr>
              <w:t>Forward commodity contracts(3)</w:t>
            </w:r>
          </w:p>
        </w:tc>
        <w:tc>
          <w:tcPr>
            <w:tcW w:w="2780" w:type="dxa"/>
            <w:vAlign w:val="bottom"/>
            <w:gridSpan w:val="2"/>
          </w:tcPr>
          <w:p>
            <w:pPr>
              <w:jc w:val="right"/>
              <w:ind w:right="76"/>
              <w:spacing w:after="0"/>
              <w:rPr>
                <w:sz w:val="20"/>
                <w:szCs w:val="20"/>
                <w:color w:val="auto"/>
              </w:rPr>
            </w:pPr>
            <w:r>
              <w:rPr>
                <w:rFonts w:ascii="Arial" w:cs="Arial" w:eastAsia="Arial" w:hAnsi="Arial"/>
                <w:sz w:val="19"/>
                <w:szCs w:val="19"/>
                <w:color w:val="auto"/>
              </w:rPr>
              <w:t>52</w:t>
            </w:r>
          </w:p>
        </w:tc>
        <w:tc>
          <w:tcPr>
            <w:tcW w:w="1220" w:type="dxa"/>
            <w:vAlign w:val="bottom"/>
            <w:gridSpan w:val="2"/>
          </w:tcPr>
          <w:p>
            <w:pPr>
              <w:jc w:val="right"/>
              <w:ind w:right="56"/>
              <w:spacing w:after="0"/>
              <w:rPr>
                <w:sz w:val="20"/>
                <w:szCs w:val="20"/>
                <w:color w:val="auto"/>
              </w:rPr>
            </w:pPr>
            <w:r>
              <w:rPr>
                <w:rFonts w:ascii="Arial" w:cs="Arial" w:eastAsia="Arial" w:hAnsi="Arial"/>
                <w:sz w:val="19"/>
                <w:szCs w:val="19"/>
                <w:color w:val="auto"/>
              </w:rPr>
              <w:t>4</w:t>
            </w:r>
          </w:p>
        </w:tc>
        <w:tc>
          <w:tcPr>
            <w:tcW w:w="1240" w:type="dxa"/>
            <w:vAlign w:val="bottom"/>
            <w:gridSpan w:val="2"/>
          </w:tcPr>
          <w:p>
            <w:pPr>
              <w:jc w:val="right"/>
              <w:ind w:right="75"/>
              <w:spacing w:after="0"/>
              <w:rPr>
                <w:sz w:val="20"/>
                <w:szCs w:val="20"/>
                <w:color w:val="auto"/>
              </w:rPr>
            </w:pPr>
            <w:r>
              <w:rPr>
                <w:rFonts w:ascii="Arial" w:cs="Arial" w:eastAsia="Arial" w:hAnsi="Arial"/>
                <w:sz w:val="19"/>
                <w:szCs w:val="19"/>
                <w:color w:val="auto"/>
              </w:rPr>
              <w:t>4</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9"/>
                <w:szCs w:val="19"/>
                <w:color w:val="auto"/>
              </w:rPr>
              <w:t>(10 )</w:t>
            </w:r>
          </w:p>
        </w:tc>
      </w:tr>
      <w:tr>
        <w:trPr>
          <w:trHeight w:val="243"/>
        </w:trPr>
        <w:tc>
          <w:tcPr>
            <w:tcW w:w="49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December 31, 2008</w:t>
            </w:r>
          </w:p>
        </w:tc>
        <w:tc>
          <w:tcPr>
            <w:tcW w:w="184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9"/>
                <w:szCs w:val="19"/>
                <w:b w:val="1"/>
                <w:bCs w:val="1"/>
                <w:color w:val="auto"/>
              </w:rPr>
              <w:t>Interest Rate Sensitive Instruments</w:t>
            </w: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4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Long-term debt (including current maturities)</w:t>
            </w:r>
          </w:p>
        </w:tc>
        <w:tc>
          <w:tcPr>
            <w:tcW w:w="2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(6,888 )</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(6,888 )</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(7,082 )</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(354 )</w:t>
            </w:r>
          </w:p>
        </w:tc>
      </w:tr>
      <w:tr>
        <w:trPr>
          <w:trHeight w:val="270"/>
        </w:trPr>
        <w:tc>
          <w:tcPr>
            <w:tcW w:w="4920" w:type="dxa"/>
            <w:vAlign w:val="bottom"/>
          </w:tcPr>
          <w:p>
            <w:pPr>
              <w:ind w:left="20"/>
              <w:spacing w:after="0"/>
              <w:rPr>
                <w:sz w:val="20"/>
                <w:szCs w:val="20"/>
                <w:color w:val="auto"/>
              </w:rPr>
            </w:pPr>
            <w:r>
              <w:rPr>
                <w:rFonts w:ascii="Arial" w:cs="Arial" w:eastAsia="Arial" w:hAnsi="Arial"/>
                <w:sz w:val="19"/>
                <w:szCs w:val="19"/>
                <w:color w:val="auto"/>
              </w:rPr>
              <w:t>Interest rate swap agreements</w:t>
            </w:r>
          </w:p>
        </w:tc>
        <w:tc>
          <w:tcPr>
            <w:tcW w:w="1840" w:type="dxa"/>
            <w:vAlign w:val="bottom"/>
          </w:tcPr>
          <w:p>
            <w:pPr>
              <w:spacing w:after="0"/>
              <w:rPr>
                <w:sz w:val="23"/>
                <w:szCs w:val="23"/>
                <w:color w:val="auto"/>
              </w:rPr>
            </w:pPr>
          </w:p>
        </w:tc>
        <w:tc>
          <w:tcPr>
            <w:tcW w:w="940" w:type="dxa"/>
            <w:vAlign w:val="bottom"/>
          </w:tcPr>
          <w:p>
            <w:pPr>
              <w:jc w:val="right"/>
              <w:ind w:right="7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940" w:type="dxa"/>
            <w:vAlign w:val="bottom"/>
          </w:tcPr>
          <w:p>
            <w:pPr>
              <w:jc w:val="right"/>
              <w:ind w:right="5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40" w:type="dxa"/>
            <w:vAlign w:val="bottom"/>
          </w:tcPr>
          <w:p>
            <w:pPr>
              <w:jc w:val="right"/>
              <w:ind w:right="7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9"/>
                <w:szCs w:val="19"/>
                <w:color w:val="auto"/>
              </w:rPr>
              <w:t>—</w:t>
            </w:r>
          </w:p>
        </w:tc>
      </w:tr>
      <w:tr>
        <w:trPr>
          <w:trHeight w:val="243"/>
        </w:trPr>
        <w:tc>
          <w:tcPr>
            <w:tcW w:w="49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Foreign Exchange Rate Sensitive Instruments</w:t>
            </w:r>
          </w:p>
        </w:tc>
        <w:tc>
          <w:tcPr>
            <w:tcW w:w="184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9"/>
                <w:szCs w:val="19"/>
                <w:color w:val="auto"/>
              </w:rPr>
              <w:t>Foreign currency exchange contracts(2)</w:t>
            </w:r>
          </w:p>
        </w:tc>
        <w:tc>
          <w:tcPr>
            <w:tcW w:w="2780" w:type="dxa"/>
            <w:vAlign w:val="bottom"/>
            <w:gridSpan w:val="2"/>
          </w:tcPr>
          <w:p>
            <w:pPr>
              <w:jc w:val="right"/>
              <w:ind w:right="76"/>
              <w:spacing w:after="0"/>
              <w:rPr>
                <w:sz w:val="20"/>
                <w:szCs w:val="20"/>
                <w:color w:val="auto"/>
              </w:rPr>
            </w:pPr>
            <w:r>
              <w:rPr>
                <w:rFonts w:ascii="Arial" w:cs="Arial" w:eastAsia="Arial" w:hAnsi="Arial"/>
                <w:sz w:val="19"/>
                <w:szCs w:val="19"/>
                <w:color w:val="auto"/>
              </w:rPr>
              <w:t>3,030</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(27 )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(27 )</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9"/>
                <w:szCs w:val="19"/>
                <w:color w:val="auto"/>
              </w:rPr>
              <w:t>126</w:t>
            </w:r>
          </w:p>
        </w:tc>
      </w:tr>
      <w:tr>
        <w:trPr>
          <w:trHeight w:val="243"/>
        </w:trPr>
        <w:tc>
          <w:tcPr>
            <w:tcW w:w="49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Commodity Price Sensitive Instruments</w:t>
            </w:r>
          </w:p>
        </w:tc>
        <w:tc>
          <w:tcPr>
            <w:tcW w:w="184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4"/>
        </w:trPr>
        <w:tc>
          <w:tcPr>
            <w:tcW w:w="4920" w:type="dxa"/>
            <w:vAlign w:val="bottom"/>
          </w:tcPr>
          <w:p>
            <w:pPr>
              <w:ind w:left="20"/>
              <w:spacing w:after="0"/>
              <w:rPr>
                <w:sz w:val="20"/>
                <w:szCs w:val="20"/>
                <w:color w:val="auto"/>
              </w:rPr>
            </w:pPr>
            <w:r>
              <w:rPr>
                <w:rFonts w:ascii="Arial" w:cs="Arial" w:eastAsia="Arial" w:hAnsi="Arial"/>
                <w:sz w:val="19"/>
                <w:szCs w:val="19"/>
                <w:color w:val="auto"/>
              </w:rPr>
              <w:t>Forward commodity contracts(3)</w:t>
            </w:r>
          </w:p>
        </w:tc>
        <w:tc>
          <w:tcPr>
            <w:tcW w:w="2780" w:type="dxa"/>
            <w:vAlign w:val="bottom"/>
            <w:gridSpan w:val="2"/>
          </w:tcPr>
          <w:p>
            <w:pPr>
              <w:jc w:val="right"/>
              <w:ind w:right="76"/>
              <w:spacing w:after="0"/>
              <w:rPr>
                <w:sz w:val="20"/>
                <w:szCs w:val="20"/>
                <w:color w:val="auto"/>
              </w:rPr>
            </w:pPr>
            <w:r>
              <w:rPr>
                <w:rFonts w:ascii="Arial" w:cs="Arial" w:eastAsia="Arial" w:hAnsi="Arial"/>
                <w:sz w:val="19"/>
                <w:szCs w:val="19"/>
                <w:color w:val="auto"/>
              </w:rPr>
              <w:t>8</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(4 )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(4 )</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9"/>
                <w:szCs w:val="19"/>
                <w:color w:val="auto"/>
              </w:rPr>
              <w:t>(1 )</w:t>
            </w:r>
          </w:p>
        </w:tc>
      </w:tr>
      <w:tr>
        <w:trPr>
          <w:trHeight w:val="338"/>
        </w:trPr>
        <w:tc>
          <w:tcPr>
            <w:tcW w:w="4920" w:type="dxa"/>
            <w:vAlign w:val="bottom"/>
          </w:tcPr>
          <w:p>
            <w:pPr>
              <w:spacing w:after="0"/>
              <w:rPr>
                <w:sz w:val="24"/>
                <w:szCs w:val="24"/>
                <w:color w:val="auto"/>
              </w:rPr>
            </w:pPr>
          </w:p>
        </w:tc>
        <w:tc>
          <w:tcPr>
            <w:tcW w:w="1840" w:type="dxa"/>
            <w:vAlign w:val="bottom"/>
          </w:tcPr>
          <w:p>
            <w:pPr>
              <w:jc w:val="right"/>
              <w:ind w:right="843"/>
              <w:spacing w:after="0"/>
              <w:rPr>
                <w:sz w:val="20"/>
                <w:szCs w:val="20"/>
                <w:color w:val="auto"/>
              </w:rPr>
            </w:pPr>
            <w:r>
              <w:rPr>
                <w:rFonts w:ascii="Arial" w:cs="Arial" w:eastAsia="Arial" w:hAnsi="Arial"/>
                <w:sz w:val="19"/>
                <w:szCs w:val="19"/>
                <w:color w:val="auto"/>
              </w:rPr>
              <w:t>43</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9"/>
        </w:trPr>
        <w:tc>
          <w:tcPr>
            <w:tcW w:w="49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6" w:name="page47"/>
    <w:bookmarkEnd w:id="46"/>
    <w:p>
      <w:pPr>
        <w:ind w:left="400" w:hanging="332"/>
        <w:spacing w:after="0"/>
        <w:tabs>
          <w:tab w:leader="none" w:pos="400" w:val="left"/>
        </w:tabs>
        <w:numPr>
          <w:ilvl w:val="0"/>
          <w:numId w:val="25"/>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70230"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230" cy="27940"/>
                    </a:xfrm>
                    <a:prstGeom prst="rect">
                      <a:avLst/>
                    </a:prstGeom>
                    <a:noFill/>
                  </pic:spPr>
                </pic:pic>
              </a:graphicData>
            </a:graphic>
          </wp:anchor>
        </w:drawing>
        <w:t>Asset or (liability).</w:t>
      </w:r>
    </w:p>
    <w:p>
      <w:pPr>
        <w:spacing w:after="0" w:line="119" w:lineRule="exact"/>
        <w:rPr>
          <w:rFonts w:ascii="Arial" w:cs="Arial" w:eastAsia="Arial" w:hAnsi="Arial"/>
          <w:sz w:val="19"/>
          <w:szCs w:val="19"/>
          <w:color w:val="auto"/>
        </w:rPr>
      </w:pPr>
    </w:p>
    <w:p>
      <w:pPr>
        <w:ind w:left="400" w:right="760" w:hanging="332"/>
        <w:spacing w:after="0" w:line="253" w:lineRule="auto"/>
        <w:tabs>
          <w:tab w:leader="none" w:pos="4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Changes in the fair value of foreign currency exchange contracts are offset by changes in the fair value or cash flows of underlying hedged foreign currency transactions.</w:t>
      </w:r>
    </w:p>
    <w:p>
      <w:pPr>
        <w:spacing w:after="0" w:line="93" w:lineRule="exact"/>
        <w:rPr>
          <w:rFonts w:ascii="Arial" w:cs="Arial" w:eastAsia="Arial" w:hAnsi="Arial"/>
          <w:sz w:val="19"/>
          <w:szCs w:val="19"/>
          <w:color w:val="auto"/>
        </w:rPr>
      </w:pPr>
    </w:p>
    <w:p>
      <w:pPr>
        <w:ind w:left="400" w:right="820" w:hanging="332"/>
        <w:spacing w:after="0" w:line="253" w:lineRule="auto"/>
        <w:tabs>
          <w:tab w:leader="none" w:pos="4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Changes in the fair value of forward commodity contracts are offset by changes in the cash flows of underlying hedged commodity transactions.</w:t>
      </w:r>
    </w:p>
    <w:p>
      <w:pPr>
        <w:spacing w:after="0" w:line="188" w:lineRule="exact"/>
        <w:rPr>
          <w:sz w:val="20"/>
          <w:szCs w:val="20"/>
          <w:color w:val="auto"/>
        </w:rPr>
      </w:pPr>
    </w:p>
    <w:p>
      <w:pPr>
        <w:ind w:right="160" w:firstLine="357"/>
        <w:spacing w:after="0" w:line="242" w:lineRule="auto"/>
        <w:rPr>
          <w:sz w:val="20"/>
          <w:szCs w:val="20"/>
          <w:color w:val="auto"/>
        </w:rPr>
      </w:pPr>
      <w:r>
        <w:rPr>
          <w:rFonts w:ascii="Arial" w:cs="Arial" w:eastAsia="Arial" w:hAnsi="Arial"/>
          <w:sz w:val="19"/>
          <w:szCs w:val="19"/>
          <w:color w:val="auto"/>
        </w:rPr>
        <w:t>The above discussion of our procedures to monitor market risk and the estimated changes in fair value resulting from our sensitivity analyses are forward-looking statements of market risk assuming certain adverse market conditions occur. Actual results in the future may differ materially from these estimated results due to actual developments in the global financial markets. The methods used by us to assess and mitigate risk discussed above should not be considered projections of future events.</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CRITICAL ACCOUNTING POLICIES</w:t>
      </w:r>
    </w:p>
    <w:p>
      <w:pPr>
        <w:spacing w:after="0" w:line="133"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91"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We have discussed the selection, application and disclosure of these critical accounting policies with the Audit Committee of our Board of Directors and our Independent Registered Public Accountants. New accounting standards effective in 2009 which had a material impact on our consolidated financial statements are described in the Recent Accounting Pronouncements section in Note 1 to the financial statements.</w:t>
      </w:r>
    </w:p>
    <w:p>
      <w:pPr>
        <w:spacing w:after="0" w:line="67" w:lineRule="exact"/>
        <w:rPr>
          <w:sz w:val="20"/>
          <w:szCs w:val="20"/>
          <w:color w:val="auto"/>
        </w:rPr>
      </w:pPr>
    </w:p>
    <w:p>
      <w:pPr>
        <w:ind w:firstLine="357"/>
        <w:spacing w:after="0"/>
        <w:rPr>
          <w:sz w:val="20"/>
          <w:szCs w:val="20"/>
          <w:color w:val="auto"/>
        </w:rPr>
      </w:pPr>
      <w:r>
        <w:rPr>
          <w:rFonts w:ascii="Arial" w:cs="Arial" w:eastAsia="Arial" w:hAnsi="Arial"/>
          <w:sz w:val="19"/>
          <w:szCs w:val="19"/>
          <w:b w:val="1"/>
          <w:bCs w:val="1"/>
          <w:i w:val="1"/>
          <w:iCs w:val="1"/>
          <w:color w:val="auto"/>
        </w:rPr>
        <w:t>Contingent Liabilities</w:t>
      </w:r>
      <w:r>
        <w:rPr>
          <w:rFonts w:ascii="Arial" w:cs="Arial" w:eastAsia="Arial" w:hAnsi="Arial"/>
          <w:sz w:val="19"/>
          <w:szCs w:val="19"/>
          <w:color w:val="auto"/>
        </w:rPr>
        <w:t>—We are subject to a number of lawsuits, investigations and claims (some of which involve substantial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dollar amounts) that arise out of the conduct of our global business operations or those of previously owned entities. These contingencies primarily relate to product liabilities (including asbestos), contractual matters, and environmental, health and safety matters. We recognize a liability for any contingency that is probable of occurrence and reasonably estimable.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For a discussion of our contingencies related to environmental, asbestos and other matters, including management’s judgment applied in the recognition and measurement of specific liabilities, see Notes 1 and 21 to the financial statements.</w:t>
      </w:r>
    </w:p>
    <w:p>
      <w:pPr>
        <w:spacing w:after="0" w:line="77"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b w:val="1"/>
          <w:bCs w:val="1"/>
          <w:i w:val="1"/>
          <w:iCs w:val="1"/>
          <w:color w:val="auto"/>
        </w:rPr>
        <w:t>Asbestos Related Contingencies and Insurance Recoveries</w:t>
      </w:r>
      <w:r>
        <w:rPr>
          <w:rFonts w:ascii="Arial" w:cs="Arial" w:eastAsia="Arial" w:hAnsi="Arial"/>
          <w:sz w:val="19"/>
          <w:szCs w:val="19"/>
          <w:color w:val="auto"/>
        </w:rPr>
        <w:t>—We are a defendant in personal injury actions related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products containing asbestos (refractory and friction products). We recognize a liability for any asbestos related contingency that is probable of occurrence and reasonably estimable. Regarding North American Refractories Company (NARCO) asbestos related claims, we accrue for pending claims based on terms and conditions, including evidentiary requirements, in definitive agreements or agreements in principle with current claimants. We also accrued for the probable value of future NARCO asbestos related claims through 2018 based on the disease criteria and payment values contained in the NARCO trust as described in Note 21 to the financial statements. In light of the inherent uncertainties in making long term projections regarding claims filing rates and disease manifestation, we do not believe that we have a reasonable basis for estimating NARCO asbestos claims beyond 2018. Regarding Bendix asbestos related claims, we accrue for the estimated value of</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29" w:right="279" w:bottom="1440" w:gutter="0" w:footer="0" w:header="0"/>
        </w:sectPr>
      </w:pPr>
    </w:p>
    <w:bookmarkStart w:id="47" w:name="page48"/>
    <w:bookmarkEnd w:id="47"/>
    <w:p>
      <w:pPr>
        <w:ind w:right="80"/>
        <w:spacing w:after="0" w:line="239" w:lineRule="auto"/>
        <w:rPr>
          <w:sz w:val="20"/>
          <w:szCs w:val="20"/>
          <w:color w:val="auto"/>
        </w:rPr>
      </w:pPr>
      <w:r>
        <w:rPr>
          <w:rFonts w:ascii="Arial" w:cs="Arial" w:eastAsia="Arial" w:hAnsi="Arial"/>
          <w:sz w:val="19"/>
          <w:szCs w:val="19"/>
          <w:color w:val="auto"/>
        </w:rPr>
        <w:t>pending claims based on expected claim resolution values and historic dismissal rates. We also accrue for the estimated cost of future anticipated claims related to Bendix for the next five years based on our assessment of additional claims that may be brought against us and anticipated resolution values in the tort system. We value Bendix pending and future claims using the average resolution values for the previous four years. We will continue to update the expected resolution values used to estimate the cost of pending and future Bendix claims during the fourth quarter each year. For additional information see Note 21 to the financial statements. We continually assess the likelihood of any adverse judgments or outcomes to our contingencies, as well as potential ranges of probable losses and recognize a liability, if any, for these contingencies based on an analysis of each individual issue with the assistance of outside legal counsel and, if applicable, other experts.</w:t>
      </w:r>
    </w:p>
    <w:p>
      <w:pPr>
        <w:spacing w:after="0" w:line="204" w:lineRule="exact"/>
        <w:rPr>
          <w:sz w:val="20"/>
          <w:szCs w:val="20"/>
          <w:color w:val="auto"/>
        </w:rPr>
      </w:pPr>
    </w:p>
    <w:p>
      <w:pPr>
        <w:ind w:firstLine="357"/>
        <w:spacing w:after="0" w:line="238" w:lineRule="auto"/>
        <w:rPr>
          <w:sz w:val="20"/>
          <w:szCs w:val="20"/>
          <w:color w:val="auto"/>
        </w:rPr>
      </w:pPr>
      <w:r>
        <w:rPr>
          <w:rFonts w:ascii="Arial" w:cs="Arial" w:eastAsia="Arial" w:hAnsi="Arial"/>
          <w:sz w:val="19"/>
          <w:szCs w:val="19"/>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 At December 31, 2009, we have recorded insurance receivables of $831 million that can be specifically allocated to NARCO related asbestos liabilities. We also have $1.9 billion in coverage remaining for Bendix related asbestos liabilities although there are gaps in our coverage due to insurance company insolvencies, certain uninsured periods and insurance settlements. Our insurance is with both the domestic insurance market and the London excess market.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 See Note 21 to the financial statements for a discussion of management’s judgments applied in the recognition and measurement of insurance recoveries for asbestos related liabilities.</w:t>
      </w:r>
    </w:p>
    <w:p>
      <w:pPr>
        <w:spacing w:after="0" w:line="75"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b w:val="1"/>
          <w:bCs w:val="1"/>
          <w:i w:val="1"/>
          <w:iCs w:val="1"/>
          <w:color w:val="auto"/>
        </w:rPr>
        <w:t>Defined Benefit Pension Plans</w:t>
      </w:r>
      <w:r>
        <w:rPr>
          <w:rFonts w:ascii="Arial" w:cs="Arial" w:eastAsia="Arial" w:hAnsi="Arial"/>
          <w:sz w:val="19"/>
          <w:szCs w:val="19"/>
          <w:color w:val="auto"/>
        </w:rPr>
        <w:t>—We maintain defined benefit pension plans covering a majority of our employees and retirees.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financial reporting purposes, net periodic pension expense is calculated based upon a number of actuarial assumptions, including a discount rate for plan obligations and an expected long-term rate of return on plan assets. We determine the expected long-term rate of return on plan assets utilizing historic and expected plan asset returns over varying long-term periods combined with current market conditions and broad asset mix considerations (see Note 22 to the financial statements for details on the actual various asset classes and targeted asset allocation percentages for our pension plans). The discount rate reflects the market rate on December 31 (measurement date) for high-quality fixed -income investments with maturities corresponding to our benefit obligations and is subject to change each year. Further information on all our major actuarial assumption is included in Note 22 to the financial statements.</w:t>
      </w:r>
    </w:p>
    <w:p>
      <w:pPr>
        <w:spacing w:after="0" w:line="314"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The key assumptions used in developing our 2009, 2008 and 2007 net periodic pension expense for our U.S. plans included the following:</w:t>
      </w:r>
    </w:p>
    <w:p>
      <w:pPr>
        <w:spacing w:after="0" w:line="78"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6240" w:type="dxa"/>
            <w:vAlign w:val="bottom"/>
          </w:tcPr>
          <w:p>
            <w:pPr>
              <w:spacing w:after="0"/>
              <w:rPr>
                <w:sz w:val="17"/>
                <w:szCs w:val="17"/>
                <w:color w:val="auto"/>
              </w:rPr>
            </w:pPr>
          </w:p>
        </w:tc>
        <w:tc>
          <w:tcPr>
            <w:tcW w:w="8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17"/>
                <w:szCs w:val="17"/>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2007</w:t>
            </w:r>
          </w:p>
        </w:tc>
      </w:tr>
      <w:tr>
        <w:trPr>
          <w:trHeight w:val="264"/>
        </w:trPr>
        <w:tc>
          <w:tcPr>
            <w:tcW w:w="6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Discount rate</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6.95 %</w:t>
            </w:r>
          </w:p>
        </w:tc>
        <w:tc>
          <w:tcPr>
            <w:tcW w:w="12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6.50 %</w:t>
            </w:r>
          </w:p>
        </w:tc>
        <w:tc>
          <w:tcPr>
            <w:tcW w:w="11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6.00 %</w:t>
            </w:r>
          </w:p>
        </w:tc>
      </w:tr>
      <w:tr>
        <w:trPr>
          <w:trHeight w:val="243"/>
        </w:trPr>
        <w:tc>
          <w:tcPr>
            <w:tcW w:w="6240" w:type="dxa"/>
            <w:vAlign w:val="bottom"/>
          </w:tcPr>
          <w:p>
            <w:pPr>
              <w:ind w:left="20"/>
              <w:spacing w:after="0"/>
              <w:rPr>
                <w:sz w:val="20"/>
                <w:szCs w:val="20"/>
                <w:color w:val="auto"/>
              </w:rPr>
            </w:pPr>
            <w:r>
              <w:rPr>
                <w:rFonts w:ascii="Arial" w:cs="Arial" w:eastAsia="Arial" w:hAnsi="Arial"/>
                <w:sz w:val="19"/>
                <w:szCs w:val="19"/>
                <w:color w:val="auto"/>
              </w:rPr>
              <w:t>Assets:</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2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Expected rate of return</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9 %</w:t>
            </w:r>
          </w:p>
        </w:tc>
        <w:tc>
          <w:tcPr>
            <w:tcW w:w="12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9 %</w:t>
            </w:r>
          </w:p>
        </w:tc>
        <w:tc>
          <w:tcPr>
            <w:tcW w:w="11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9 %</w:t>
            </w:r>
          </w:p>
        </w:tc>
      </w:tr>
      <w:tr>
        <w:trPr>
          <w:trHeight w:val="270"/>
        </w:trPr>
        <w:tc>
          <w:tcPr>
            <w:tcW w:w="6240" w:type="dxa"/>
            <w:vAlign w:val="bottom"/>
          </w:tcPr>
          <w:p>
            <w:pPr>
              <w:ind w:left="380"/>
              <w:spacing w:after="0"/>
              <w:rPr>
                <w:sz w:val="20"/>
                <w:szCs w:val="20"/>
                <w:color w:val="auto"/>
              </w:rPr>
            </w:pPr>
            <w:r>
              <w:rPr>
                <w:rFonts w:ascii="Arial" w:cs="Arial" w:eastAsia="Arial" w:hAnsi="Arial"/>
                <w:sz w:val="19"/>
                <w:szCs w:val="19"/>
                <w:color w:val="auto"/>
              </w:rPr>
              <w:t>Actual rate of return</w:t>
            </w:r>
          </w:p>
        </w:tc>
        <w:tc>
          <w:tcPr>
            <w:tcW w:w="800" w:type="dxa"/>
            <w:vAlign w:val="bottom"/>
          </w:tcPr>
          <w:p>
            <w:pPr>
              <w:jc w:val="right"/>
              <w:spacing w:after="0"/>
              <w:rPr>
                <w:sz w:val="20"/>
                <w:szCs w:val="20"/>
                <w:color w:val="auto"/>
              </w:rPr>
            </w:pPr>
            <w:r>
              <w:rPr>
                <w:rFonts w:ascii="Arial" w:cs="Arial" w:eastAsia="Arial" w:hAnsi="Arial"/>
                <w:sz w:val="19"/>
                <w:szCs w:val="19"/>
                <w:color w:val="auto"/>
              </w:rPr>
              <w:t>20 %</w:t>
            </w:r>
          </w:p>
        </w:tc>
        <w:tc>
          <w:tcPr>
            <w:tcW w:w="1200" w:type="dxa"/>
            <w:vAlign w:val="bottom"/>
            <w:gridSpan w:val="2"/>
          </w:tcPr>
          <w:p>
            <w:pPr>
              <w:jc w:val="right"/>
              <w:ind w:right="21"/>
              <w:spacing w:after="0"/>
              <w:rPr>
                <w:sz w:val="20"/>
                <w:szCs w:val="20"/>
                <w:color w:val="auto"/>
              </w:rPr>
            </w:pPr>
            <w:r>
              <w:rPr>
                <w:rFonts w:ascii="Arial" w:cs="Arial" w:eastAsia="Arial" w:hAnsi="Arial"/>
                <w:sz w:val="19"/>
                <w:szCs w:val="19"/>
                <w:color w:val="auto"/>
              </w:rPr>
              <w:t>(29 %)</w:t>
            </w:r>
          </w:p>
        </w:tc>
        <w:tc>
          <w:tcPr>
            <w:tcW w:w="1160" w:type="dxa"/>
            <w:vAlign w:val="bottom"/>
            <w:gridSpan w:val="2"/>
          </w:tcPr>
          <w:p>
            <w:pPr>
              <w:jc w:val="right"/>
              <w:ind w:right="1"/>
              <w:spacing w:after="0"/>
              <w:rPr>
                <w:sz w:val="20"/>
                <w:szCs w:val="20"/>
                <w:color w:val="auto"/>
              </w:rPr>
            </w:pPr>
            <w:r>
              <w:rPr>
                <w:rFonts w:ascii="Arial" w:cs="Arial" w:eastAsia="Arial" w:hAnsi="Arial"/>
                <w:sz w:val="19"/>
                <w:szCs w:val="19"/>
                <w:color w:val="auto"/>
              </w:rPr>
              <w:t>9 %</w:t>
            </w:r>
          </w:p>
        </w:tc>
      </w:tr>
      <w:tr>
        <w:trPr>
          <w:trHeight w:val="270"/>
        </w:trPr>
        <w:tc>
          <w:tcPr>
            <w:tcW w:w="62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Actual 10 year average annual compounded rate of return</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4 %</w:t>
            </w:r>
          </w:p>
        </w:tc>
        <w:tc>
          <w:tcPr>
            <w:tcW w:w="12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4 %</w:t>
            </w:r>
          </w:p>
        </w:tc>
        <w:tc>
          <w:tcPr>
            <w:tcW w:w="11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9 %</w:t>
            </w:r>
          </w:p>
        </w:tc>
      </w:tr>
    </w:tbl>
    <w:p>
      <w:pPr>
        <w:spacing w:after="0" w:line="108"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The discount rate can be volatile from year to year because it is determined based upon prevailing interest rates as of the measurement date. We will use a 5.75 percent discount rate in 2010, reflecting the decrease in the market interest rate environment since December 31, 2008. We plan to continue to use an expected rate of return on plan assets of 9 percent for 2010 as this is a long-term rate based on historical plan asset returns over varying long-term periods combined with current market conditions and broad asset mix considerations. The net losses for our pension plans were $7.6 billion at December</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48" w:name="page49"/>
    <w:bookmarkEnd w:id="48"/>
    <w:p>
      <w:pPr>
        <w:ind w:right="40"/>
        <w:spacing w:after="0" w:line="239" w:lineRule="auto"/>
        <w:rPr>
          <w:sz w:val="20"/>
          <w:szCs w:val="20"/>
          <w:color w:val="auto"/>
        </w:rPr>
      </w:pPr>
      <w:r>
        <w:rPr>
          <w:rFonts w:ascii="Arial" w:cs="Arial" w:eastAsia="Arial" w:hAnsi="Arial"/>
          <w:sz w:val="19"/>
          <w:szCs w:val="19"/>
          <w:color w:val="auto"/>
        </w:rPr>
        <w:t>31, 2009 compared with $6.0 billion at December 31, 2008. This increase of $1.6 billion is due primarily to lower discount rates in our plans partially offset by asset gains due to the performance of the equity markets in 2009. The net losses at December 31, 2009 principally result from lower discount rates in 2009 and actual plan asset returns below expected rates of return in 2008. As discussed in detail in Note 22 to the financial statements such losses have been recognized as a component of other comprehensive income (loss), net of tax. In the future we will continue to systematically recognize such net losses in net periodic pension expense. We use the market-related value of plan assets reflecting changes in the fair value of plan assets over a three-year period. Further, net losses in excess of 10 percent of the greater of the market-related value of plan assets or the plans’ projected benefit obligation (the corridor) are recognized over a six-year period.</w:t>
      </w:r>
    </w:p>
    <w:p>
      <w:pPr>
        <w:spacing w:after="0" w:line="204" w:lineRule="exact"/>
        <w:rPr>
          <w:sz w:val="20"/>
          <w:szCs w:val="20"/>
          <w:color w:val="auto"/>
        </w:rPr>
      </w:pPr>
    </w:p>
    <w:p>
      <w:pPr>
        <w:jc w:val="both"/>
        <w:ind w:right="240" w:firstLine="357"/>
        <w:spacing w:after="0" w:line="245" w:lineRule="auto"/>
        <w:rPr>
          <w:sz w:val="20"/>
          <w:szCs w:val="20"/>
          <w:color w:val="auto"/>
        </w:rPr>
      </w:pPr>
      <w:r>
        <w:rPr>
          <w:rFonts w:ascii="Arial" w:cs="Arial" w:eastAsia="Arial" w:hAnsi="Arial"/>
          <w:sz w:val="19"/>
          <w:szCs w:val="19"/>
          <w:color w:val="auto"/>
        </w:rPr>
        <w:t>Changes in net periodic pension expense may occur in the future due to changes in our expected rate of return on plan assets and discount rate resulting from economic events. The following table highlights the sensitivity of our U.S. pension obligations and expense to changes in these assumptions, assuming all other assumptions remain constant: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tcPr>
          <w:p>
            <w:pPr>
              <w:ind w:left="540"/>
              <w:spacing w:after="0"/>
              <w:rPr>
                <w:sz w:val="20"/>
                <w:szCs w:val="20"/>
                <w:color w:val="auto"/>
              </w:rPr>
            </w:pPr>
            <w:r>
              <w:rPr>
                <w:rFonts w:ascii="Arial" w:cs="Arial" w:eastAsia="Arial" w:hAnsi="Arial"/>
                <w:sz w:val="16"/>
                <w:szCs w:val="16"/>
                <w:b w:val="1"/>
                <w:bCs w:val="1"/>
                <w:color w:val="auto"/>
              </w:rPr>
              <w:t>Impact on Annual</w:t>
            </w:r>
          </w:p>
        </w:tc>
        <w:tc>
          <w:tcPr>
            <w:tcW w:w="30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04"/>
        </w:trPr>
        <w:tc>
          <w:tcPr>
            <w:tcW w:w="5720" w:type="dxa"/>
            <w:vAlign w:val="bottom"/>
            <w:tcBorders>
              <w:bottom w:val="single" w:sz="8" w:color="auto"/>
            </w:tcBorders>
          </w:tcPr>
          <w:p>
            <w:pPr>
              <w:ind w:left="2000"/>
              <w:spacing w:after="0"/>
              <w:rPr>
                <w:sz w:val="20"/>
                <w:szCs w:val="20"/>
                <w:color w:val="auto"/>
              </w:rPr>
            </w:pPr>
            <w:r>
              <w:rPr>
                <w:rFonts w:ascii="Arial" w:cs="Arial" w:eastAsia="Arial" w:hAnsi="Arial"/>
                <w:sz w:val="16"/>
                <w:szCs w:val="16"/>
                <w:b w:val="1"/>
                <w:bCs w:val="1"/>
                <w:color w:val="auto"/>
              </w:rPr>
              <w:t>Change in Assumption</w:t>
            </w:r>
          </w:p>
        </w:tc>
        <w:tc>
          <w:tcPr>
            <w:tcW w:w="300" w:type="dxa"/>
            <w:vAlign w:val="bottom"/>
          </w:tcPr>
          <w:p>
            <w:pPr>
              <w:spacing w:after="0"/>
              <w:rPr>
                <w:sz w:val="17"/>
                <w:szCs w:val="17"/>
                <w:color w:val="auto"/>
              </w:rPr>
            </w:pPr>
          </w:p>
        </w:tc>
        <w:tc>
          <w:tcPr>
            <w:tcW w:w="23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Pension Expense</w:t>
            </w:r>
          </w:p>
        </w:tc>
        <w:tc>
          <w:tcPr>
            <w:tcW w:w="300" w:type="dxa"/>
            <w:vAlign w:val="bottom"/>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Impact on PBO</w:t>
            </w:r>
          </w:p>
        </w:tc>
      </w:tr>
      <w:tr>
        <w:trPr>
          <w:trHeight w:val="264"/>
        </w:trPr>
        <w:tc>
          <w:tcPr>
            <w:tcW w:w="5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0.25 percentage point decrease in discount rate</w:t>
            </w:r>
          </w:p>
        </w:tc>
        <w:tc>
          <w:tcPr>
            <w:tcW w:w="300" w:type="dxa"/>
            <w:vAlign w:val="bottom"/>
            <w:shd w:val="clear" w:color="auto" w:fill="E5FFFF"/>
          </w:tcPr>
          <w:p>
            <w:pPr>
              <w:spacing w:after="0"/>
              <w:rPr>
                <w:sz w:val="22"/>
                <w:szCs w:val="22"/>
                <w:color w:val="auto"/>
              </w:rPr>
            </w:pPr>
          </w:p>
        </w:tc>
        <w:tc>
          <w:tcPr>
            <w:tcW w:w="2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Increase $50 million</w:t>
            </w:r>
          </w:p>
        </w:tc>
        <w:tc>
          <w:tcPr>
            <w:tcW w:w="300" w:type="dxa"/>
            <w:vAlign w:val="bottom"/>
            <w:shd w:val="clear" w:color="auto" w:fill="E5FFFF"/>
          </w:tcPr>
          <w:p>
            <w:pPr>
              <w:spacing w:after="0"/>
              <w:rPr>
                <w:sz w:val="22"/>
                <w:szCs w:val="22"/>
                <w:color w:val="auto"/>
              </w:rPr>
            </w:pPr>
          </w:p>
        </w:tc>
        <w:tc>
          <w:tcPr>
            <w:tcW w:w="2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Increase $350 million</w:t>
            </w:r>
          </w:p>
        </w:tc>
      </w:tr>
      <w:tr>
        <w:trPr>
          <w:trHeight w:val="270"/>
        </w:trPr>
        <w:tc>
          <w:tcPr>
            <w:tcW w:w="5720" w:type="dxa"/>
            <w:vAlign w:val="bottom"/>
          </w:tcPr>
          <w:p>
            <w:pPr>
              <w:ind w:left="20"/>
              <w:spacing w:after="0"/>
              <w:rPr>
                <w:sz w:val="20"/>
                <w:szCs w:val="20"/>
                <w:color w:val="auto"/>
              </w:rPr>
            </w:pPr>
            <w:r>
              <w:rPr>
                <w:rFonts w:ascii="Arial" w:cs="Arial" w:eastAsia="Arial" w:hAnsi="Arial"/>
                <w:sz w:val="19"/>
                <w:szCs w:val="19"/>
                <w:color w:val="auto"/>
              </w:rPr>
              <w:t>0.25 percentage point increase in discount rate</w:t>
            </w:r>
          </w:p>
        </w:tc>
        <w:tc>
          <w:tcPr>
            <w:tcW w:w="300" w:type="dxa"/>
            <w:vAlign w:val="bottom"/>
          </w:tcPr>
          <w:p>
            <w:pPr>
              <w:spacing w:after="0"/>
              <w:rPr>
                <w:sz w:val="23"/>
                <w:szCs w:val="23"/>
                <w:color w:val="auto"/>
              </w:rPr>
            </w:pPr>
          </w:p>
        </w:tc>
        <w:tc>
          <w:tcPr>
            <w:tcW w:w="2380" w:type="dxa"/>
            <w:vAlign w:val="bottom"/>
          </w:tcPr>
          <w:p>
            <w:pPr>
              <w:ind w:left="20"/>
              <w:spacing w:after="0"/>
              <w:rPr>
                <w:sz w:val="20"/>
                <w:szCs w:val="20"/>
                <w:color w:val="auto"/>
              </w:rPr>
            </w:pPr>
            <w:r>
              <w:rPr>
                <w:rFonts w:ascii="Arial" w:cs="Arial" w:eastAsia="Arial" w:hAnsi="Arial"/>
                <w:sz w:val="19"/>
                <w:szCs w:val="19"/>
                <w:color w:val="auto"/>
              </w:rPr>
              <w:t>Decrease $50 million</w:t>
            </w:r>
          </w:p>
        </w:tc>
        <w:tc>
          <w:tcPr>
            <w:tcW w:w="30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9"/>
                <w:szCs w:val="19"/>
                <w:color w:val="auto"/>
              </w:rPr>
              <w:t>Decrease $350 million</w:t>
            </w:r>
          </w:p>
        </w:tc>
      </w:tr>
      <w:tr>
        <w:trPr>
          <w:trHeight w:val="230"/>
        </w:trPr>
        <w:tc>
          <w:tcPr>
            <w:tcW w:w="5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0.25 percentage point decrease in expected rate of return on</w:t>
            </w:r>
          </w:p>
        </w:tc>
        <w:tc>
          <w:tcPr>
            <w:tcW w:w="300" w:type="dxa"/>
            <w:vAlign w:val="bottom"/>
            <w:shd w:val="clear" w:color="auto" w:fill="E5FFFF"/>
          </w:tcPr>
          <w:p>
            <w:pPr>
              <w:spacing w:after="0"/>
              <w:rPr>
                <w:sz w:val="19"/>
                <w:szCs w:val="19"/>
                <w:color w:val="auto"/>
              </w:rPr>
            </w:pPr>
          </w:p>
        </w:tc>
        <w:tc>
          <w:tcPr>
            <w:tcW w:w="23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720" w:type="dxa"/>
            <w:vAlign w:val="bottom"/>
            <w:shd w:val="clear" w:color="auto" w:fill="E5FFFF"/>
          </w:tcPr>
          <w:p>
            <w:pPr>
              <w:spacing w:after="0"/>
              <w:rPr>
                <w:sz w:val="19"/>
                <w:szCs w:val="19"/>
                <w:color w:val="auto"/>
              </w:rPr>
            </w:pPr>
          </w:p>
        </w:tc>
      </w:tr>
      <w:tr>
        <w:trPr>
          <w:trHeight w:val="230"/>
        </w:trPr>
        <w:tc>
          <w:tcPr>
            <w:tcW w:w="57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assets</w:t>
            </w:r>
          </w:p>
        </w:tc>
        <w:tc>
          <w:tcPr>
            <w:tcW w:w="300" w:type="dxa"/>
            <w:vAlign w:val="bottom"/>
            <w:shd w:val="clear" w:color="auto" w:fill="E5FFFF"/>
          </w:tcPr>
          <w:p>
            <w:pPr>
              <w:spacing w:after="0"/>
              <w:rPr>
                <w:sz w:val="19"/>
                <w:szCs w:val="19"/>
                <w:color w:val="auto"/>
              </w:rPr>
            </w:pPr>
          </w:p>
        </w:tc>
        <w:tc>
          <w:tcPr>
            <w:tcW w:w="2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Increase $27 million</w:t>
            </w:r>
          </w:p>
        </w:tc>
        <w:tc>
          <w:tcPr>
            <w:tcW w:w="300" w:type="dxa"/>
            <w:vAlign w:val="bottom"/>
            <w:shd w:val="clear" w:color="auto" w:fill="E5FFFF"/>
          </w:tcPr>
          <w:p>
            <w:pPr>
              <w:spacing w:after="0"/>
              <w:rPr>
                <w:sz w:val="19"/>
                <w:szCs w:val="19"/>
                <w:color w:val="auto"/>
              </w:rPr>
            </w:pPr>
          </w:p>
        </w:tc>
        <w:tc>
          <w:tcPr>
            <w:tcW w:w="27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w:t>
            </w:r>
          </w:p>
        </w:tc>
      </w:tr>
      <w:tr>
        <w:trPr>
          <w:trHeight w:val="230"/>
        </w:trPr>
        <w:tc>
          <w:tcPr>
            <w:tcW w:w="5720" w:type="dxa"/>
            <w:vAlign w:val="bottom"/>
          </w:tcPr>
          <w:p>
            <w:pPr>
              <w:ind w:left="20"/>
              <w:spacing w:after="0"/>
              <w:rPr>
                <w:sz w:val="20"/>
                <w:szCs w:val="20"/>
                <w:color w:val="auto"/>
              </w:rPr>
            </w:pPr>
            <w:r>
              <w:rPr>
                <w:rFonts w:ascii="Arial" w:cs="Arial" w:eastAsia="Arial" w:hAnsi="Arial"/>
                <w:sz w:val="19"/>
                <w:szCs w:val="19"/>
                <w:color w:val="auto"/>
              </w:rPr>
              <w:t>0.25 percentage point increase in expected rate of return on</w:t>
            </w: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4"/>
        </w:trPr>
        <w:tc>
          <w:tcPr>
            <w:tcW w:w="5720" w:type="dxa"/>
            <w:vAlign w:val="bottom"/>
          </w:tcPr>
          <w:p>
            <w:pPr>
              <w:ind w:left="200"/>
              <w:spacing w:after="0"/>
              <w:rPr>
                <w:sz w:val="20"/>
                <w:szCs w:val="20"/>
                <w:color w:val="auto"/>
              </w:rPr>
            </w:pPr>
            <w:r>
              <w:rPr>
                <w:rFonts w:ascii="Arial" w:cs="Arial" w:eastAsia="Arial" w:hAnsi="Arial"/>
                <w:sz w:val="19"/>
                <w:szCs w:val="19"/>
                <w:color w:val="auto"/>
              </w:rPr>
              <w:t>assets</w:t>
            </w:r>
          </w:p>
        </w:tc>
        <w:tc>
          <w:tcPr>
            <w:tcW w:w="3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9"/>
                <w:szCs w:val="19"/>
                <w:color w:val="auto"/>
              </w:rPr>
              <w:t>Decrease $27 million</w:t>
            </w:r>
          </w:p>
        </w:tc>
        <w:tc>
          <w:tcPr>
            <w:tcW w:w="3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9"/>
                <w:szCs w:val="19"/>
                <w:color w:val="auto"/>
              </w:rPr>
              <w:t>—</w:t>
            </w:r>
          </w:p>
        </w:tc>
      </w:tr>
    </w:tbl>
    <w:p>
      <w:pPr>
        <w:spacing w:after="0" w:line="104"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Net periodic pension expense for our pension plans is expected to be approximately $820 million in 2010, a $712 million increase from 2009 due principally to an increase in the amortization of net losses in our U.S. plans. The increase in the amortization of net losses results principally from asset losses due to the poor performance of the equity markets in 2008.</w:t>
      </w:r>
    </w:p>
    <w:p>
      <w:pPr>
        <w:spacing w:after="0" w:line="87"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In 2009, 2008 and 2007 we were not required to make contributions to satisfy minimum statutory funding requirements in our U.S. pension plans. However, we made voluntary contributions of $ 740, $242 and $42 million to our U.S. pension plans in 2009, 2008 and 2007, respectively, primarily to improve the funded status of our plans which deteriorated during 2008 due to the significant asset losses resulting from the poor performance of the equity markets. During 2010, we plan to make additional voluntary contributions of Honeywell common stock to our U.S. plans to improve the funded status of our plans. Beyond 2010, minimum statutory funding requirements for our U.S. pension plans may become significant. However, the actual amounts required to be contributed are dependent upon, among other things, interest rates, underlying asset returns and the impact of legislative or regulatory changes related to pension funding obligations. We also expect to contribute approximately $150 to our non-U.S. defined benefit pension plans in 2010 to satisfy regulatory funding standards.</w:t>
      </w:r>
    </w:p>
    <w:p>
      <w:pPr>
        <w:spacing w:after="0" w:line="71" w:lineRule="exact"/>
        <w:rPr>
          <w:sz w:val="20"/>
          <w:szCs w:val="20"/>
          <w:color w:val="auto"/>
        </w:rPr>
      </w:pPr>
    </w:p>
    <w:p>
      <w:pPr>
        <w:ind w:right="60" w:firstLine="357"/>
        <w:spacing w:after="0" w:line="243" w:lineRule="auto"/>
        <w:rPr>
          <w:sz w:val="20"/>
          <w:szCs w:val="20"/>
          <w:color w:val="auto"/>
        </w:rPr>
      </w:pPr>
      <w:r>
        <w:rPr>
          <w:rFonts w:ascii="Arial" w:cs="Arial" w:eastAsia="Arial" w:hAnsi="Arial"/>
          <w:sz w:val="19"/>
          <w:szCs w:val="19"/>
          <w:b w:val="1"/>
          <w:bCs w:val="1"/>
          <w:i w:val="1"/>
          <w:iCs w:val="1"/>
          <w:color w:val="auto"/>
        </w:rPr>
        <w:t>Long-Lived Assets (including Tangible and Definite-Lived Intangible Assets)</w:t>
      </w:r>
      <w:r>
        <w:rPr>
          <w:rFonts w:ascii="Arial" w:cs="Arial" w:eastAsia="Arial" w:hAnsi="Arial"/>
          <w:sz w:val="19"/>
          <w:szCs w:val="19"/>
          <w:color w:val="auto"/>
        </w:rPr>
        <w:t>—To conduct our global business operations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execute our business strategy, we acquire tangible and intangible assets, including property, plant and equipment and definite-lived intangible assets. At December 31, 2009, the net carrying amount of these long-lived assets totaled $6.6 billion. The determination of useful lives (for depreciation/amortization purposes) and whether or not these assets are impaired involves the use of accounting estimates and assumptions, changes in which could materially impact our financial condition or operating performance if actual results differ from such estimates and assumptions. We periodically evaluate the recoverability of the carrying amount of our long-lived assets whenever events or changes in circumstances indicate that the carrying amount of a long-lived asset group may not be fully recoverable. The principal factors we consider in deciding when to perform an impairment review are as follows:</w:t>
      </w:r>
    </w:p>
    <w:p>
      <w:pPr>
        <w:spacing w:after="0" w:line="145" w:lineRule="exact"/>
        <w:rPr>
          <w:sz w:val="20"/>
          <w:szCs w:val="20"/>
          <w:color w:val="auto"/>
        </w:rPr>
      </w:pPr>
    </w:p>
    <w:p>
      <w:pPr>
        <w:ind w:left="540" w:right="720" w:hanging="158"/>
        <w:spacing w:after="0" w:line="25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significant under-performance (i.e., declines in sales, earnings or cash flows) of a business or product line in relation to expectations;</w:t>
      </w:r>
    </w:p>
    <w:p>
      <w:pPr>
        <w:spacing w:after="0" w:line="93" w:lineRule="exact"/>
        <w:rPr>
          <w:rFonts w:ascii="Arial" w:cs="Arial" w:eastAsia="Arial" w:hAnsi="Arial"/>
          <w:sz w:val="19"/>
          <w:szCs w:val="19"/>
          <w:color w:val="auto"/>
        </w:rPr>
      </w:pPr>
    </w:p>
    <w:p>
      <w:pPr>
        <w:ind w:left="540" w:right="20" w:hanging="158"/>
        <w:spacing w:after="0" w:line="25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annual operating plans or five-year strategic plans that indicate an unfavorable trend in operating performance of a business or product line;</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significant negative industry or economic trends;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9" w:name="page50"/>
    <w:bookmarkEnd w:id="49"/>
    <w:p>
      <w:pPr>
        <w:ind w:left="540" w:hanging="15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significant changes or planned changes in our use of the assets.</w:t>
      </w:r>
    </w:p>
    <w:p>
      <w:pPr>
        <w:spacing w:after="0" w:line="322"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in the fair value hierarchy or an estimate of the future discounted cash flow, level 3 of the fair value hierarchy. The key estimates in our discounted cash flow analysis include expected industry growth rates, our assumptions as to volume, selling prices and costs, and the discount rate selected. As described in more detail in Note 16 to the financial statements, we have recorded impairment charges related to long-lived assets of $28 and $78 million in 2009 and 2008, respectively, principally related to manufacturing plant and equipment in facilities scheduled to close or be downsized.</w:t>
      </w:r>
    </w:p>
    <w:p>
      <w:pPr>
        <w:spacing w:after="0" w:line="278"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b w:val="1"/>
          <w:bCs w:val="1"/>
          <w:i w:val="1"/>
          <w:iCs w:val="1"/>
          <w:color w:val="auto"/>
        </w:rPr>
        <w:t>Goodwill Impairment Testing</w:t>
      </w:r>
      <w:r>
        <w:rPr>
          <w:rFonts w:ascii="Arial" w:cs="Arial" w:eastAsia="Arial" w:hAnsi="Arial"/>
          <w:sz w:val="19"/>
          <w:szCs w:val="19"/>
          <w:color w:val="auto"/>
        </w:rPr>
        <w:t>—Goodwill represents the excess of acquisition costs over the fair value of the net tangible assets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identifiable intangible assets acquired in a business combination. Goodwill is not amortized, but is subject to impairment testing. Our Goodwill balance, $10.5 billion as of December 31, 2009, is subject to impairment testing annually as of March 31, or whenever events or changes in circumstances indicate that the carrying amount may not be fully recoverable. This testing compares carrying values to fair values and, when appropriate, the carrying value is reduced to fair value. The fair value of our reporting units is estimated utilizing a discounted cash flow approach utilizing cash flow forecasts in our five year strategic and annual operating plans adjusted for terminal value assumptions. This impairment test involves the use of accounting estimates and assumptions, changes in which could materially impact our financial condition or operating performance if actual results differ from such estimates and assumptions. To address this uncertainty we perform sensitivity analysis on key estimates and assumptions.</w:t>
      </w:r>
    </w:p>
    <w:p>
      <w:pPr>
        <w:spacing w:after="0" w:line="94"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We completed our annual impairment test as of March 31, 2009 and determined that there was no impairment as of that date. Given the significant changes in the business climate and decline in mid-range forecasts for certain of our reporting units we re-tested goodwill for impairment in the second half of 2009. No impairment was indicated by this interim test. However, significant negative industry or economic trends, disruptions to our business, unexpected significant changes or planned changes in use of the assets, divestitures and market capitalization declines may have a negative effect on the fair value of our reporting units.</w:t>
      </w:r>
    </w:p>
    <w:p>
      <w:pPr>
        <w:spacing w:after="0" w:line="67" w:lineRule="exact"/>
        <w:rPr>
          <w:sz w:val="20"/>
          <w:szCs w:val="20"/>
          <w:color w:val="auto"/>
        </w:rPr>
      </w:pPr>
    </w:p>
    <w:p>
      <w:pPr>
        <w:ind w:right="20" w:firstLine="357"/>
        <w:spacing w:after="0" w:line="248"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—Deferred tax assets and liabilities are determined based on the difference between the financial statements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 basis of assets and liabilities using enacted tax rates in effect for the year in which the differences are expected to reverse. Our provision for income taxes is based on domestic and international statutory income tax rates in the jurisdictions in which we operate. Significant judgment is required in determining income tax provisions as well as deferred tax asset and liability balances, including the estimation of valuation allowances and the evaluation of tax positions.</w:t>
      </w:r>
    </w:p>
    <w:p>
      <w:pPr>
        <w:spacing w:after="0" w:line="84"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As of December 31, 2009, we recognized a net deferred tax asset of $3,028 million, less a valuation allowance of $578 million. Net deferred tax assets are primarily comprised of net deductible temporary differences, net operating loss carryforwards and tax credit carryforwards that are available to reduce taxable income in future periods. The determination of the amount of valuation allowance to be provided on recorded deferred tax assets involves estimates regarding (1) the timing and amount of the reversal of taxable temporary differences, (2) expected future taxable income, and (3) the impact of tax planning strategies. A valuation allowance is established to offset any deferred tax assets if, based upon the available evidence it is more likely than not that some or all of the deferred tax asset will not be realized.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w:t>
      </w:r>
    </w:p>
    <w:p>
      <w:pPr>
        <w:spacing w:after="0" w:line="93" w:lineRule="exact"/>
        <w:rPr>
          <w:sz w:val="20"/>
          <w:szCs w:val="20"/>
          <w:color w:val="auto"/>
        </w:rPr>
      </w:pPr>
    </w:p>
    <w:p>
      <w:pPr>
        <w:ind w:right="120" w:firstLine="357"/>
        <w:spacing w:after="0" w:line="253" w:lineRule="auto"/>
        <w:rPr>
          <w:sz w:val="20"/>
          <w:szCs w:val="20"/>
          <w:color w:val="auto"/>
        </w:rPr>
      </w:pPr>
      <w:r>
        <w:rPr>
          <w:rFonts w:ascii="Arial" w:cs="Arial" w:eastAsia="Arial" w:hAnsi="Arial"/>
          <w:sz w:val="19"/>
          <w:szCs w:val="19"/>
          <w:color w:val="auto"/>
        </w:rPr>
        <w:t>Our net deferred tax asset of $3,028 million is comprised of $2,132 million related to U.S. operations and $896 million related to non-U.S. operations. The U.S. net deferred tax asset of $2,132</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26" w:right="25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million is comprised of net deductible temporary differences, tax credit carryforwards and state tax net operating losses which we</w:t>
      </w:r>
    </w:p>
    <w:p>
      <w:pPr>
        <w:spacing w:after="0" w:line="237" w:lineRule="auto"/>
        <w:rPr>
          <w:sz w:val="20"/>
          <w:szCs w:val="20"/>
          <w:color w:val="auto"/>
        </w:rPr>
      </w:pPr>
      <w:r>
        <w:rPr>
          <w:rFonts w:ascii="Arial" w:cs="Arial" w:eastAsia="Arial" w:hAnsi="Arial"/>
          <w:sz w:val="19"/>
          <w:szCs w:val="19"/>
          <w:color w:val="auto"/>
        </w:rPr>
        <w:t>believe will more likely than not be realized through the generation of future taxable income in the U.S. and tax planning strategies.</w:t>
      </w:r>
    </w:p>
    <w:p>
      <w:pPr>
        <w:spacing w:after="0" w:line="237" w:lineRule="auto"/>
        <w:rPr>
          <w:sz w:val="20"/>
          <w:szCs w:val="20"/>
          <w:color w:val="auto"/>
        </w:rPr>
      </w:pPr>
      <w:r>
        <w:rPr>
          <w:rFonts w:ascii="Arial" w:cs="Arial" w:eastAsia="Arial" w:hAnsi="Arial"/>
          <w:sz w:val="19"/>
          <w:szCs w:val="19"/>
          <w:color w:val="auto"/>
        </w:rPr>
        <w:t>We maintain a valuation allowance of $8 million against such asset related to state net operating losses. The non-U.S. net deferred</w:t>
      </w:r>
    </w:p>
    <w:p>
      <w:pPr>
        <w:spacing w:after="0" w:line="238" w:lineRule="auto"/>
        <w:rPr>
          <w:sz w:val="20"/>
          <w:szCs w:val="20"/>
          <w:color w:val="auto"/>
        </w:rPr>
      </w:pPr>
      <w:r>
        <w:rPr>
          <w:rFonts w:ascii="Arial" w:cs="Arial" w:eastAsia="Arial" w:hAnsi="Arial"/>
          <w:sz w:val="19"/>
          <w:szCs w:val="19"/>
          <w:color w:val="auto"/>
        </w:rPr>
        <w:t>tax asset of $896 million is comprised principally of net operating and capital loss carryforwards, mainly in Germany, Luxembourg,</w:t>
      </w:r>
    </w:p>
    <w:p>
      <w:pPr>
        <w:spacing w:after="0" w:line="237" w:lineRule="auto"/>
        <w:rPr>
          <w:sz w:val="20"/>
          <w:szCs w:val="20"/>
          <w:color w:val="auto"/>
        </w:rPr>
      </w:pPr>
      <w:r>
        <w:rPr>
          <w:rFonts w:ascii="Arial" w:cs="Arial" w:eastAsia="Arial" w:hAnsi="Arial"/>
          <w:sz w:val="19"/>
          <w:szCs w:val="19"/>
          <w:color w:val="auto"/>
        </w:rPr>
        <w:t>Netherlands and the United Kingdom. We maintain a valuation allowance of $570 million against these deferred tax assets reflecting</w:t>
      </w:r>
    </w:p>
    <w:p>
      <w:pPr>
        <w:spacing w:after="0" w:line="237" w:lineRule="auto"/>
        <w:rPr>
          <w:sz w:val="20"/>
          <w:szCs w:val="20"/>
          <w:color w:val="auto"/>
        </w:rPr>
      </w:pPr>
      <w:r>
        <w:rPr>
          <w:rFonts w:ascii="Arial" w:cs="Arial" w:eastAsia="Arial" w:hAnsi="Arial"/>
          <w:sz w:val="19"/>
          <w:szCs w:val="19"/>
          <w:color w:val="auto"/>
        </w:rPr>
        <w:t>our historical experience and lower expectations of taxable income over the applicable carryforward periods. As more fully described</w:t>
      </w:r>
    </w:p>
    <w:p>
      <w:pPr>
        <w:spacing w:after="0" w:line="238" w:lineRule="auto"/>
        <w:rPr>
          <w:sz w:val="20"/>
          <w:szCs w:val="20"/>
          <w:color w:val="auto"/>
        </w:rPr>
      </w:pPr>
      <w:r>
        <w:rPr>
          <w:rFonts w:ascii="Arial" w:cs="Arial" w:eastAsia="Arial" w:hAnsi="Arial"/>
          <w:sz w:val="19"/>
          <w:szCs w:val="19"/>
          <w:color w:val="auto"/>
        </w:rPr>
        <w:t>in Note 6 to the financial statements, our valuation allowance increased by $133 million in 2009 and decreased by $45 million and</w:t>
      </w:r>
    </w:p>
    <w:p>
      <w:pPr>
        <w:spacing w:after="0" w:line="237" w:lineRule="auto"/>
        <w:rPr>
          <w:sz w:val="20"/>
          <w:szCs w:val="20"/>
          <w:color w:val="auto"/>
        </w:rPr>
      </w:pPr>
      <w:r>
        <w:rPr>
          <w:rFonts w:ascii="Arial" w:cs="Arial" w:eastAsia="Arial" w:hAnsi="Arial"/>
          <w:sz w:val="19"/>
          <w:szCs w:val="19"/>
          <w:color w:val="auto"/>
        </w:rPr>
        <w:t>$26 million in 2008 and 2007, respectively. In the event we determine that we will not be able to realize our net deferred tax assets in</w:t>
      </w:r>
    </w:p>
    <w:p>
      <w:pPr>
        <w:spacing w:after="0" w:line="237" w:lineRule="auto"/>
        <w:rPr>
          <w:sz w:val="20"/>
          <w:szCs w:val="20"/>
          <w:color w:val="auto"/>
        </w:rPr>
      </w:pPr>
      <w:r>
        <w:rPr>
          <w:rFonts w:ascii="Arial" w:cs="Arial" w:eastAsia="Arial" w:hAnsi="Arial"/>
          <w:sz w:val="19"/>
          <w:szCs w:val="19"/>
          <w:color w:val="auto"/>
        </w:rPr>
        <w:t>the future, we will reduce such amounts through a charge to income in the period such determination is made. Conversely, if we</w:t>
      </w:r>
    </w:p>
    <w:p>
      <w:pPr>
        <w:spacing w:after="0" w:line="238" w:lineRule="auto"/>
        <w:rPr>
          <w:sz w:val="20"/>
          <w:szCs w:val="20"/>
          <w:color w:val="auto"/>
        </w:rPr>
      </w:pPr>
      <w:r>
        <w:rPr>
          <w:rFonts w:ascii="Arial" w:cs="Arial" w:eastAsia="Arial" w:hAnsi="Arial"/>
          <w:sz w:val="19"/>
          <w:szCs w:val="19"/>
          <w:color w:val="auto"/>
        </w:rPr>
        <w:t>determine that we will be able to realize net deferred tax assets in excess of the carrying amounts, we will decrease the recorded</w:t>
      </w:r>
    </w:p>
    <w:p>
      <w:pPr>
        <w:spacing w:after="0"/>
        <w:rPr>
          <w:sz w:val="20"/>
          <w:szCs w:val="20"/>
          <w:color w:val="auto"/>
        </w:rPr>
      </w:pPr>
      <w:r>
        <w:rPr>
          <w:rFonts w:ascii="Arial" w:cs="Arial" w:eastAsia="Arial" w:hAnsi="Arial"/>
          <w:sz w:val="19"/>
          <w:szCs w:val="19"/>
          <w:color w:val="auto"/>
        </w:rPr>
        <w:t>valuation allowance through a credit to income in the period that such determination is made.</w:t>
      </w:r>
    </w:p>
    <w:p>
      <w:pPr>
        <w:spacing w:after="0" w:line="21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Significant judgment is required in determining income tax provisions and in evaluating tax positions. We establish additional provisions for income taxes when, despite the belief that tax positions are fully supportable, there remain certain positions that do not meet the minimum probability threshold, as defined by the authoritative guidance for uncertainty in income taxes, which is a tax position that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revision become known.</w:t>
      </w:r>
    </w:p>
    <w:p>
      <w:pPr>
        <w:spacing w:after="0" w:line="72" w:lineRule="exact"/>
        <w:rPr>
          <w:sz w:val="20"/>
          <w:szCs w:val="20"/>
          <w:color w:val="auto"/>
        </w:rPr>
      </w:pPr>
    </w:p>
    <w:p>
      <w:pPr>
        <w:ind w:right="80" w:firstLine="357"/>
        <w:spacing w:after="0"/>
        <w:rPr>
          <w:sz w:val="20"/>
          <w:szCs w:val="20"/>
          <w:color w:val="auto"/>
        </w:rPr>
      </w:pPr>
      <w:r>
        <w:rPr>
          <w:rFonts w:ascii="Arial" w:cs="Arial" w:eastAsia="Arial" w:hAnsi="Arial"/>
          <w:sz w:val="19"/>
          <w:szCs w:val="19"/>
          <w:b w:val="1"/>
          <w:bCs w:val="1"/>
          <w:i w:val="1"/>
          <w:iCs w:val="1"/>
          <w:color w:val="auto"/>
        </w:rPr>
        <w:t>Sales Recognition on Long-Term Contracts</w:t>
      </w:r>
      <w:r>
        <w:rPr>
          <w:rFonts w:ascii="Arial" w:cs="Arial" w:eastAsia="Arial" w:hAnsi="Arial"/>
          <w:sz w:val="19"/>
          <w:szCs w:val="19"/>
          <w:color w:val="auto"/>
        </w:rPr>
        <w:t>—In 2009, we recognized approximately 15 percent of our total net sales using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percentage-of-completion method for long-term contracts in our Automation and Control Solutions, Aerospace and Specialty Materials segments. These long-term contracts are measured on the cost-to-cost basis for engineering-type contracts and the units-of-delivery basis for production-type contracts. Accounting for these contracts involves management 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spacing w:after="0" w:line="2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MATTERS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Litigation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Note 21 to the financial statements for a discussion of environmental, asbestos and other litigation matters.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Note 1 to the financial statements for a discussion of recent accounting pronouncements.</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7" w:right="279" w:bottom="1440" w:gutter="0" w:footer="0" w:header="0"/>
        </w:sectPr>
      </w:pPr>
    </w:p>
    <w:bookmarkStart w:id="51" w:name="page52"/>
    <w:bookmarkEnd w:id="51"/>
    <w:p>
      <w:pPr>
        <w:spacing w:after="0"/>
        <w:rPr>
          <w:sz w:val="20"/>
          <w:szCs w:val="20"/>
          <w:color w:val="auto"/>
        </w:rPr>
      </w:pPr>
      <w:r>
        <w:rPr>
          <w:rFonts w:ascii="Arial" w:cs="Arial" w:eastAsia="Arial" w:hAnsi="Arial"/>
          <w:sz w:val="23"/>
          <w:szCs w:val="23"/>
          <w:b w:val="1"/>
          <w:bCs w:val="1"/>
          <w:color w:val="auto"/>
        </w:rPr>
        <w:t>Item 7A. Quantitative and Qualitative Disclosures About Market Risk</w:t>
      </w:r>
    </w:p>
    <w:p>
      <w:pPr>
        <w:spacing w:after="0" w:line="148"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Information relating to market risk is included in Item 7. Management Discussion and Analysis of Financial Condition and Results of Operations under the caption “Financial Instruments”.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52" w:name="page53"/>
    <w:bookmarkEnd w:id="52"/>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182" w:lineRule="exact"/>
        <w:rPr>
          <w:sz w:val="20"/>
          <w:szCs w:val="20"/>
          <w:color w:val="auto"/>
        </w:rPr>
      </w:pPr>
    </w:p>
    <w:p>
      <w:pPr>
        <w:ind w:left="3760"/>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466"/>
              <w:spacing w:after="0"/>
              <w:rPr>
                <w:sz w:val="20"/>
                <w:szCs w:val="20"/>
                <w:color w:val="auto"/>
              </w:rPr>
            </w:pPr>
            <w:r>
              <w:rPr>
                <w:rFonts w:ascii="Arial" w:cs="Arial" w:eastAsia="Arial" w:hAnsi="Arial"/>
                <w:sz w:val="16"/>
                <w:szCs w:val="16"/>
                <w:b w:val="1"/>
                <w:bCs w:val="1"/>
                <w:color w:val="auto"/>
                <w:w w:val="98"/>
              </w:rPr>
              <w:t>Years Ended December 31,</w:t>
            </w:r>
          </w:p>
        </w:tc>
        <w:tc>
          <w:tcPr>
            <w:tcW w:w="740" w:type="dxa"/>
            <w:vAlign w:val="bottom"/>
            <w:tcBorders>
              <w:bottom w:val="single" w:sz="8" w:color="auto"/>
            </w:tcBorders>
          </w:tcPr>
          <w:p>
            <w:pPr>
              <w:spacing w:after="0"/>
              <w:rPr>
                <w:sz w:val="17"/>
                <w:szCs w:val="17"/>
                <w:color w:val="auto"/>
              </w:rPr>
            </w:pPr>
          </w:p>
        </w:tc>
      </w:tr>
      <w:tr>
        <w:trPr>
          <w:trHeight w:val="250"/>
        </w:trPr>
        <w:tc>
          <w:tcPr>
            <w:tcW w:w="79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124"/>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2007</w:t>
            </w:r>
          </w:p>
        </w:tc>
      </w:tr>
      <w:tr>
        <w:trPr>
          <w:trHeight w:val="168"/>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gridSpan w:val="4"/>
          </w:tcPr>
          <w:p>
            <w:pPr>
              <w:jc w:val="center"/>
              <w:spacing w:after="0" w:line="168" w:lineRule="exact"/>
              <w:rPr>
                <w:sz w:val="20"/>
                <w:szCs w:val="20"/>
                <w:color w:val="auto"/>
              </w:rPr>
            </w:pPr>
            <w:r>
              <w:rPr>
                <w:rFonts w:ascii="Arial" w:cs="Arial" w:eastAsia="Arial" w:hAnsi="Arial"/>
                <w:sz w:val="16"/>
                <w:szCs w:val="16"/>
                <w:b w:val="1"/>
                <w:bCs w:val="1"/>
                <w:color w:val="auto"/>
                <w:w w:val="98"/>
              </w:rPr>
              <w:t>(Dollars in millions,</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4"/>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6"/>
          </w:tcPr>
          <w:p>
            <w:pPr>
              <w:jc w:val="center"/>
              <w:ind w:left="466"/>
              <w:spacing w:after="0"/>
              <w:rPr>
                <w:sz w:val="20"/>
                <w:szCs w:val="20"/>
                <w:color w:val="auto"/>
              </w:rPr>
            </w:pPr>
            <w:r>
              <w:rPr>
                <w:rFonts w:ascii="Arial" w:cs="Arial" w:eastAsia="Arial" w:hAnsi="Arial"/>
                <w:sz w:val="16"/>
                <w:szCs w:val="16"/>
                <w:b w:val="1"/>
                <w:bCs w:val="1"/>
                <w:color w:val="auto"/>
                <w:w w:val="99"/>
              </w:rPr>
              <w:t>except per share amounts)</w:t>
            </w:r>
          </w:p>
        </w:tc>
        <w:tc>
          <w:tcPr>
            <w:tcW w:w="740" w:type="dxa"/>
            <w:vAlign w:val="bottom"/>
          </w:tcPr>
          <w:p>
            <w:pPr>
              <w:spacing w:after="0"/>
              <w:rPr>
                <w:sz w:val="17"/>
                <w:szCs w:val="17"/>
                <w:color w:val="auto"/>
              </w:rPr>
            </w:pP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Product sales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23,914</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29,212</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27,805</w:t>
            </w:r>
          </w:p>
        </w:tc>
      </w:tr>
      <w:tr>
        <w:trPr>
          <w:trHeight w:val="270"/>
        </w:trPr>
        <w:tc>
          <w:tcPr>
            <w:tcW w:w="7900" w:type="dxa"/>
            <w:vAlign w:val="bottom"/>
          </w:tcPr>
          <w:p>
            <w:pPr>
              <w:ind w:left="20"/>
              <w:spacing w:after="0"/>
              <w:rPr>
                <w:sz w:val="20"/>
                <w:szCs w:val="20"/>
                <w:color w:val="auto"/>
              </w:rPr>
            </w:pPr>
            <w:r>
              <w:rPr>
                <w:rFonts w:ascii="Arial" w:cs="Arial" w:eastAsia="Arial" w:hAnsi="Arial"/>
                <w:sz w:val="19"/>
                <w:szCs w:val="19"/>
                <w:color w:val="auto"/>
              </w:rPr>
              <w:t>Service sales</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6,994</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7,344</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6,784</w:t>
            </w: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30,908</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36,556</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w w:val="99"/>
              </w:rPr>
              <w:t>34,589</w:t>
            </w:r>
          </w:p>
        </w:tc>
      </w:tr>
      <w:tr>
        <w:trPr>
          <w:trHeight w:val="277"/>
        </w:trPr>
        <w:tc>
          <w:tcPr>
            <w:tcW w:w="7900" w:type="dxa"/>
            <w:vAlign w:val="bottom"/>
          </w:tcPr>
          <w:p>
            <w:pPr>
              <w:ind w:left="20"/>
              <w:spacing w:after="0"/>
              <w:rPr>
                <w:sz w:val="20"/>
                <w:szCs w:val="20"/>
                <w:color w:val="auto"/>
              </w:rPr>
            </w:pPr>
            <w:r>
              <w:rPr>
                <w:rFonts w:ascii="Arial" w:cs="Arial" w:eastAsia="Arial" w:hAnsi="Arial"/>
                <w:sz w:val="19"/>
                <w:szCs w:val="19"/>
                <w:color w:val="auto"/>
              </w:rPr>
              <w:t>Costs, expenses and other</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Cost of products sold</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18,637</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23,043</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21,629</w:t>
            </w: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Cost of services sold</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4,548</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4,951</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4,671</w:t>
            </w: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9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23,185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27,994</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26,300</w:t>
            </w: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Selling, general and administrative expenses</w:t>
            </w:r>
          </w:p>
        </w:tc>
        <w:tc>
          <w:tcPr>
            <w:tcW w:w="2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9"/>
                <w:szCs w:val="19"/>
                <w:color w:val="auto"/>
              </w:rPr>
              <w:t>4,341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5,033</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4,565</w:t>
            </w: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Other (income) expense</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(55 )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(748 )</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(69 )</w:t>
            </w: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Interest and other financial charges</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459</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456</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456</w:t>
            </w: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9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27,930</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32,735</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w w:val="99"/>
              </w:rPr>
              <w:t>31,252</w:t>
            </w:r>
          </w:p>
        </w:tc>
      </w:tr>
      <w:tr>
        <w:trPr>
          <w:trHeight w:val="304"/>
        </w:trPr>
        <w:tc>
          <w:tcPr>
            <w:tcW w:w="7900" w:type="dxa"/>
            <w:vAlign w:val="bottom"/>
          </w:tcPr>
          <w:p>
            <w:pPr>
              <w:ind w:left="20"/>
              <w:spacing w:after="0"/>
              <w:rPr>
                <w:sz w:val="20"/>
                <w:szCs w:val="20"/>
                <w:color w:val="auto"/>
              </w:rPr>
            </w:pPr>
            <w:r>
              <w:rPr>
                <w:rFonts w:ascii="Arial" w:cs="Arial" w:eastAsia="Arial" w:hAnsi="Arial"/>
                <w:sz w:val="19"/>
                <w:szCs w:val="19"/>
                <w:color w:val="auto"/>
              </w:rPr>
              <w:t>Income from continuing operations before taxes</w:t>
            </w:r>
          </w:p>
        </w:tc>
        <w:tc>
          <w:tcPr>
            <w:tcW w:w="20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Arial" w:cs="Arial" w:eastAsia="Arial" w:hAnsi="Arial"/>
                <w:sz w:val="19"/>
                <w:szCs w:val="19"/>
                <w:color w:val="auto"/>
              </w:rPr>
              <w:t>2,978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3,821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3,337</w:t>
            </w: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 expense</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789</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1,009</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877</w:t>
            </w:r>
          </w:p>
        </w:tc>
      </w:tr>
      <w:tr>
        <w:trPr>
          <w:trHeight w:val="304"/>
        </w:trPr>
        <w:tc>
          <w:tcPr>
            <w:tcW w:w="7900" w:type="dxa"/>
            <w:vAlign w:val="bottom"/>
          </w:tcPr>
          <w:p>
            <w:pPr>
              <w:ind w:left="20"/>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Arial" w:cs="Arial" w:eastAsia="Arial" w:hAnsi="Arial"/>
                <w:sz w:val="19"/>
                <w:szCs w:val="19"/>
                <w:color w:val="auto"/>
              </w:rPr>
              <w:t>2,189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2,812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2,460</w:t>
            </w: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 Net income attributable to the noncontrolling interest</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36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20</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(16 )</w:t>
            </w:r>
          </w:p>
        </w:tc>
      </w:tr>
      <w:tr>
        <w:trPr>
          <w:trHeight w:val="304"/>
        </w:trPr>
        <w:tc>
          <w:tcPr>
            <w:tcW w:w="7900" w:type="dxa"/>
            <w:vAlign w:val="bottom"/>
          </w:tcPr>
          <w:p>
            <w:pPr>
              <w:ind w:left="20"/>
              <w:spacing w:after="0"/>
              <w:rPr>
                <w:sz w:val="20"/>
                <w:szCs w:val="20"/>
                <w:color w:val="auto"/>
              </w:rPr>
            </w:pPr>
            <w:r>
              <w:rPr>
                <w:rFonts w:ascii="Arial" w:cs="Arial" w:eastAsia="Arial" w:hAnsi="Arial"/>
                <w:sz w:val="19"/>
                <w:szCs w:val="19"/>
                <w:color w:val="auto"/>
              </w:rPr>
              <w:t>Net income attributable to Honeywell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6"/>
              <w:spacing w:after="0"/>
              <w:rPr>
                <w:sz w:val="20"/>
                <w:szCs w:val="20"/>
                <w:color w:val="auto"/>
              </w:rPr>
            </w:pPr>
            <w:r>
              <w:rPr>
                <w:rFonts w:ascii="Arial" w:cs="Arial" w:eastAsia="Arial" w:hAnsi="Arial"/>
                <w:sz w:val="19"/>
                <w:szCs w:val="19"/>
                <w:color w:val="auto"/>
              </w:rPr>
              <w:t>2,153</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2,792</w:t>
            </w: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2,444</w:t>
            </w: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share of common stock—basic</w:t>
            </w: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2.86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3.79</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3.20</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91"/>
        </w:trPr>
        <w:tc>
          <w:tcPr>
            <w:tcW w:w="7900" w:type="dxa"/>
            <w:vAlign w:val="bottom"/>
          </w:tcPr>
          <w:p>
            <w:pPr>
              <w:ind w:left="20"/>
              <w:spacing w:after="0"/>
              <w:rPr>
                <w:sz w:val="20"/>
                <w:szCs w:val="20"/>
                <w:color w:val="auto"/>
              </w:rPr>
            </w:pPr>
            <w:r>
              <w:rPr>
                <w:rFonts w:ascii="Arial" w:cs="Arial" w:eastAsia="Arial" w:hAnsi="Arial"/>
                <w:sz w:val="19"/>
                <w:szCs w:val="19"/>
                <w:color w:val="auto"/>
              </w:rPr>
              <w:t>Earnings per share of common stock—assuming dilution</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6"/>
              <w:spacing w:after="0"/>
              <w:rPr>
                <w:sz w:val="20"/>
                <w:szCs w:val="20"/>
                <w:color w:val="auto"/>
              </w:rPr>
            </w:pPr>
            <w:r>
              <w:rPr>
                <w:rFonts w:ascii="Arial" w:cs="Arial" w:eastAsia="Arial" w:hAnsi="Arial"/>
                <w:sz w:val="19"/>
                <w:szCs w:val="19"/>
                <w:color w:val="auto"/>
              </w:rPr>
              <w:t>2.85</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3.76</w:t>
            </w: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3.16</w:t>
            </w: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9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2008</w:t>
            </w:r>
          </w:p>
        </w:tc>
      </w:tr>
      <w:tr>
        <w:trPr>
          <w:trHeight w:val="264"/>
        </w:trPr>
        <w:tc>
          <w:tcPr>
            <w:tcW w:w="9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4"/>
          </w:tcPr>
          <w:p>
            <w:pPr>
              <w:jc w:val="right"/>
              <w:ind w:right="324"/>
              <w:spacing w:after="0"/>
              <w:rPr>
                <w:sz w:val="20"/>
                <w:szCs w:val="20"/>
                <w:color w:val="auto"/>
              </w:rPr>
            </w:pPr>
            <w:r>
              <w:rPr>
                <w:rFonts w:ascii="Arial" w:cs="Arial" w:eastAsia="Arial" w:hAnsi="Arial"/>
                <w:sz w:val="16"/>
                <w:szCs w:val="16"/>
                <w:b w:val="1"/>
                <w:bCs w:val="1"/>
                <w:color w:val="auto"/>
              </w:rPr>
              <w:t>(Dollars in millions)</w:t>
            </w:r>
          </w:p>
        </w:tc>
      </w:tr>
      <w:tr>
        <w:trPr>
          <w:trHeight w:val="203"/>
        </w:trPr>
        <w:tc>
          <w:tcPr>
            <w:tcW w:w="91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9"/>
                <w:szCs w:val="19"/>
                <w:color w:val="auto"/>
              </w:rPr>
              <w:t>Current assets: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9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Cash and cash equivalents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2,801</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2,065</w:t>
            </w:r>
          </w:p>
        </w:tc>
      </w:tr>
      <w:tr>
        <w:trPr>
          <w:trHeight w:val="270"/>
        </w:trPr>
        <w:tc>
          <w:tcPr>
            <w:tcW w:w="9120" w:type="dxa"/>
            <w:vAlign w:val="bottom"/>
          </w:tcPr>
          <w:p>
            <w:pPr>
              <w:ind w:left="200"/>
              <w:spacing w:after="0"/>
              <w:rPr>
                <w:sz w:val="20"/>
                <w:szCs w:val="20"/>
                <w:color w:val="auto"/>
              </w:rPr>
            </w:pPr>
            <w:r>
              <w:rPr>
                <w:rFonts w:ascii="Arial" w:cs="Arial" w:eastAsia="Arial" w:hAnsi="Arial"/>
                <w:sz w:val="19"/>
                <w:szCs w:val="19"/>
                <w:color w:val="auto"/>
              </w:rPr>
              <w:t>Accounts, notes and other receivables</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6,274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6,129</w:t>
            </w:r>
          </w:p>
        </w:tc>
      </w:tr>
      <w:tr>
        <w:trPr>
          <w:trHeight w:val="270"/>
        </w:trPr>
        <w:tc>
          <w:tcPr>
            <w:tcW w:w="9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Inventories</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3,446</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3,848</w:t>
            </w:r>
          </w:p>
        </w:tc>
      </w:tr>
      <w:tr>
        <w:trPr>
          <w:trHeight w:val="270"/>
        </w:trPr>
        <w:tc>
          <w:tcPr>
            <w:tcW w:w="9120" w:type="dxa"/>
            <w:vAlign w:val="bottom"/>
          </w:tcPr>
          <w:p>
            <w:pPr>
              <w:ind w:left="200"/>
              <w:spacing w:after="0"/>
              <w:rPr>
                <w:sz w:val="20"/>
                <w:szCs w:val="20"/>
                <w:color w:val="auto"/>
              </w:rPr>
            </w:pPr>
            <w:r>
              <w:rPr>
                <w:rFonts w:ascii="Arial" w:cs="Arial" w:eastAsia="Arial" w:hAnsi="Arial"/>
                <w:sz w:val="19"/>
                <w:szCs w:val="19"/>
                <w:color w:val="auto"/>
              </w:rPr>
              <w:t>Deferred income taxes</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1,034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922</w:t>
            </w:r>
          </w:p>
        </w:tc>
      </w:tr>
      <w:tr>
        <w:trPr>
          <w:trHeight w:val="270"/>
        </w:trPr>
        <w:tc>
          <w:tcPr>
            <w:tcW w:w="9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Other current assets</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381</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299</w:t>
            </w:r>
          </w:p>
        </w:tc>
      </w:tr>
      <w:tr>
        <w:trPr>
          <w:trHeight w:val="304"/>
        </w:trPr>
        <w:tc>
          <w:tcPr>
            <w:tcW w:w="9120" w:type="dxa"/>
            <w:vAlign w:val="bottom"/>
          </w:tcPr>
          <w:p>
            <w:pPr>
              <w:ind w:left="740"/>
              <w:spacing w:after="0"/>
              <w:rPr>
                <w:sz w:val="20"/>
                <w:szCs w:val="20"/>
                <w:color w:val="auto"/>
              </w:rPr>
            </w:pPr>
            <w:r>
              <w:rPr>
                <w:rFonts w:ascii="Arial" w:cs="Arial" w:eastAsia="Arial" w:hAnsi="Arial"/>
                <w:sz w:val="19"/>
                <w:szCs w:val="19"/>
                <w:color w:val="auto"/>
              </w:rPr>
              <w:t>Total current assets</w:t>
            </w:r>
          </w:p>
        </w:tc>
        <w:tc>
          <w:tcPr>
            <w:tcW w:w="180" w:type="dxa"/>
            <w:vAlign w:val="bottom"/>
          </w:tcPr>
          <w:p>
            <w:pPr>
              <w:spacing w:after="0"/>
              <w:rPr>
                <w:sz w:val="24"/>
                <w:szCs w:val="24"/>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13,936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13,263</w:t>
            </w:r>
          </w:p>
        </w:tc>
      </w:tr>
      <w:tr>
        <w:trPr>
          <w:trHeight w:val="27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Investments and long-term receivables</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579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670</w:t>
            </w:r>
          </w:p>
        </w:tc>
      </w:tr>
      <w:tr>
        <w:trPr>
          <w:trHeight w:val="270"/>
        </w:trPr>
        <w:tc>
          <w:tcPr>
            <w:tcW w:w="9120" w:type="dxa"/>
            <w:vAlign w:val="bottom"/>
          </w:tcPr>
          <w:p>
            <w:pPr>
              <w:ind w:left="20"/>
              <w:spacing w:after="0"/>
              <w:rPr>
                <w:sz w:val="20"/>
                <w:szCs w:val="20"/>
                <w:color w:val="auto"/>
              </w:rPr>
            </w:pPr>
            <w:r>
              <w:rPr>
                <w:rFonts w:ascii="Arial" w:cs="Arial" w:eastAsia="Arial" w:hAnsi="Arial"/>
                <w:sz w:val="19"/>
                <w:szCs w:val="19"/>
                <w:color w:val="auto"/>
              </w:rPr>
              <w:t>Property, plant and equipment—net</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4,847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4,934</w:t>
            </w:r>
          </w:p>
        </w:tc>
      </w:tr>
      <w:tr>
        <w:trPr>
          <w:trHeight w:val="27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Goodwill</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10,494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10,185</w:t>
            </w:r>
          </w:p>
        </w:tc>
      </w:tr>
      <w:tr>
        <w:trPr>
          <w:trHeight w:val="270"/>
        </w:trPr>
        <w:tc>
          <w:tcPr>
            <w:tcW w:w="9120" w:type="dxa"/>
            <w:vAlign w:val="bottom"/>
          </w:tcPr>
          <w:p>
            <w:pPr>
              <w:ind w:left="20"/>
              <w:spacing w:after="0"/>
              <w:rPr>
                <w:sz w:val="20"/>
                <w:szCs w:val="20"/>
                <w:color w:val="auto"/>
              </w:rPr>
            </w:pPr>
            <w:r>
              <w:rPr>
                <w:rFonts w:ascii="Arial" w:cs="Arial" w:eastAsia="Arial" w:hAnsi="Arial"/>
                <w:sz w:val="19"/>
                <w:szCs w:val="19"/>
                <w:color w:val="auto"/>
              </w:rPr>
              <w:t>Other intangible assets—net</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2,174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2,267</w:t>
            </w:r>
          </w:p>
        </w:tc>
      </w:tr>
      <w:tr>
        <w:trPr>
          <w:trHeight w:val="27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Insurance recoveries for asbestos related liabilities</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941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1,029</w:t>
            </w:r>
          </w:p>
        </w:tc>
      </w:tr>
      <w:tr>
        <w:trPr>
          <w:trHeight w:val="270"/>
        </w:trPr>
        <w:tc>
          <w:tcPr>
            <w:tcW w:w="9120" w:type="dxa"/>
            <w:vAlign w:val="bottom"/>
          </w:tcPr>
          <w:p>
            <w:pPr>
              <w:ind w:left="20"/>
              <w:spacing w:after="0"/>
              <w:rPr>
                <w:sz w:val="20"/>
                <w:szCs w:val="20"/>
                <w:color w:val="auto"/>
              </w:rPr>
            </w:pPr>
            <w:r>
              <w:rPr>
                <w:rFonts w:ascii="Arial" w:cs="Arial" w:eastAsia="Arial" w:hAnsi="Arial"/>
                <w:sz w:val="19"/>
                <w:szCs w:val="19"/>
                <w:color w:val="auto"/>
              </w:rPr>
              <w:t>Deferred income taxes</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2,017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2,135</w:t>
            </w:r>
          </w:p>
        </w:tc>
      </w:tr>
      <w:tr>
        <w:trPr>
          <w:trHeight w:val="27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assets</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1,016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1,007</w:t>
            </w:r>
          </w:p>
        </w:tc>
      </w:tr>
      <w:tr>
        <w:trPr>
          <w:trHeight w:val="304"/>
        </w:trPr>
        <w:tc>
          <w:tcPr>
            <w:tcW w:w="9120" w:type="dxa"/>
            <w:vAlign w:val="bottom"/>
          </w:tcPr>
          <w:p>
            <w:pPr>
              <w:ind w:left="740"/>
              <w:spacing w:after="0"/>
              <w:rPr>
                <w:sz w:val="20"/>
                <w:szCs w:val="20"/>
                <w:color w:val="auto"/>
              </w:rPr>
            </w:pPr>
            <w:r>
              <w:rPr>
                <w:rFonts w:ascii="Arial" w:cs="Arial" w:eastAsia="Arial" w:hAnsi="Arial"/>
                <w:sz w:val="19"/>
                <w:szCs w:val="19"/>
                <w:color w:val="auto"/>
              </w:rPr>
              <w:t>Total assets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36,004</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35,490</w:t>
            </w:r>
          </w:p>
        </w:tc>
      </w:tr>
      <w:tr>
        <w:trPr>
          <w:trHeight w:val="20"/>
        </w:trPr>
        <w:tc>
          <w:tcPr>
            <w:tcW w:w="9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3"/>
        </w:trPr>
        <w:tc>
          <w:tcPr>
            <w:tcW w:w="91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9"/>
                <w:szCs w:val="19"/>
                <w:color w:val="auto"/>
              </w:rPr>
              <w:t>Current liabilities: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9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Accounts payable</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3,633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3,773</w:t>
            </w:r>
          </w:p>
        </w:tc>
      </w:tr>
      <w:tr>
        <w:trPr>
          <w:trHeight w:val="270"/>
        </w:trPr>
        <w:tc>
          <w:tcPr>
            <w:tcW w:w="9120" w:type="dxa"/>
            <w:vAlign w:val="bottom"/>
          </w:tcPr>
          <w:p>
            <w:pPr>
              <w:ind w:left="200"/>
              <w:spacing w:after="0"/>
              <w:rPr>
                <w:sz w:val="20"/>
                <w:szCs w:val="20"/>
                <w:color w:val="auto"/>
              </w:rPr>
            </w:pPr>
            <w:r>
              <w:rPr>
                <w:rFonts w:ascii="Arial" w:cs="Arial" w:eastAsia="Arial" w:hAnsi="Arial"/>
                <w:sz w:val="19"/>
                <w:szCs w:val="19"/>
                <w:color w:val="auto"/>
              </w:rPr>
              <w:t>Short-term borrowings</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56</w:t>
            </w:r>
          </w:p>
        </w:tc>
      </w:tr>
      <w:tr>
        <w:trPr>
          <w:trHeight w:val="270"/>
        </w:trPr>
        <w:tc>
          <w:tcPr>
            <w:tcW w:w="9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Commercial paper</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298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1,431</w:t>
            </w:r>
          </w:p>
        </w:tc>
      </w:tr>
      <w:tr>
        <w:trPr>
          <w:trHeight w:val="270"/>
        </w:trPr>
        <w:tc>
          <w:tcPr>
            <w:tcW w:w="9120" w:type="dxa"/>
            <w:vAlign w:val="bottom"/>
          </w:tcPr>
          <w:p>
            <w:pPr>
              <w:ind w:left="200"/>
              <w:spacing w:after="0"/>
              <w:rPr>
                <w:sz w:val="20"/>
                <w:szCs w:val="20"/>
                <w:color w:val="auto"/>
              </w:rPr>
            </w:pPr>
            <w:r>
              <w:rPr>
                <w:rFonts w:ascii="Arial" w:cs="Arial" w:eastAsia="Arial" w:hAnsi="Arial"/>
                <w:sz w:val="19"/>
                <w:szCs w:val="19"/>
                <w:color w:val="auto"/>
              </w:rPr>
              <w:t>Current maturities of long-term debt</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1,018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1,023</w:t>
            </w:r>
          </w:p>
        </w:tc>
      </w:tr>
      <w:tr>
        <w:trPr>
          <w:trHeight w:val="270"/>
        </w:trPr>
        <w:tc>
          <w:tcPr>
            <w:tcW w:w="9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Accrued liabilities</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6,153</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6,006</w:t>
            </w:r>
          </w:p>
        </w:tc>
      </w:tr>
      <w:tr>
        <w:trPr>
          <w:trHeight w:val="304"/>
        </w:trPr>
        <w:tc>
          <w:tcPr>
            <w:tcW w:w="9120" w:type="dxa"/>
            <w:vAlign w:val="bottom"/>
          </w:tcPr>
          <w:p>
            <w:pPr>
              <w:ind w:left="740"/>
              <w:spacing w:after="0"/>
              <w:rPr>
                <w:sz w:val="20"/>
                <w:szCs w:val="20"/>
                <w:color w:val="auto"/>
              </w:rPr>
            </w:pPr>
            <w:r>
              <w:rPr>
                <w:rFonts w:ascii="Arial" w:cs="Arial" w:eastAsia="Arial" w:hAnsi="Arial"/>
                <w:sz w:val="19"/>
                <w:szCs w:val="19"/>
                <w:color w:val="auto"/>
              </w:rPr>
              <w:t>Total current liabilities</w:t>
            </w:r>
          </w:p>
        </w:tc>
        <w:tc>
          <w:tcPr>
            <w:tcW w:w="180" w:type="dxa"/>
            <w:vAlign w:val="bottom"/>
          </w:tcPr>
          <w:p>
            <w:pPr>
              <w:spacing w:after="0"/>
              <w:rPr>
                <w:sz w:val="24"/>
                <w:szCs w:val="24"/>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11,147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12,289</w:t>
            </w:r>
          </w:p>
        </w:tc>
      </w:tr>
      <w:tr>
        <w:trPr>
          <w:trHeight w:val="27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Long-term debt</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6,246</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5,865</w:t>
            </w:r>
          </w:p>
        </w:tc>
      </w:tr>
      <w:tr>
        <w:trPr>
          <w:trHeight w:val="270"/>
        </w:trPr>
        <w:tc>
          <w:tcPr>
            <w:tcW w:w="9120" w:type="dxa"/>
            <w:vAlign w:val="bottom"/>
          </w:tcPr>
          <w:p>
            <w:pPr>
              <w:ind w:left="20"/>
              <w:spacing w:after="0"/>
              <w:rPr>
                <w:sz w:val="20"/>
                <w:szCs w:val="20"/>
                <w:color w:val="auto"/>
              </w:rPr>
            </w:pPr>
            <w:r>
              <w:rPr>
                <w:rFonts w:ascii="Arial" w:cs="Arial" w:eastAsia="Arial" w:hAnsi="Arial"/>
                <w:sz w:val="19"/>
                <w:szCs w:val="19"/>
                <w:color w:val="auto"/>
              </w:rPr>
              <w:t>Deferred income taxes</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542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698</w:t>
            </w:r>
          </w:p>
        </w:tc>
      </w:tr>
      <w:tr>
        <w:trPr>
          <w:trHeight w:val="27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Postretirement benefit obligations other than pensions</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1,594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1,799</w:t>
            </w:r>
          </w:p>
        </w:tc>
      </w:tr>
      <w:tr>
        <w:trPr>
          <w:trHeight w:val="270"/>
        </w:trPr>
        <w:tc>
          <w:tcPr>
            <w:tcW w:w="9120" w:type="dxa"/>
            <w:vAlign w:val="bottom"/>
          </w:tcPr>
          <w:p>
            <w:pPr>
              <w:ind w:left="20"/>
              <w:spacing w:after="0"/>
              <w:rPr>
                <w:sz w:val="20"/>
                <w:szCs w:val="20"/>
                <w:color w:val="auto"/>
              </w:rPr>
            </w:pPr>
            <w:r>
              <w:rPr>
                <w:rFonts w:ascii="Arial" w:cs="Arial" w:eastAsia="Arial" w:hAnsi="Arial"/>
                <w:sz w:val="19"/>
                <w:szCs w:val="19"/>
                <w:color w:val="auto"/>
              </w:rPr>
              <w:t>Asbestos related liabilities</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1,040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1,538</w:t>
            </w:r>
          </w:p>
        </w:tc>
      </w:tr>
      <w:tr>
        <w:trPr>
          <w:trHeight w:val="27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liabilities</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6,481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6,032</w:t>
            </w:r>
          </w:p>
        </w:tc>
      </w:tr>
      <w:tr>
        <w:trPr>
          <w:trHeight w:val="203"/>
        </w:trPr>
        <w:tc>
          <w:tcPr>
            <w:tcW w:w="9120" w:type="dxa"/>
            <w:vAlign w:val="bottom"/>
          </w:tcPr>
          <w:p>
            <w:pPr>
              <w:ind w:left="20"/>
              <w:spacing w:after="0"/>
              <w:rPr>
                <w:sz w:val="20"/>
                <w:szCs w:val="20"/>
                <w:color w:val="auto"/>
              </w:rPr>
            </w:pPr>
            <w:r>
              <w:rPr>
                <w:rFonts w:ascii="Arial" w:cs="Arial" w:eastAsia="Arial" w:hAnsi="Arial"/>
                <w:sz w:val="16"/>
                <w:szCs w:val="16"/>
                <w:b w:val="1"/>
                <w:bCs w:val="1"/>
                <w:color w:val="auto"/>
              </w:rPr>
              <w:t>SHAREOWNERS’ EQUITY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Capital—common stock—Authorized 2,000,000,000 shares</w:t>
            </w:r>
          </w:p>
        </w:tc>
        <w:tc>
          <w:tcPr>
            <w:tcW w:w="18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30"/>
        </w:trPr>
        <w:tc>
          <w:tcPr>
            <w:tcW w:w="9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(Par value $1 per share):</w:t>
            </w:r>
          </w:p>
        </w:tc>
        <w:tc>
          <w:tcPr>
            <w:tcW w:w="18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70"/>
        </w:trPr>
        <w:tc>
          <w:tcPr>
            <w:tcW w:w="9120" w:type="dxa"/>
            <w:vAlign w:val="bottom"/>
          </w:tcPr>
          <w:p>
            <w:pPr>
              <w:ind w:left="380"/>
              <w:spacing w:after="0"/>
              <w:rPr>
                <w:sz w:val="20"/>
                <w:szCs w:val="20"/>
                <w:color w:val="auto"/>
              </w:rPr>
            </w:pPr>
            <w:r>
              <w:rPr>
                <w:rFonts w:ascii="Arial" w:cs="Arial" w:eastAsia="Arial" w:hAnsi="Arial"/>
                <w:sz w:val="19"/>
                <w:szCs w:val="19"/>
                <w:color w:val="auto"/>
              </w:rPr>
              <w:t>—issued 957,599,900</w:t>
            </w:r>
          </w:p>
        </w:tc>
        <w:tc>
          <w:tcPr>
            <w:tcW w:w="18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958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958</w:t>
            </w:r>
          </w:p>
        </w:tc>
      </w:tr>
      <w:tr>
        <w:trPr>
          <w:trHeight w:val="270"/>
        </w:trPr>
        <w:tc>
          <w:tcPr>
            <w:tcW w:w="91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—additional paid-in capital</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3,823</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3,994</w:t>
            </w:r>
          </w:p>
        </w:tc>
      </w:tr>
      <w:tr>
        <w:trPr>
          <w:trHeight w:val="230"/>
        </w:trPr>
        <w:tc>
          <w:tcPr>
            <w:tcW w:w="9120" w:type="dxa"/>
            <w:vAlign w:val="bottom"/>
          </w:tcPr>
          <w:p>
            <w:pPr>
              <w:ind w:left="20"/>
              <w:spacing w:after="0"/>
              <w:rPr>
                <w:sz w:val="20"/>
                <w:szCs w:val="20"/>
                <w:color w:val="auto"/>
              </w:rPr>
            </w:pPr>
            <w:r>
              <w:rPr>
                <w:rFonts w:ascii="Arial" w:cs="Arial" w:eastAsia="Arial" w:hAnsi="Arial"/>
                <w:sz w:val="19"/>
                <w:szCs w:val="19"/>
                <w:color w:val="auto"/>
              </w:rPr>
              <w:t>Common stock held in treasury, at cost:</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9120" w:type="dxa"/>
            <w:vAlign w:val="bottom"/>
          </w:tcPr>
          <w:p>
            <w:pPr>
              <w:ind w:left="200"/>
              <w:spacing w:after="0"/>
              <w:rPr>
                <w:sz w:val="20"/>
                <w:szCs w:val="20"/>
                <w:color w:val="auto"/>
              </w:rPr>
            </w:pPr>
            <w:r>
              <w:rPr>
                <w:rFonts w:ascii="Arial" w:cs="Arial" w:eastAsia="Arial" w:hAnsi="Arial"/>
                <w:sz w:val="19"/>
                <w:szCs w:val="19"/>
                <w:color w:val="auto"/>
              </w:rPr>
              <w:t>2009—193,390,602 shares; 2008—223,013,668 shares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(8,995 )</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w w:val="99"/>
              </w:rPr>
              <w:t>(10,206 )</w:t>
            </w:r>
          </w:p>
        </w:tc>
      </w:tr>
      <w:tr>
        <w:trPr>
          <w:trHeight w:val="270"/>
        </w:trPr>
        <w:tc>
          <w:tcPr>
            <w:tcW w:w="9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Accumulated other comprehensive income (loss)</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(4,429 )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(3,809 )</w:t>
            </w:r>
          </w:p>
        </w:tc>
      </w:tr>
      <w:tr>
        <w:trPr>
          <w:trHeight w:val="270"/>
        </w:trPr>
        <w:tc>
          <w:tcPr>
            <w:tcW w:w="9120" w:type="dxa"/>
            <w:vAlign w:val="bottom"/>
          </w:tcPr>
          <w:p>
            <w:pPr>
              <w:ind w:left="20"/>
              <w:spacing w:after="0"/>
              <w:rPr>
                <w:sz w:val="20"/>
                <w:szCs w:val="20"/>
                <w:color w:val="auto"/>
              </w:rPr>
            </w:pPr>
            <w:r>
              <w:rPr>
                <w:rFonts w:ascii="Arial" w:cs="Arial" w:eastAsia="Arial" w:hAnsi="Arial"/>
                <w:sz w:val="19"/>
                <w:szCs w:val="19"/>
                <w:color w:val="auto"/>
              </w:rPr>
              <w:t>Retained earnings</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17,487</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16,250</w:t>
            </w:r>
          </w:p>
        </w:tc>
      </w:tr>
      <w:tr>
        <w:trPr>
          <w:trHeight w:val="34"/>
        </w:trPr>
        <w:tc>
          <w:tcPr>
            <w:tcW w:w="9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12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 Honeywell shareowners’ equity</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8,844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7,187</w:t>
            </w:r>
          </w:p>
        </w:tc>
      </w:tr>
      <w:tr>
        <w:trPr>
          <w:trHeight w:val="270"/>
        </w:trPr>
        <w:tc>
          <w:tcPr>
            <w:tcW w:w="9120" w:type="dxa"/>
            <w:vAlign w:val="bottom"/>
          </w:tcPr>
          <w:p>
            <w:pPr>
              <w:ind w:left="20"/>
              <w:spacing w:after="0"/>
              <w:rPr>
                <w:sz w:val="20"/>
                <w:szCs w:val="20"/>
                <w:color w:val="auto"/>
              </w:rPr>
            </w:pPr>
            <w:r>
              <w:rPr>
                <w:rFonts w:ascii="Arial" w:cs="Arial" w:eastAsia="Arial" w:hAnsi="Arial"/>
                <w:sz w:val="19"/>
                <w:szCs w:val="19"/>
                <w:color w:val="auto"/>
              </w:rPr>
              <w:t>Noncontrolling interest</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110</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82</w:t>
            </w:r>
          </w:p>
        </w:tc>
      </w:tr>
      <w:tr>
        <w:trPr>
          <w:trHeight w:val="34"/>
        </w:trPr>
        <w:tc>
          <w:tcPr>
            <w:tcW w:w="9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12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 shareowners’ equity</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8,954</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7,269</w:t>
            </w:r>
          </w:p>
        </w:tc>
      </w:tr>
      <w:tr>
        <w:trPr>
          <w:trHeight w:val="304"/>
        </w:trPr>
        <w:tc>
          <w:tcPr>
            <w:tcW w:w="9120" w:type="dxa"/>
            <w:vAlign w:val="bottom"/>
          </w:tcPr>
          <w:p>
            <w:pPr>
              <w:ind w:left="740"/>
              <w:spacing w:after="0"/>
              <w:rPr>
                <w:sz w:val="20"/>
                <w:szCs w:val="20"/>
                <w:color w:val="auto"/>
              </w:rPr>
            </w:pPr>
            <w:r>
              <w:rPr>
                <w:rFonts w:ascii="Arial" w:cs="Arial" w:eastAsia="Arial" w:hAnsi="Arial"/>
                <w:sz w:val="19"/>
                <w:szCs w:val="19"/>
                <w:color w:val="auto"/>
              </w:rPr>
              <w:t>Total liabilities and shareowners’ equity</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36,004</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35,490</w:t>
            </w:r>
          </w:p>
        </w:tc>
      </w:tr>
      <w:tr>
        <w:trPr>
          <w:trHeight w:val="20"/>
        </w:trPr>
        <w:tc>
          <w:tcPr>
            <w:tcW w:w="9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ectPr>
          <w:pgSz w:w="11900" w:h="16838" w:orient="portrait"/>
          <w:cols w:equalWidth="0" w:num="1">
            <w:col w:w="11420"/>
          </w:cols>
          <w:pgMar w:left="240" w:top="106"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CASH FLOWS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6"/>
                <w:szCs w:val="16"/>
                <w:b w:val="1"/>
                <w:bCs w:val="1"/>
                <w:color w:val="auto"/>
                <w:w w:val="98"/>
              </w:rPr>
              <w:t>Years Ended December 31,</w:t>
            </w:r>
          </w:p>
        </w:tc>
      </w:tr>
      <w:tr>
        <w:trPr>
          <w:trHeight w:val="250"/>
        </w:trPr>
        <w:tc>
          <w:tcPr>
            <w:tcW w:w="8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08"/>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2007</w:t>
            </w:r>
          </w:p>
        </w:tc>
      </w:tr>
      <w:tr>
        <w:trPr>
          <w:trHeight w:val="264"/>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8"/>
              </w:rPr>
              <w:t>(Dollars in millions)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812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Net income attributable to Honeywell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2,153</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2,792</w:t>
            </w:r>
          </w:p>
        </w:tc>
        <w:tc>
          <w:tcPr>
            <w:tcW w:w="3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2,444</w:t>
            </w:r>
          </w:p>
        </w:tc>
      </w:tr>
      <w:tr>
        <w:trPr>
          <w:trHeight w:val="212"/>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Adjustments to reconcile net income attributable to Honeywell to net cash provided by</w:t>
            </w: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r>
      <w:tr>
        <w:trPr>
          <w:trHeight w:val="220"/>
        </w:trPr>
        <w:tc>
          <w:tcPr>
            <w:tcW w:w="8120" w:type="dxa"/>
            <w:vAlign w:val="bottom"/>
            <w:shd w:val="clear" w:color="auto" w:fill="E5FFFF"/>
          </w:tcPr>
          <w:p>
            <w:pPr>
              <w:ind w:left="540"/>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957</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903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837</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Gain on sale of non-strategic businesses and assets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(87 )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(635 )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(19 )</w:t>
            </w: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Repositioning and other charges</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543</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Net payments for repositioning and other charges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(658 )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(446 )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(504 )</w:t>
            </w: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Pension and other postretirement expense</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322</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Pension and other postretirement payments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(189 )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(214 )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(300 )</w:t>
            </w: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Stock compensation expense</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112</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332</w:t>
            </w: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Excess tax benefits from share based payment arrangements</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81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133</w:t>
            </w:r>
          </w:p>
        </w:tc>
      </w:tr>
      <w:tr>
        <w:trPr>
          <w:trHeight w:val="230"/>
        </w:trPr>
        <w:tc>
          <w:tcPr>
            <w:tcW w:w="8120" w:type="dxa"/>
            <w:vAlign w:val="bottom"/>
          </w:tcPr>
          <w:p>
            <w:pPr>
              <w:ind w:left="70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0"/>
        </w:trPr>
        <w:tc>
          <w:tcPr>
            <w:tcW w:w="8120" w:type="dxa"/>
            <w:vAlign w:val="bottom"/>
            <w:shd w:val="clear" w:color="auto" w:fill="E5FFFF"/>
          </w:tcPr>
          <w:p>
            <w:pPr>
              <w:ind w:left="1040"/>
              <w:spacing w:after="0"/>
              <w:rPr>
                <w:sz w:val="20"/>
                <w:szCs w:val="20"/>
                <w:color w:val="auto"/>
              </w:rPr>
            </w:pPr>
            <w:r>
              <w:rPr>
                <w:rFonts w:ascii="Arial" w:cs="Arial" w:eastAsia="Arial" w:hAnsi="Arial"/>
                <w:sz w:val="18"/>
                <w:szCs w:val="18"/>
                <w:color w:val="auto"/>
              </w:rPr>
              <w:t>Accounts, notes and other receivables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(467 )</w:t>
            </w:r>
          </w:p>
        </w:tc>
      </w:tr>
      <w:tr>
        <w:trPr>
          <w:trHeight w:val="270"/>
        </w:trPr>
        <w:tc>
          <w:tcPr>
            <w:tcW w:w="8120" w:type="dxa"/>
            <w:vAlign w:val="bottom"/>
          </w:tcPr>
          <w:p>
            <w:pPr>
              <w:ind w:left="10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70"/>
        </w:trPr>
        <w:tc>
          <w:tcPr>
            <w:tcW w:w="8120" w:type="dxa"/>
            <w:vAlign w:val="bottom"/>
            <w:shd w:val="clear" w:color="auto" w:fill="E5FFFF"/>
          </w:tcPr>
          <w:p>
            <w:pPr>
              <w:ind w:left="10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25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17</w:t>
            </w:r>
          </w:p>
        </w:tc>
      </w:tr>
      <w:tr>
        <w:trPr>
          <w:trHeight w:val="270"/>
        </w:trPr>
        <w:tc>
          <w:tcPr>
            <w:tcW w:w="8120" w:type="dxa"/>
            <w:vAlign w:val="bottom"/>
          </w:tcPr>
          <w:p>
            <w:pPr>
              <w:ind w:left="10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397</w:t>
            </w:r>
          </w:p>
        </w:tc>
      </w:tr>
      <w:tr>
        <w:trPr>
          <w:trHeight w:val="270"/>
        </w:trPr>
        <w:tc>
          <w:tcPr>
            <w:tcW w:w="8120" w:type="dxa"/>
            <w:vAlign w:val="bottom"/>
            <w:shd w:val="clear" w:color="auto" w:fill="E5FFFF"/>
          </w:tcPr>
          <w:p>
            <w:pPr>
              <w:ind w:left="10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(175 )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(141 )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8"/>
                <w:szCs w:val="18"/>
                <w:color w:val="auto"/>
              </w:rPr>
              <w:t>333</w:t>
            </w:r>
          </w:p>
        </w:tc>
      </w:tr>
      <w:tr>
        <w:trPr>
          <w:trHeight w:val="304"/>
        </w:trPr>
        <w:tc>
          <w:tcPr>
            <w:tcW w:w="8120" w:type="dxa"/>
            <w:vAlign w:val="bottom"/>
          </w:tcPr>
          <w:p>
            <w:pPr>
              <w:ind w:left="12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8"/>
                <w:szCs w:val="18"/>
                <w:color w:val="auto"/>
              </w:rPr>
              <w:t>3,946</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color w:val="auto"/>
              </w:rPr>
              <w:t>3,791</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3,911</w:t>
            </w:r>
          </w:p>
        </w:tc>
      </w:tr>
      <w:tr>
        <w:trPr>
          <w:trHeight w:val="34"/>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0"/>
        </w:trPr>
        <w:tc>
          <w:tcPr>
            <w:tcW w:w="812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(884 )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Proceeds from disposals of property, plant and equipment</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31</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53</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98</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Increase in investments</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Decrease in investments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18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6</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(2,181 )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(1,150 )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Proceeds from sales of businesses, net of fees paid</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909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51</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w:t>
            </w:r>
          </w:p>
        </w:tc>
      </w:tr>
      <w:tr>
        <w:trPr>
          <w:trHeight w:val="34"/>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120" w:type="dxa"/>
            <w:vAlign w:val="bottom"/>
            <w:shd w:val="clear" w:color="auto" w:fill="E5FFFF"/>
          </w:tcPr>
          <w:p>
            <w:pPr>
              <w:ind w:left="1220"/>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(1,133 )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(2,023 )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9"/>
              </w:rPr>
              <w:t>(1,782 )</w:t>
            </w:r>
          </w:p>
        </w:tc>
      </w:tr>
      <w:tr>
        <w:trPr>
          <w:trHeight w:val="264"/>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Net (decrease)/increase in commercial paper</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(1,133 )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(325 )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1,078</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Net decrease in short-term borrowings</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Payments of debt assumed with acquisitions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(40 )</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603</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1,488</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1,487</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1,885</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Payments of long-term debt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Excess tax benefits from share based payment arrangements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21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86</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(1,459 )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(3,986 )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Cash dividends paid</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(918 )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(811 )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(767 )</w:t>
            </w:r>
          </w:p>
        </w:tc>
      </w:tr>
      <w:tr>
        <w:trPr>
          <w:trHeight w:val="304"/>
        </w:trPr>
        <w:tc>
          <w:tcPr>
            <w:tcW w:w="8120" w:type="dxa"/>
            <w:vAlign w:val="bottom"/>
          </w:tcPr>
          <w:p>
            <w:pPr>
              <w:ind w:left="1220"/>
              <w:spacing w:after="0"/>
              <w:rPr>
                <w:sz w:val="20"/>
                <w:szCs w:val="20"/>
                <w:color w:val="auto"/>
              </w:rPr>
            </w:pPr>
            <w:r>
              <w:rPr>
                <w:rFonts w:ascii="Arial" w:cs="Arial" w:eastAsia="Arial" w:hAnsi="Arial"/>
                <w:sz w:val="18"/>
                <w:szCs w:val="18"/>
                <w:color w:val="auto"/>
              </w:rPr>
              <w:t>Net cash used for financing activities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(2,152 )</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(1,370 )</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(1,574 )</w:t>
            </w:r>
          </w:p>
        </w:tc>
      </w:tr>
      <w:tr>
        <w:trPr>
          <w:trHeight w:val="34"/>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120" w:type="dxa"/>
            <w:vAlign w:val="bottom"/>
            <w:shd w:val="clear" w:color="auto" w:fill="E5FF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9"/>
              <w:spacing w:after="0"/>
              <w:rPr>
                <w:sz w:val="20"/>
                <w:szCs w:val="20"/>
                <w:color w:val="auto"/>
              </w:rPr>
            </w:pPr>
            <w:r>
              <w:rPr>
                <w:rFonts w:ascii="Arial" w:cs="Arial" w:eastAsia="Arial" w:hAnsi="Arial"/>
                <w:sz w:val="18"/>
                <w:szCs w:val="18"/>
                <w:color w:val="auto"/>
              </w:rPr>
              <w:t>75</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(162 )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8"/>
                <w:szCs w:val="18"/>
                <w:color w:val="auto"/>
              </w:rPr>
              <w:t>50</w:t>
            </w:r>
          </w:p>
        </w:tc>
      </w:tr>
      <w:tr>
        <w:trPr>
          <w:trHeight w:val="304"/>
        </w:trPr>
        <w:tc>
          <w:tcPr>
            <w:tcW w:w="81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24"/>
                <w:szCs w:val="24"/>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736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605</w:t>
            </w:r>
          </w:p>
        </w:tc>
      </w:tr>
      <w:tr>
        <w:trPr>
          <w:trHeight w:val="270"/>
        </w:trPr>
        <w:tc>
          <w:tcPr>
            <w:tcW w:w="8120" w:type="dxa"/>
            <w:vAlign w:val="bottom"/>
            <w:shd w:val="clear" w:color="auto" w:fill="E5FF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9"/>
              <w:spacing w:after="0"/>
              <w:rPr>
                <w:sz w:val="20"/>
                <w:szCs w:val="20"/>
                <w:color w:val="auto"/>
              </w:rPr>
            </w:pPr>
            <w:r>
              <w:rPr>
                <w:rFonts w:ascii="Arial" w:cs="Arial" w:eastAsia="Arial" w:hAnsi="Arial"/>
                <w:sz w:val="18"/>
                <w:szCs w:val="18"/>
                <w:color w:val="auto"/>
              </w:rPr>
              <w:t>2,065</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8"/>
              <w:spacing w:after="0"/>
              <w:rPr>
                <w:sz w:val="20"/>
                <w:szCs w:val="20"/>
                <w:color w:val="auto"/>
              </w:rPr>
            </w:pPr>
            <w:r>
              <w:rPr>
                <w:rFonts w:ascii="Arial" w:cs="Arial" w:eastAsia="Arial" w:hAnsi="Arial"/>
                <w:sz w:val="18"/>
                <w:szCs w:val="18"/>
                <w:color w:val="auto"/>
              </w:rPr>
              <w:t>1,829</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8"/>
                <w:szCs w:val="18"/>
                <w:color w:val="auto"/>
              </w:rPr>
              <w:t>1,224</w:t>
            </w:r>
          </w:p>
        </w:tc>
      </w:tr>
      <w:tr>
        <w:trPr>
          <w:trHeight w:val="304"/>
        </w:trPr>
        <w:tc>
          <w:tcPr>
            <w:tcW w:w="81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2,801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2,065</w:t>
            </w: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1,829</w:t>
            </w:r>
          </w:p>
        </w:tc>
      </w:tr>
      <w:tr>
        <w:trPr>
          <w:trHeight w:val="20"/>
        </w:trPr>
        <w:tc>
          <w:tcPr>
            <w:tcW w:w="8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ectPr>
          <w:pgSz w:w="11900" w:h="16838" w:orient="portrait"/>
          <w:cols w:equalWidth="0" w:num="1">
            <w:col w:w="11420"/>
          </w:cols>
          <w:pgMar w:left="240" w:top="106"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SHAREOWNERS’ EQUITY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2009</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gridSpan w:val="2"/>
          </w:tcPr>
          <w:p>
            <w:pPr>
              <w:jc w:val="right"/>
              <w:ind w:right="732"/>
              <w:spacing w:after="0"/>
              <w:rPr>
                <w:sz w:val="20"/>
                <w:szCs w:val="20"/>
                <w:color w:val="auto"/>
              </w:rPr>
            </w:pPr>
            <w:r>
              <w:rPr>
                <w:rFonts w:ascii="Arial" w:cs="Arial" w:eastAsia="Arial" w:hAnsi="Arial"/>
                <w:sz w:val="16"/>
                <w:szCs w:val="16"/>
                <w:b w:val="1"/>
                <w:bCs w:val="1"/>
                <w:color w:val="auto"/>
                <w:w w:val="95"/>
              </w:rPr>
              <w:t>2008</w:t>
            </w:r>
          </w:p>
        </w:tc>
        <w:tc>
          <w:tcPr>
            <w:tcW w:w="13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2007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3"/>
          </w:tcPr>
          <w:p>
            <w:pPr>
              <w:jc w:val="right"/>
              <w:ind w:right="552"/>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Common stock, par value</w:t>
            </w:r>
          </w:p>
        </w:tc>
        <w:tc>
          <w:tcPr>
            <w:tcW w:w="900" w:type="dxa"/>
            <w:vAlign w:val="bottom"/>
            <w:shd w:val="clear" w:color="auto" w:fill="E5FFFF"/>
          </w:tcPr>
          <w:p>
            <w:pPr>
              <w:jc w:val="right"/>
              <w:ind w:right="113"/>
              <w:spacing w:after="0"/>
              <w:rPr>
                <w:sz w:val="20"/>
                <w:szCs w:val="20"/>
                <w:color w:val="auto"/>
              </w:rPr>
            </w:pPr>
            <w:r>
              <w:rPr>
                <w:rFonts w:ascii="Arial" w:cs="Arial" w:eastAsia="Arial" w:hAnsi="Arial"/>
                <w:sz w:val="18"/>
                <w:szCs w:val="18"/>
                <w:color w:val="auto"/>
              </w:rPr>
              <w:t>957.6</w:t>
            </w: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958</w:t>
            </w:r>
          </w:p>
        </w:tc>
        <w:tc>
          <w:tcPr>
            <w:tcW w:w="102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957.6</w:t>
            </w: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color w:val="auto"/>
              </w:rPr>
              <w:t>958</w:t>
            </w:r>
          </w:p>
        </w:tc>
        <w:tc>
          <w:tcPr>
            <w:tcW w:w="1120" w:type="dxa"/>
            <w:vAlign w:val="bottom"/>
            <w:gridSpan w:val="2"/>
            <w:shd w:val="clear" w:color="auto" w:fill="E5FFFF"/>
          </w:tcPr>
          <w:p>
            <w:pPr>
              <w:jc w:val="right"/>
              <w:ind w:right="116"/>
              <w:spacing w:after="0"/>
              <w:rPr>
                <w:sz w:val="20"/>
                <w:szCs w:val="20"/>
                <w:color w:val="auto"/>
              </w:rPr>
            </w:pPr>
            <w:r>
              <w:rPr>
                <w:rFonts w:ascii="Arial" w:cs="Arial" w:eastAsia="Arial" w:hAnsi="Arial"/>
                <w:sz w:val="18"/>
                <w:szCs w:val="18"/>
                <w:color w:val="auto"/>
              </w:rPr>
              <w:t>957.6</w:t>
            </w: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3,994</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color w:val="auto"/>
              </w:rPr>
              <w:t>4,014</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Issued for employee savings and option plans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(99 )</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(56 )</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Contributed to pension plans</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(190 )</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(90 )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0"/>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Other owner changes</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11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9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3,823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3,994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35"/>
        </w:trPr>
        <w:tc>
          <w:tcPr>
            <w:tcW w:w="49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Treasury stock</w:t>
            </w:r>
          </w:p>
        </w:tc>
        <w:tc>
          <w:tcPr>
            <w:tcW w:w="9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9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(223.0 )</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97"/>
              </w:rPr>
              <w:t>(10,206 )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(211.0 )</w:t>
            </w: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(9,479 )</w:t>
            </w:r>
          </w:p>
        </w:tc>
        <w:tc>
          <w:tcPr>
            <w:tcW w:w="1120" w:type="dxa"/>
            <w:vAlign w:val="bottom"/>
            <w:gridSpan w:val="2"/>
          </w:tcPr>
          <w:p>
            <w:pPr>
              <w:jc w:val="right"/>
              <w:ind w:right="16"/>
              <w:spacing w:after="0"/>
              <w:rPr>
                <w:sz w:val="20"/>
                <w:szCs w:val="20"/>
                <w:color w:val="auto"/>
              </w:rPr>
            </w:pPr>
            <w:r>
              <w:rPr>
                <w:rFonts w:ascii="Arial" w:cs="Arial" w:eastAsia="Arial" w:hAnsi="Arial"/>
                <w:sz w:val="18"/>
                <w:szCs w:val="18"/>
                <w:color w:val="auto"/>
              </w:rPr>
              <w:t>(157.0 )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(6,339 )</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Reacquired stock or repurchases of common stock</w:t>
            </w:r>
          </w:p>
        </w:tc>
        <w:tc>
          <w:tcPr>
            <w:tcW w:w="1280" w:type="dxa"/>
            <w:vAlign w:val="bottom"/>
            <w:gridSpan w:val="3"/>
            <w:shd w:val="clear" w:color="auto" w:fill="E5FFFF"/>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(27.4 )</w:t>
            </w: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(1,459 )</w:t>
            </w:r>
          </w:p>
        </w:tc>
        <w:tc>
          <w:tcPr>
            <w:tcW w:w="1120" w:type="dxa"/>
            <w:vAlign w:val="bottom"/>
            <w:gridSpan w:val="2"/>
            <w:shd w:val="clear" w:color="auto" w:fill="E5FFFF"/>
          </w:tcPr>
          <w:p>
            <w:pPr>
              <w:jc w:val="right"/>
              <w:ind w:right="16"/>
              <w:spacing w:after="0"/>
              <w:rPr>
                <w:sz w:val="20"/>
                <w:szCs w:val="20"/>
                <w:color w:val="auto"/>
              </w:rPr>
            </w:pPr>
            <w:r>
              <w:rPr>
                <w:rFonts w:ascii="Arial" w:cs="Arial" w:eastAsia="Arial" w:hAnsi="Arial"/>
                <w:sz w:val="18"/>
                <w:szCs w:val="18"/>
                <w:color w:val="auto"/>
              </w:rPr>
              <w:t>(74.2 )</w:t>
            </w: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(3,987 )</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Issued for employee savings and option plans</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281</w:t>
            </w: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9.0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427</w:t>
            </w:r>
          </w:p>
        </w:tc>
        <w:tc>
          <w:tcPr>
            <w:tcW w:w="1120" w:type="dxa"/>
            <w:vAlign w:val="bottom"/>
            <w:gridSpan w:val="2"/>
          </w:tcPr>
          <w:p>
            <w:pPr>
              <w:jc w:val="right"/>
              <w:ind w:right="1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Contributed to pension plans</w:t>
            </w:r>
          </w:p>
        </w:tc>
        <w:tc>
          <w:tcPr>
            <w:tcW w:w="900" w:type="dxa"/>
            <w:vAlign w:val="bottom"/>
            <w:shd w:val="clear" w:color="auto" w:fill="E5FFFF"/>
          </w:tcPr>
          <w:p>
            <w:pPr>
              <w:jc w:val="right"/>
              <w:ind w:right="113"/>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930</w:t>
            </w:r>
          </w:p>
        </w:tc>
        <w:tc>
          <w:tcPr>
            <w:tcW w:w="102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6.1</w:t>
            </w: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E5FFFF"/>
          </w:tcPr>
          <w:p>
            <w:pPr>
              <w:spacing w:after="0"/>
              <w:rPr>
                <w:sz w:val="23"/>
                <w:szCs w:val="23"/>
                <w:color w:val="auto"/>
              </w:rPr>
            </w:pPr>
          </w:p>
        </w:tc>
        <w:tc>
          <w:tcPr>
            <w:tcW w:w="116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Other owner changes</w:t>
            </w: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0.3</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116"/>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5"/>
        </w:trPr>
        <w:tc>
          <w:tcPr>
            <w:tcW w:w="496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(193.4 )</w:t>
            </w: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(8,995 )</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(223.0 )</w:t>
            </w: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(10,206 )</w:t>
            </w:r>
          </w:p>
        </w:tc>
        <w:tc>
          <w:tcPr>
            <w:tcW w:w="1120" w:type="dxa"/>
            <w:vAlign w:val="bottom"/>
            <w:gridSpan w:val="2"/>
            <w:shd w:val="clear" w:color="auto" w:fill="E5FFFF"/>
          </w:tcPr>
          <w:p>
            <w:pPr>
              <w:jc w:val="right"/>
              <w:ind w:right="16"/>
              <w:spacing w:after="0"/>
              <w:rPr>
                <w:sz w:val="20"/>
                <w:szCs w:val="20"/>
                <w:color w:val="auto"/>
              </w:rPr>
            </w:pPr>
            <w:r>
              <w:rPr>
                <w:rFonts w:ascii="Arial" w:cs="Arial" w:eastAsia="Arial" w:hAnsi="Arial"/>
                <w:sz w:val="18"/>
                <w:szCs w:val="18"/>
                <w:color w:val="auto"/>
              </w:rPr>
              <w:t>(211.0 )</w:t>
            </w: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(9,479 )</w:t>
            </w: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16,250</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color w:val="auto"/>
              </w:rPr>
              <w:t>14,273</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Net income attributable to Honeywell</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2,153</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2,792</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Dividends paid on common stock</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(916 )</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(815 )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(767 )</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Uncertain tax positions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5"/>
        </w:trPr>
        <w:tc>
          <w:tcPr>
            <w:tcW w:w="49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17,487</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color w:val="auto"/>
              </w:rPr>
              <w:t>16,250</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14,273</w:t>
            </w: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(3,809 )</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(544 )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(1,307 )</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(614 )</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Pensions and other post retirement benefit adjustments</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(1,021 )</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(2,576 )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Changes in fair value of available for sale investments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(51 )</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Changes in fair value of effective cash flow hedges</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111"/>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(24 )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304"/>
        </w:trPr>
        <w:tc>
          <w:tcPr>
            <w:tcW w:w="49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(4,429 )</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(3,809 )</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(544 )</w:t>
            </w:r>
          </w:p>
        </w:tc>
        <w:tc>
          <w:tcPr>
            <w:tcW w:w="0" w:type="dxa"/>
            <w:vAlign w:val="bottom"/>
          </w:tcPr>
          <w:p>
            <w:pPr>
              <w:spacing w:after="0"/>
              <w:rPr>
                <w:sz w:val="1"/>
                <w:szCs w:val="1"/>
                <w:color w:val="auto"/>
              </w:rPr>
            </w:pPr>
          </w:p>
        </w:tc>
      </w:tr>
      <w:tr>
        <w:trPr>
          <w:trHeight w:val="35"/>
        </w:trPr>
        <w:tc>
          <w:tcPr>
            <w:tcW w:w="496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Total Shareowners Equity Shares</w:t>
            </w:r>
          </w:p>
        </w:tc>
        <w:tc>
          <w:tcPr>
            <w:tcW w:w="900" w:type="dxa"/>
            <w:vAlign w:val="bottom"/>
            <w:shd w:val="clear" w:color="auto" w:fill="E5FFFF"/>
          </w:tcPr>
          <w:p>
            <w:pPr>
              <w:jc w:val="right"/>
              <w:ind w:right="113"/>
              <w:spacing w:after="0"/>
              <w:rPr>
                <w:sz w:val="20"/>
                <w:szCs w:val="20"/>
                <w:color w:val="auto"/>
              </w:rPr>
            </w:pPr>
            <w:r>
              <w:rPr>
                <w:rFonts w:ascii="Arial" w:cs="Arial" w:eastAsia="Arial" w:hAnsi="Arial"/>
                <w:sz w:val="18"/>
                <w:szCs w:val="18"/>
                <w:b w:val="1"/>
                <w:bCs w:val="1"/>
                <w:color w:val="auto"/>
              </w:rPr>
              <w:t>764.2</w:t>
            </w: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b w:val="1"/>
                <w:bCs w:val="1"/>
                <w:color w:val="auto"/>
              </w:rPr>
              <w:t>8,844</w:t>
            </w:r>
          </w:p>
        </w:tc>
        <w:tc>
          <w:tcPr>
            <w:tcW w:w="102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b w:val="1"/>
                <w:bCs w:val="1"/>
                <w:color w:val="auto"/>
              </w:rPr>
              <w:t>734.6</w:t>
            </w: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b w:val="1"/>
                <w:bCs w:val="1"/>
                <w:color w:val="auto"/>
              </w:rPr>
              <w:t>7,187</w:t>
            </w:r>
          </w:p>
        </w:tc>
        <w:tc>
          <w:tcPr>
            <w:tcW w:w="1120" w:type="dxa"/>
            <w:vAlign w:val="bottom"/>
            <w:gridSpan w:val="2"/>
            <w:shd w:val="clear" w:color="auto" w:fill="E5FFFF"/>
          </w:tcPr>
          <w:p>
            <w:pPr>
              <w:jc w:val="right"/>
              <w:ind w:right="116"/>
              <w:spacing w:after="0"/>
              <w:rPr>
                <w:sz w:val="20"/>
                <w:szCs w:val="20"/>
                <w:color w:val="auto"/>
              </w:rPr>
            </w:pPr>
            <w:r>
              <w:rPr>
                <w:rFonts w:ascii="Arial" w:cs="Arial" w:eastAsia="Arial" w:hAnsi="Arial"/>
                <w:sz w:val="18"/>
                <w:szCs w:val="18"/>
                <w:b w:val="1"/>
                <w:bCs w:val="1"/>
                <w:color w:val="auto"/>
              </w:rPr>
              <w:t>746.6</w:t>
            </w: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b w:val="1"/>
                <w:bCs w:val="1"/>
                <w:color w:val="auto"/>
              </w:rPr>
              <w:t>9,222</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 controlling interest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82</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color w:val="auto"/>
              </w:rPr>
              <w:t>71</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Interest sold (bought)</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(3 )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60" w:type="dxa"/>
            <w:vAlign w:val="bottom"/>
          </w:tcPr>
          <w:p>
            <w:pPr>
              <w:ind w:left="340"/>
              <w:spacing w:after="0"/>
              <w:rPr>
                <w:sz w:val="20"/>
                <w:szCs w:val="20"/>
                <w:color w:val="auto"/>
              </w:rPr>
            </w:pPr>
            <w:r>
              <w:rPr>
                <w:rFonts w:ascii="Arial" w:cs="Arial" w:eastAsia="Arial" w:hAnsi="Arial"/>
                <w:sz w:val="18"/>
                <w:szCs w:val="18"/>
                <w:color w:val="auto"/>
              </w:rPr>
              <w:t>Comprehensive income attributable to non controlling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500"/>
              <w:spacing w:after="0"/>
              <w:rPr>
                <w:sz w:val="20"/>
                <w:szCs w:val="20"/>
                <w:color w:val="auto"/>
              </w:rPr>
            </w:pPr>
            <w:r>
              <w:rPr>
                <w:rFonts w:ascii="Arial" w:cs="Arial" w:eastAsia="Arial" w:hAnsi="Arial"/>
                <w:sz w:val="18"/>
                <w:szCs w:val="18"/>
                <w:color w:val="auto"/>
              </w:rPr>
              <w:t>interest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(1 )</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(2 )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(9 )</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Other owner changes</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(3 )</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304"/>
        </w:trPr>
        <w:tc>
          <w:tcPr>
            <w:tcW w:w="49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5"/>
        </w:trPr>
        <w:tc>
          <w:tcPr>
            <w:tcW w:w="496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Total shareowners equity</w:t>
            </w:r>
          </w:p>
        </w:tc>
        <w:tc>
          <w:tcPr>
            <w:tcW w:w="900" w:type="dxa"/>
            <w:vAlign w:val="bottom"/>
            <w:shd w:val="clear" w:color="auto" w:fill="E5FFFF"/>
          </w:tcPr>
          <w:p>
            <w:pPr>
              <w:jc w:val="right"/>
              <w:ind w:right="113"/>
              <w:spacing w:after="0"/>
              <w:rPr>
                <w:sz w:val="20"/>
                <w:szCs w:val="20"/>
                <w:color w:val="auto"/>
              </w:rPr>
            </w:pPr>
            <w:r>
              <w:rPr>
                <w:rFonts w:ascii="Arial" w:cs="Arial" w:eastAsia="Arial" w:hAnsi="Arial"/>
                <w:sz w:val="18"/>
                <w:szCs w:val="18"/>
                <w:b w:val="1"/>
                <w:bCs w:val="1"/>
                <w:color w:val="auto"/>
              </w:rPr>
              <w:t>764.2</w:t>
            </w: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b w:val="1"/>
                <w:bCs w:val="1"/>
                <w:color w:val="auto"/>
              </w:rPr>
              <w:t>8,954</w:t>
            </w:r>
          </w:p>
        </w:tc>
        <w:tc>
          <w:tcPr>
            <w:tcW w:w="102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b w:val="1"/>
                <w:bCs w:val="1"/>
                <w:color w:val="auto"/>
              </w:rPr>
              <w:t>734.6</w:t>
            </w: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b w:val="1"/>
                <w:bCs w:val="1"/>
                <w:color w:val="auto"/>
              </w:rPr>
              <w:t>7,269</w:t>
            </w:r>
          </w:p>
        </w:tc>
        <w:tc>
          <w:tcPr>
            <w:tcW w:w="1120" w:type="dxa"/>
            <w:vAlign w:val="bottom"/>
            <w:gridSpan w:val="2"/>
            <w:shd w:val="clear" w:color="auto" w:fill="E5FFFF"/>
          </w:tcPr>
          <w:p>
            <w:pPr>
              <w:jc w:val="right"/>
              <w:ind w:right="116"/>
              <w:spacing w:after="0"/>
              <w:rPr>
                <w:sz w:val="20"/>
                <w:szCs w:val="20"/>
                <w:color w:val="auto"/>
              </w:rPr>
            </w:pPr>
            <w:r>
              <w:rPr>
                <w:rFonts w:ascii="Arial" w:cs="Arial" w:eastAsia="Arial" w:hAnsi="Arial"/>
                <w:sz w:val="18"/>
                <w:szCs w:val="18"/>
                <w:b w:val="1"/>
                <w:bCs w:val="1"/>
                <w:color w:val="auto"/>
              </w:rPr>
              <w:t>746.6</w:t>
            </w: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b w:val="1"/>
                <w:bCs w:val="1"/>
                <w:color w:val="auto"/>
              </w:rPr>
              <w:t>9,293</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2,189</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12"/>
              <w:spacing w:after="0"/>
              <w:rPr>
                <w:sz w:val="20"/>
                <w:szCs w:val="20"/>
                <w:color w:val="auto"/>
              </w:rPr>
            </w:pPr>
            <w:r>
              <w:rPr>
                <w:rFonts w:ascii="Arial" w:cs="Arial" w:eastAsia="Arial" w:hAnsi="Arial"/>
                <w:sz w:val="18"/>
                <w:szCs w:val="18"/>
                <w:color w:val="auto"/>
              </w:rPr>
              <w:t>2,812</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(614 )</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Pensions and other post retirement benefit adjustments</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(1,021 )</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(2,576 )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69"/>
        </w:trPr>
        <w:tc>
          <w:tcPr>
            <w:tcW w:w="4960" w:type="dxa"/>
            <w:vAlign w:val="bottom"/>
          </w:tcPr>
          <w:p>
            <w:pPr>
              <w:ind w:left="340"/>
              <w:spacing w:after="0"/>
              <w:rPr>
                <w:sz w:val="20"/>
                <w:szCs w:val="20"/>
                <w:color w:val="auto"/>
              </w:rPr>
            </w:pPr>
            <w:r>
              <w:rPr>
                <w:rFonts w:ascii="Arial" w:cs="Arial" w:eastAsia="Arial" w:hAnsi="Arial"/>
                <w:sz w:val="18"/>
                <w:szCs w:val="18"/>
                <w:color w:val="auto"/>
              </w:rPr>
              <w:t>Changes in fair value of available for sale investments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(51 )</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Changes in fair value of effective cash flow hedges</w:t>
            </w:r>
          </w:p>
        </w:tc>
        <w:tc>
          <w:tcPr>
            <w:tcW w:w="9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111"/>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(24 )</w:t>
            </w:r>
          </w:p>
        </w:tc>
        <w:tc>
          <w:tcPr>
            <w:tcW w:w="22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30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1,569</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(453 )</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8"/>
        </w:trPr>
        <w:tc>
          <w:tcPr>
            <w:tcW w:w="49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Comprehensive income attributable to non controlling</w:t>
            </w: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E5FFFF"/>
          </w:tcPr>
          <w:p>
            <w:pPr>
              <w:ind w:left="500"/>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(36 )</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(20 )</w:t>
            </w:r>
          </w:p>
        </w:tc>
        <w:tc>
          <w:tcPr>
            <w:tcW w:w="2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b w:val="1"/>
                <w:bCs w:val="1"/>
                <w:color w:val="auto"/>
              </w:rPr>
              <w:t>Honeywell</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color w:val="auto"/>
              </w:rPr>
              <w:t>1,533</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(473 )</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b w:val="1"/>
                <w:bCs w:val="1"/>
                <w:color w:val="auto"/>
              </w:rPr>
              <w:t>3,207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6"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ectPr>
          <w:pgSz w:w="11900" w:h="16838" w:orient="portrait"/>
          <w:cols w:equalWidth="0" w:num="1">
            <w:col w:w="11420"/>
          </w:cols>
          <w:pgMar w:left="240" w:top="106" w:right="239" w:bottom="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133350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1—Summary of Significant Accounting Policies</w:t>
      </w:r>
    </w:p>
    <w:p>
      <w:pPr>
        <w:spacing w:after="0" w:line="106" w:lineRule="exact"/>
        <w:rPr>
          <w:sz w:val="20"/>
          <w:szCs w:val="20"/>
          <w:color w:val="auto"/>
        </w:rPr>
      </w:pPr>
    </w:p>
    <w:p>
      <w:pPr>
        <w:ind w:right="220" w:firstLine="357"/>
        <w:spacing w:after="0" w:line="258" w:lineRule="auto"/>
        <w:rPr>
          <w:sz w:val="20"/>
          <w:szCs w:val="20"/>
          <w:color w:val="auto"/>
        </w:rPr>
      </w:pPr>
      <w:r>
        <w:rPr>
          <w:rFonts w:ascii="Arial" w:cs="Arial" w:eastAsia="Arial" w:hAnsi="Arial"/>
          <w:sz w:val="19"/>
          <w:szCs w:val="19"/>
          <w:b w:val="1"/>
          <w:bCs w:val="1"/>
          <w:i w:val="1"/>
          <w:iCs w:val="1"/>
          <w:color w:val="auto"/>
        </w:rPr>
        <w:t>Accounting Principles</w:t>
      </w:r>
      <w:r>
        <w:rPr>
          <w:rFonts w:ascii="Arial" w:cs="Arial" w:eastAsia="Arial" w:hAnsi="Arial"/>
          <w:sz w:val="19"/>
          <w:szCs w:val="19"/>
          <w:color w:val="auto"/>
        </w:rPr>
        <w:t>—The financial statements and accompanying notes are prepared in accordance with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principles generally accepted in the United States of America. The following is a description of the significant accounting policies of Honeywell International Inc.</w:t>
      </w:r>
    </w:p>
    <w:p>
      <w:pPr>
        <w:spacing w:after="0" w:line="52" w:lineRule="exact"/>
        <w:rPr>
          <w:sz w:val="20"/>
          <w:szCs w:val="20"/>
          <w:color w:val="auto"/>
        </w:rPr>
      </w:pPr>
    </w:p>
    <w:p>
      <w:pPr>
        <w:ind w:firstLine="357"/>
        <w:spacing w:after="0" w:line="248" w:lineRule="auto"/>
        <w:rPr>
          <w:sz w:val="20"/>
          <w:szCs w:val="20"/>
          <w:color w:val="auto"/>
        </w:rPr>
      </w:pPr>
      <w:r>
        <w:rPr>
          <w:rFonts w:ascii="Arial" w:cs="Arial" w:eastAsia="Arial" w:hAnsi="Arial"/>
          <w:sz w:val="19"/>
          <w:szCs w:val="19"/>
          <w:b w:val="1"/>
          <w:bCs w:val="1"/>
          <w:i w:val="1"/>
          <w:iCs w:val="1"/>
          <w:color w:val="auto"/>
        </w:rPr>
        <w:t>Principles of Consolidation</w:t>
      </w:r>
      <w:r>
        <w:rPr>
          <w:rFonts w:ascii="Arial" w:cs="Arial" w:eastAsia="Arial" w:hAnsi="Arial"/>
          <w:sz w:val="19"/>
          <w:szCs w:val="19"/>
          <w:color w:val="auto"/>
        </w:rPr>
        <w:t>—The consolidated financial statements include the accounts of Honeywell International Inc. and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its subsidiaries and entities in which a controlling interest is maintained. Our consolidation policy requires the consolidation of entities where a controlling financial interest is obtained as well as consolidation of variable interest entities in which we bear a majority of the risk to the entities’ potential losses or stand to gain from a majority of the entities’ expected returns. All intercompany transactions and balances are eliminated in consolidation.</w:t>
      </w:r>
    </w:p>
    <w:p>
      <w:pPr>
        <w:spacing w:after="0" w:line="60" w:lineRule="exact"/>
        <w:rPr>
          <w:sz w:val="20"/>
          <w:szCs w:val="20"/>
          <w:color w:val="auto"/>
        </w:rPr>
      </w:pPr>
    </w:p>
    <w:p>
      <w:pPr>
        <w:ind w:right="360" w:firstLine="357"/>
        <w:spacing w:after="0" w:line="280" w:lineRule="auto"/>
        <w:rPr>
          <w:sz w:val="20"/>
          <w:szCs w:val="20"/>
          <w:color w:val="auto"/>
        </w:rPr>
      </w:pPr>
      <w:r>
        <w:rPr>
          <w:rFonts w:ascii="Arial" w:cs="Arial" w:eastAsia="Arial" w:hAnsi="Arial"/>
          <w:sz w:val="19"/>
          <w:szCs w:val="19"/>
          <w:b w:val="1"/>
          <w:bCs w:val="1"/>
          <w:i w:val="1"/>
          <w:iCs w:val="1"/>
          <w:color w:val="auto"/>
        </w:rPr>
        <w:t>Cash and Cash Equivalents</w:t>
      </w:r>
      <w:r>
        <w:rPr>
          <w:rFonts w:ascii="Arial" w:cs="Arial" w:eastAsia="Arial" w:hAnsi="Arial"/>
          <w:sz w:val="19"/>
          <w:szCs w:val="19"/>
          <w:color w:val="auto"/>
        </w:rPr>
        <w:t>—Cash and cash equivalents include cash on hand and on deposit and highly liquid, temporary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cash investments with an original maturity of three months or less.</w:t>
      </w:r>
    </w:p>
    <w:p>
      <w:pPr>
        <w:spacing w:after="0" w:line="30" w:lineRule="exact"/>
        <w:rPr>
          <w:sz w:val="20"/>
          <w:szCs w:val="20"/>
          <w:color w:val="auto"/>
        </w:rPr>
      </w:pPr>
    </w:p>
    <w:p>
      <w:pPr>
        <w:ind w:right="80" w:firstLine="357"/>
        <w:spacing w:after="0" w:line="280" w:lineRule="auto"/>
        <w:rPr>
          <w:sz w:val="20"/>
          <w:szCs w:val="20"/>
          <w:color w:val="auto"/>
        </w:rPr>
      </w:pPr>
      <w:r>
        <w:rPr>
          <w:rFonts w:ascii="Arial" w:cs="Arial" w:eastAsia="Arial" w:hAnsi="Arial"/>
          <w:sz w:val="19"/>
          <w:szCs w:val="19"/>
          <w:b w:val="1"/>
          <w:bCs w:val="1"/>
          <w:i w:val="1"/>
          <w:iCs w:val="1"/>
          <w:color w:val="auto"/>
        </w:rPr>
        <w:t>Inventories</w:t>
      </w:r>
      <w:r>
        <w:rPr>
          <w:rFonts w:ascii="Arial" w:cs="Arial" w:eastAsia="Arial" w:hAnsi="Arial"/>
          <w:sz w:val="19"/>
          <w:szCs w:val="19"/>
          <w:color w:val="auto"/>
        </w:rPr>
        <w:t>—Inventories are valued at the lower of cost or market using the first-in, first-out or the average cost method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last-in, first-out (LIFO) method for certain qualifying domestic inventories.</w:t>
      </w:r>
    </w:p>
    <w:p>
      <w:pPr>
        <w:spacing w:after="0" w:line="30"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b w:val="1"/>
          <w:bCs w:val="1"/>
          <w:i w:val="1"/>
          <w:iCs w:val="1"/>
          <w:color w:val="auto"/>
        </w:rPr>
        <w:t>Investments</w:t>
      </w:r>
      <w:r>
        <w:rPr>
          <w:rFonts w:ascii="Arial" w:cs="Arial" w:eastAsia="Arial" w:hAnsi="Arial"/>
          <w:sz w:val="19"/>
          <w:szCs w:val="19"/>
          <w:color w:val="auto"/>
        </w:rPr>
        <w:t>—Investments in affiliates over which we have a significant influence, but not a controlling interest, are accounted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using the equity method of accounting. Other investments are carried at market value, if readily determinable, or at cost. All equity investments are periodically reviewed to determine if declines in fair value below cost basis are other-than-temporary. Significant and sustained decreases in quoted market prices or a series of historic and projected operating losses by investees are strong indicators of other-than-temporary declines. If the decline in fair value is determined to be other- than-temporary, an impairment loss is recorded and the investment is written down to a new carrying value.</w:t>
      </w:r>
    </w:p>
    <w:p>
      <w:pPr>
        <w:spacing w:after="0" w:line="66"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Property, Plant and Equipment</w:t>
      </w:r>
      <w:r>
        <w:rPr>
          <w:rFonts w:ascii="Arial" w:cs="Arial" w:eastAsia="Arial" w:hAnsi="Arial"/>
          <w:sz w:val="19"/>
          <w:szCs w:val="19"/>
          <w:color w:val="auto"/>
        </w:rPr>
        <w:t>—Property, plant and equipment are recorded at cost, including any asset retirement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less 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 See Note 11 and Note 17 for additional details.</w:t>
      </w:r>
    </w:p>
    <w:p>
      <w:pPr>
        <w:spacing w:after="0" w:line="66" w:lineRule="exact"/>
        <w:rPr>
          <w:sz w:val="20"/>
          <w:szCs w:val="20"/>
          <w:color w:val="auto"/>
        </w:rPr>
      </w:pPr>
    </w:p>
    <w:p>
      <w:pPr>
        <w:ind w:firstLine="357"/>
        <w:spacing w:after="0" w:line="243" w:lineRule="auto"/>
        <w:rPr>
          <w:sz w:val="20"/>
          <w:szCs w:val="20"/>
          <w:color w:val="auto"/>
        </w:rPr>
      </w:pPr>
      <w:r>
        <w:rPr>
          <w:rFonts w:ascii="Arial" w:cs="Arial" w:eastAsia="Arial" w:hAnsi="Arial"/>
          <w:sz w:val="19"/>
          <w:szCs w:val="19"/>
          <w:b w:val="1"/>
          <w:bCs w:val="1"/>
          <w:i w:val="1"/>
          <w:iCs w:val="1"/>
          <w:color w:val="auto"/>
        </w:rPr>
        <w:t>Goodwill and Indefinite-Lived Intangible Assets</w:t>
      </w:r>
      <w:r>
        <w:rPr>
          <w:rFonts w:ascii="Arial" w:cs="Arial" w:eastAsia="Arial" w:hAnsi="Arial"/>
          <w:sz w:val="19"/>
          <w:szCs w:val="19"/>
          <w:color w:val="auto"/>
        </w:rPr>
        <w:t>—Goodwill represents the excess of acquisition costs over the fair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tangible net assets and identifiable intangible assets of businesses acquired. Goodwill and certain other intangible assets deemed to have indefinite lives are not amortized. Intangible assets determined to have definite lives are amortized over their useful lives. Goodwill and indefinite lived intangible assets are subject to impairment testing annually as of March 31, or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2009 and determined that there was no impairment as of that date. See Note 12 for additional details on goodwill balances.</w:t>
      </w:r>
    </w:p>
    <w:p>
      <w:pPr>
        <w:spacing w:after="0" w:line="288" w:lineRule="exact"/>
        <w:rPr>
          <w:sz w:val="20"/>
          <w:szCs w:val="20"/>
          <w:color w:val="auto"/>
        </w:rPr>
      </w:pPr>
    </w:p>
    <w:p>
      <w:pPr>
        <w:jc w:val="both"/>
        <w:ind w:right="240" w:firstLine="357"/>
        <w:spacing w:after="0" w:line="258" w:lineRule="auto"/>
        <w:rPr>
          <w:sz w:val="20"/>
          <w:szCs w:val="20"/>
          <w:color w:val="auto"/>
        </w:rPr>
      </w:pPr>
      <w:r>
        <w:rPr>
          <w:rFonts w:ascii="Arial" w:cs="Arial" w:eastAsia="Arial" w:hAnsi="Arial"/>
          <w:sz w:val="19"/>
          <w:szCs w:val="19"/>
          <w:b w:val="1"/>
          <w:bCs w:val="1"/>
          <w:i w:val="1"/>
          <w:iCs w:val="1"/>
          <w:color w:val="auto"/>
        </w:rPr>
        <w:t>Other Intangible Assets with Determinable Lives</w:t>
      </w:r>
      <w:r>
        <w:rPr>
          <w:rFonts w:ascii="Arial" w:cs="Arial" w:eastAsia="Arial" w:hAnsi="Arial"/>
          <w:sz w:val="19"/>
          <w:szCs w:val="19"/>
          <w:color w:val="auto"/>
        </w:rPr>
        <w:t>—Other intangible assets with determinable lives consist of customer lists,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technology, patents and trademarks and other intangibles and are amortized over their estimated useful lives, ranging from 2 to 24 years.</w:t>
      </w:r>
    </w:p>
    <w:p>
      <w:pPr>
        <w:spacing w:after="0" w:line="52" w:lineRule="exact"/>
        <w:rPr>
          <w:sz w:val="20"/>
          <w:szCs w:val="20"/>
          <w:color w:val="auto"/>
        </w:rPr>
      </w:pPr>
    </w:p>
    <w:p>
      <w:pPr>
        <w:ind w:right="120" w:firstLine="357"/>
        <w:spacing w:after="0" w:line="251" w:lineRule="auto"/>
        <w:rPr>
          <w:sz w:val="20"/>
          <w:szCs w:val="20"/>
          <w:color w:val="auto"/>
        </w:rPr>
      </w:pPr>
      <w:r>
        <w:rPr>
          <w:rFonts w:ascii="Arial" w:cs="Arial" w:eastAsia="Arial" w:hAnsi="Arial"/>
          <w:sz w:val="19"/>
          <w:szCs w:val="19"/>
          <w:b w:val="1"/>
          <w:bCs w:val="1"/>
          <w:i w:val="1"/>
          <w:iCs w:val="1"/>
          <w:color w:val="auto"/>
        </w:rPr>
        <w:t>Long-Lived Assets</w:t>
      </w:r>
      <w:r>
        <w:rPr>
          <w:rFonts w:ascii="Arial" w:cs="Arial" w:eastAsia="Arial" w:hAnsi="Arial"/>
          <w:sz w:val="19"/>
          <w:szCs w:val="19"/>
          <w:color w:val="auto"/>
        </w:rPr>
        <w:t>—We periodically evaluate the recoverability of the carrying amount of long-lived assets (including property,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plant and equipment and intangible assets with determinable lives) whenever events or changes in circumstances indicate that the carrying amount of an asset may not be fully recoverable. We evaluate events or changes in circumstances based on a number of factors including operating results, business plans and forecasts, general and industry trends and, economic</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jc w:val="both"/>
        <w:ind w:right="120"/>
        <w:spacing w:after="0" w:line="242" w:lineRule="auto"/>
        <w:rPr>
          <w:sz w:val="20"/>
          <w:szCs w:val="20"/>
          <w:color w:val="auto"/>
        </w:rPr>
      </w:pPr>
      <w:r>
        <w:rPr>
          <w:rFonts w:ascii="Arial" w:cs="Arial" w:eastAsia="Arial" w:hAnsi="Arial"/>
          <w:sz w:val="19"/>
          <w:szCs w:val="19"/>
          <w:color w:val="auto"/>
        </w:rPr>
        <w:t>projections and anticipated cash flows. An impairment is assessed when the undiscounted expected future cash flows derived from an asset are less than its carrying amount. Impairment losses are measured as the amount by which the carrying value of an asset exceeds its fair value and are recognized in earnings. We also continually evaluate the estimated useful lives of all long-lived assets and periodically revise such estimates based on current events.</w:t>
      </w:r>
    </w:p>
    <w:p>
      <w:pPr>
        <w:spacing w:after="0" w:line="175"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b w:val="1"/>
          <w:bCs w:val="1"/>
          <w:i w:val="1"/>
          <w:iCs w:val="1"/>
          <w:color w:val="auto"/>
        </w:rPr>
        <w:t>Sales Recognition</w:t>
      </w:r>
      <w:r>
        <w:rPr>
          <w:rFonts w:ascii="Arial" w:cs="Arial" w:eastAsia="Arial" w:hAnsi="Arial"/>
          <w:sz w:val="19"/>
          <w:szCs w:val="19"/>
          <w:color w:val="auto"/>
        </w:rPr>
        <w:t>—Product and service sales are recognized when persuasive evidence of an arrangement exists, product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delivery has occurred or services have been rendered, pricing is fixed or determinable, and collection is reasonably assured. Service sales, principally representing repair, maintenance and engineering activities in our Aerospace and Automation and Control Solutions segments, are recognized over the contractual period or as services are rendered. Sales under long-term contracts in the Aerospace and Automation and Control Solutions segments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provided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spacing w:after="0" w:line="72" w:lineRule="exact"/>
        <w:rPr>
          <w:sz w:val="20"/>
          <w:szCs w:val="20"/>
          <w:color w:val="auto"/>
        </w:rPr>
      </w:pPr>
    </w:p>
    <w:p>
      <w:pPr>
        <w:ind w:firstLine="357"/>
        <w:spacing w:after="0" w:line="244" w:lineRule="auto"/>
        <w:rPr>
          <w:sz w:val="20"/>
          <w:szCs w:val="20"/>
          <w:color w:val="auto"/>
        </w:rPr>
      </w:pPr>
      <w:r>
        <w:rPr>
          <w:rFonts w:ascii="Arial" w:cs="Arial" w:eastAsia="Arial" w:hAnsi="Arial"/>
          <w:sz w:val="19"/>
          <w:szCs w:val="19"/>
          <w:b w:val="1"/>
          <w:bCs w:val="1"/>
          <w:i w:val="1"/>
          <w:iCs w:val="1"/>
          <w:color w:val="auto"/>
        </w:rPr>
        <w:t>Allowance for Doubtful Accounts</w:t>
      </w:r>
      <w:r>
        <w:rPr>
          <w:rFonts w:ascii="Arial" w:cs="Arial" w:eastAsia="Arial" w:hAnsi="Arial"/>
          <w:sz w:val="19"/>
          <w:szCs w:val="19"/>
          <w:color w:val="auto"/>
        </w:rPr>
        <w:t>—We maintain allowances for doubtful accounts for estimated losses as a result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inability to make required payments. We estimate anticipated losses from doubtful accounts based on days past due, as measured from the contractual due date, historical collection history and incorporate changes in economic conditions that may not be reflected in historical trends for example, customers in bankruptcy, liquidation or reorganization. Receivables are written-off against the allowance for doubtful accounts when they are determined uncollectible. Such determination includes analysis and consideration of the particular conditions of the account, including time intervals since last collection, success of outside collection agencies activity, solvency of customer and any bankruptcy proceedings.</w:t>
      </w:r>
    </w:p>
    <w:p>
      <w:pPr>
        <w:spacing w:after="0" w:line="66"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b w:val="1"/>
          <w:bCs w:val="1"/>
          <w:i w:val="1"/>
          <w:iCs w:val="1"/>
          <w:color w:val="auto"/>
        </w:rPr>
        <w:t>Environmental Expenditures</w:t>
      </w:r>
      <w:r>
        <w:rPr>
          <w:rFonts w:ascii="Arial" w:cs="Arial" w:eastAsia="Arial" w:hAnsi="Arial"/>
          <w:sz w:val="19"/>
          <w:szCs w:val="19"/>
          <w:color w:val="auto"/>
        </w:rPr>
        <w:t>—Environmental expenditures that relate to current operations are expensed or capitalized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appropriate. Expenditures that relate to an existing condition caused by past operations, and that do not provide future benefits, are expensed as incurred. Liabilities are recorded when environmental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w:t>
      </w:r>
    </w:p>
    <w:p>
      <w:pPr>
        <w:spacing w:after="0" w:line="290" w:lineRule="exact"/>
        <w:rPr>
          <w:sz w:val="20"/>
          <w:szCs w:val="20"/>
          <w:color w:val="auto"/>
        </w:rPr>
      </w:pPr>
    </w:p>
    <w:p>
      <w:pPr>
        <w:ind w:right="20" w:firstLine="357"/>
        <w:spacing w:after="0" w:line="243" w:lineRule="auto"/>
        <w:rPr>
          <w:sz w:val="20"/>
          <w:szCs w:val="20"/>
          <w:color w:val="auto"/>
        </w:rPr>
      </w:pPr>
      <w:r>
        <w:rPr>
          <w:rFonts w:ascii="Arial" w:cs="Arial" w:eastAsia="Arial" w:hAnsi="Arial"/>
          <w:sz w:val="19"/>
          <w:szCs w:val="19"/>
          <w:b w:val="1"/>
          <w:bCs w:val="1"/>
          <w:i w:val="1"/>
          <w:iCs w:val="1"/>
          <w:color w:val="auto"/>
        </w:rPr>
        <w:t>Asbestos Related Contingencies and Insurance Recoveries</w:t>
      </w:r>
      <w:r>
        <w:rPr>
          <w:rFonts w:ascii="Arial" w:cs="Arial" w:eastAsia="Arial" w:hAnsi="Arial"/>
          <w:sz w:val="19"/>
          <w:szCs w:val="19"/>
          <w:color w:val="auto"/>
        </w:rPr>
        <w:t>—Honeywell is a defendant in personal injury actions related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products containing asbestos (refractory and friction products). We recognize a liability for any asbestos related contingency that is probable of occurrence and reasonably estimable. Regarding North American Refractories Company (NARCO) asbestos related claims, we accrue for pending claims based on terms and conditions, including evidentiary requirements, in definitive agreements or agreements in principle with current claimants. We also accrue for the probable value of future NARCO asbestos related claims through 2018 based on the disease criteria and payment values contained in the NARCO trust as described in Note 21. In light of the inherent uncertainties in making long term projections regarding claims filing rates and disease manifestation, we do not believe that we have a reasonable basis for estimating NARCO asbestos claims beyond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2018. Regarding Bendix asbestos related claims, we accrue for the estimated value of pending claims based on expected claim resolution values and historic dismissal rates. We also accrue for the estimated cost of future anticipated claims related to Bendix for the next five years based on our assessment of additional claims that may be brought against us and anticipated resolution values in the tort system. We value Bendix pending and future claims using average resolution values for the previous four years. We will continue to update the expected resolution values used to estimate the cost of pending and future Bendix claims during the fourth quarter each year. For additional information see Note 21. We continually assess the likelihood of any adverse judgments or outcomes to our contingencies, as well as potential ranges of probable losses and recognize a liability, if any, for these contingencies based on an analysis of each individual issue with the assistance of outside legal counsel and, if applicable, other experts.</w:t>
      </w:r>
    </w:p>
    <w:p>
      <w:pPr>
        <w:spacing w:after="0" w:line="204"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w:t>
      </w:r>
    </w:p>
    <w:p>
      <w:pPr>
        <w:spacing w:after="0" w:line="67"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b w:val="1"/>
          <w:bCs w:val="1"/>
          <w:i w:val="1"/>
          <w:iCs w:val="1"/>
          <w:color w:val="auto"/>
        </w:rPr>
        <w:t>Aerospace Sales Incentives</w:t>
      </w:r>
      <w:r>
        <w:rPr>
          <w:rFonts w:ascii="Arial" w:cs="Arial" w:eastAsia="Arial" w:hAnsi="Arial"/>
          <w:sz w:val="19"/>
          <w:szCs w:val="19"/>
          <w:color w:val="auto"/>
        </w:rPr>
        <w:t>—We provide sales incentives to commercial aircraft manufacturers and airlines in connection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their selection of our aircraft equipment, predominately wheel and braking system hardware and auxiliary power units, for installation on commercial aircraft. These incentives principally consist of free or deeply discounted products, but also include credits for future purchases of product and upfront cash payments. These costs are recognized in the period incurred as cost of products sold or as a reduction to sales, as appropriate. For aircraft manufacturers, incentives are recorded when the products are delivered; for airlines, incentives are recorded when the associated aircraft are delivered by the aircraft manufacturer to the airline.</w:t>
      </w:r>
    </w:p>
    <w:p>
      <w:pPr>
        <w:spacing w:after="0" w:line="66" w:lineRule="exact"/>
        <w:rPr>
          <w:sz w:val="20"/>
          <w:szCs w:val="20"/>
          <w:color w:val="auto"/>
        </w:rPr>
      </w:pPr>
    </w:p>
    <w:p>
      <w:pPr>
        <w:jc w:val="both"/>
        <w:ind w:right="140" w:firstLine="357"/>
        <w:spacing w:after="0" w:line="258" w:lineRule="auto"/>
        <w:rPr>
          <w:sz w:val="20"/>
          <w:szCs w:val="20"/>
          <w:color w:val="auto"/>
        </w:rPr>
      </w:pPr>
      <w:r>
        <w:rPr>
          <w:rFonts w:ascii="Arial" w:cs="Arial" w:eastAsia="Arial" w:hAnsi="Arial"/>
          <w:sz w:val="19"/>
          <w:szCs w:val="19"/>
          <w:b w:val="1"/>
          <w:bCs w:val="1"/>
          <w:i w:val="1"/>
          <w:iCs w:val="1"/>
          <w:color w:val="auto"/>
        </w:rPr>
        <w:t>Research and Development</w:t>
      </w:r>
      <w:r>
        <w:rPr>
          <w:rFonts w:ascii="Arial" w:cs="Arial" w:eastAsia="Arial" w:hAnsi="Arial"/>
          <w:sz w:val="19"/>
          <w:szCs w:val="19"/>
          <w:color w:val="auto"/>
        </w:rPr>
        <w:t>—Research and development costs for company-sponsored research and development projects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expensed as incurred. Such costs are principally included in Cost of Products Sold and were $1,330, $1,543 and $1,459 million in 2009, 2008 and 2007, respectively.</w:t>
      </w:r>
    </w:p>
    <w:p>
      <w:pPr>
        <w:spacing w:after="0" w:line="52" w:lineRule="exact"/>
        <w:rPr>
          <w:sz w:val="20"/>
          <w:szCs w:val="20"/>
          <w:color w:val="auto"/>
        </w:rPr>
      </w:pPr>
    </w:p>
    <w:p>
      <w:pPr>
        <w:ind w:right="20" w:firstLine="357"/>
        <w:spacing w:after="0" w:line="244" w:lineRule="auto"/>
        <w:rPr>
          <w:sz w:val="20"/>
          <w:szCs w:val="20"/>
          <w:color w:val="auto"/>
        </w:rPr>
      </w:pPr>
      <w:r>
        <w:rPr>
          <w:rFonts w:ascii="Arial" w:cs="Arial" w:eastAsia="Arial" w:hAnsi="Arial"/>
          <w:sz w:val="19"/>
          <w:szCs w:val="19"/>
          <w:b w:val="1"/>
          <w:bCs w:val="1"/>
          <w:i w:val="1"/>
          <w:iCs w:val="1"/>
          <w:color w:val="auto"/>
        </w:rPr>
        <w:t>Stock-Based Compensation Plans</w:t>
      </w:r>
      <w:r>
        <w:rPr>
          <w:rFonts w:ascii="Arial" w:cs="Arial" w:eastAsia="Arial" w:hAnsi="Arial"/>
          <w:sz w:val="19"/>
          <w:szCs w:val="19"/>
          <w:color w:val="auto"/>
        </w:rPr>
        <w:t>—The principal awards issued under our stock-based compensation plans, which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described in Note 20, include non-qualified stock options and restricted stock units (RSUs).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 in our Consolidated Statement of Operations. Forfeitures are required to be estimated at the time of grant in order to estimate the portion of the award that will ultimately vest. The estimate is based on our historical rates of forfeiture.</w:t>
      </w:r>
    </w:p>
    <w:p>
      <w:pPr>
        <w:spacing w:after="0" w:line="288"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b w:val="1"/>
          <w:bCs w:val="1"/>
          <w:i w:val="1"/>
          <w:iCs w:val="1"/>
          <w:color w:val="auto"/>
        </w:rPr>
        <w:t>Pension and Other Postretirement Benefits</w:t>
      </w:r>
      <w:r>
        <w:rPr>
          <w:rFonts w:ascii="Arial" w:cs="Arial" w:eastAsia="Arial" w:hAnsi="Arial"/>
          <w:sz w:val="19"/>
          <w:szCs w:val="19"/>
          <w:color w:val="auto"/>
        </w:rPr>
        <w:t>—We sponsor both funded and unfunded U.S. and non-U.S. defined benefit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pension plans covering the majority of our employees and retirees. We also sponsor postretirement benefit plans that provide health care benefits and life insurance coverage to eligible retirees. For our U.S. defined benefit pension plans we use the market-related value of plan assets reflecting changes in the fair value of plan assets over a three-year period. Further, net actuarial (gains) or losses in excess of 10 percent of the greater of the market-related value of plan assets or the plans’ projected benefit obligation (the corridor) are recognized over a six-year period.</w:t>
      </w:r>
    </w:p>
    <w:p>
      <w:pPr>
        <w:spacing w:after="0" w:line="66" w:lineRule="exact"/>
        <w:rPr>
          <w:sz w:val="20"/>
          <w:szCs w:val="20"/>
          <w:color w:val="auto"/>
        </w:rPr>
      </w:pPr>
    </w:p>
    <w:p>
      <w:pPr>
        <w:ind w:right="240" w:firstLine="357"/>
        <w:spacing w:after="0" w:line="251" w:lineRule="auto"/>
        <w:rPr>
          <w:sz w:val="20"/>
          <w:szCs w:val="20"/>
          <w:color w:val="auto"/>
        </w:rPr>
      </w:pPr>
      <w:r>
        <w:rPr>
          <w:rFonts w:ascii="Arial" w:cs="Arial" w:eastAsia="Arial" w:hAnsi="Arial"/>
          <w:sz w:val="19"/>
          <w:szCs w:val="19"/>
          <w:b w:val="1"/>
          <w:bCs w:val="1"/>
          <w:i w:val="1"/>
          <w:iCs w:val="1"/>
          <w:color w:val="auto"/>
        </w:rPr>
        <w:t>Foreign Currency Translation</w:t>
      </w:r>
      <w:r>
        <w:rPr>
          <w:rFonts w:ascii="Arial" w:cs="Arial" w:eastAsia="Arial" w:hAnsi="Arial"/>
          <w:sz w:val="19"/>
          <w:szCs w:val="19"/>
          <w:color w:val="auto"/>
        </w:rPr>
        <w:t>—Assets and liabilities of subsidiaries operating outside the United States with a functional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6" w:right="27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60"/>
        <w:spacing w:after="0" w:line="245" w:lineRule="auto"/>
        <w:rPr>
          <w:sz w:val="20"/>
          <w:szCs w:val="20"/>
          <w:color w:val="auto"/>
        </w:rPr>
      </w:pPr>
      <w:r>
        <w:rPr>
          <w:rFonts w:ascii="Arial" w:cs="Arial" w:eastAsia="Arial" w:hAnsi="Arial"/>
          <w:sz w:val="19"/>
          <w:szCs w:val="19"/>
          <w:color w:val="auto"/>
        </w:rPr>
        <w:t>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171"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b w:val="1"/>
          <w:bCs w:val="1"/>
          <w:i w:val="1"/>
          <w:iCs w:val="1"/>
          <w:color w:val="auto"/>
        </w:rPr>
        <w:t>Derivative Financial Instruments</w:t>
      </w:r>
      <w:r>
        <w:rPr>
          <w:rFonts w:ascii="Arial" w:cs="Arial" w:eastAsia="Arial" w:hAnsi="Arial"/>
          <w:sz w:val="19"/>
          <w:szCs w:val="19"/>
          <w:color w:val="auto"/>
        </w:rPr>
        <w:t>—As a result of our global operating and financing activities, we are exposed to market risks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changes in interest and foreign currency exchange rates and commodity prices, which may adversely 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Derivative financial instruments are used to manage risk and are not used for trading or other speculative purposes and we do not use leveraged derivative financial instruments. Derivative financial instruments used for hedging purposes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94"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w:t>
      </w:r>
    </w:p>
    <w:p>
      <w:pPr>
        <w:spacing w:after="0" w:line="288"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b w:val="1"/>
          <w:bCs w:val="1"/>
          <w:i w:val="1"/>
          <w:iCs w:val="1"/>
          <w:color w:val="auto"/>
        </w:rPr>
        <w:t>Transfers of Financial Instruments</w:t>
      </w:r>
      <w:r>
        <w:rPr>
          <w:rFonts w:ascii="Arial" w:cs="Arial" w:eastAsia="Arial" w:hAnsi="Arial"/>
          <w:sz w:val="19"/>
          <w:szCs w:val="19"/>
          <w:color w:val="auto"/>
        </w:rPr>
        <w:t>—Sales, transfers and securitization of financial instruments are accounted for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authoritative guidance for the transfers and servicing of financial assets and extinguishments of liabilities. We sell interests in designated pools of trade accounts receivables to third parties. The receivables are removed from the Consolidated Balance Sheet at the time they are sold. The value assigned to our subordinated interests and undivided interests retained in trade receivables sold is based on the relative fair values of the interests retained and sold. The carrying value of the retained interests approximates fair value due to the short-term nature of the collection period for the receivables.</w:t>
      </w:r>
    </w:p>
    <w:p>
      <w:pPr>
        <w:spacing w:after="0" w:line="66"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—Deferred tax liabilities or assets reflect temporary differences between amounts of assets and liabilities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and tax reporting. Such amounts are adjusted, as appropriate, to reflect changes in tax rates expected to be in effect when the temporary differences reverse. A valuation allowance is established to offset any deferred tax assets if, based upon the available evidence, it is more likely than not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and (3) the impact of tax planning strategies.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w:t>
      </w:r>
    </w:p>
    <w:p>
      <w:pPr>
        <w:spacing w:after="0" w:line="90"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Significant judgment is required in determining income tax provisions and in evaluating tax positions. We establish additional provisions for income taxes when, despite the belief that tax positions are fully supportable, there remain certain positions that do not meet the minimum probability threshold, as defined by the authoritative guidance for uncertainty in income taxes, which is a tax position that is more likely than not to be sustained upon examination by the applicable taxing authority. In the normal course of business, the Company and its subsidiaries are examined by various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6" w:right="2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color w:val="auto"/>
        </w:rPr>
        <w:t>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revision become known.</w:t>
      </w:r>
    </w:p>
    <w:p>
      <w:pPr>
        <w:spacing w:after="0" w:line="199"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June 2006, the Financial Accounting Standards Board (FASB) issued guidance for accounting for uncertainty in income taxes, which establishes a single model to address accounting for uncertain tax positions. The guidance clarifies the accounting for income taxes by prescribing a minimum recognition threshold a tax position is required to meet before being recognized in the financial statements. The guidance also provides guidance on derecognition, measurement classification, interest and penalties, accounting in interim periods, disclosure and transition. Upon adoption as of January 1, 2007, we reduced our existing reserves for uncertain tax positions by $33 million, largely related to a reduction in state income tax matters, partially offset by a net increase for federal and international tax reserves.</w:t>
      </w:r>
    </w:p>
    <w:p>
      <w:pPr>
        <w:spacing w:after="0" w:line="67" w:lineRule="exact"/>
        <w:rPr>
          <w:sz w:val="20"/>
          <w:szCs w:val="20"/>
          <w:color w:val="auto"/>
        </w:rPr>
      </w:pPr>
    </w:p>
    <w:p>
      <w:pPr>
        <w:ind w:right="500" w:firstLine="357"/>
        <w:spacing w:after="0" w:line="258" w:lineRule="auto"/>
        <w:rPr>
          <w:sz w:val="20"/>
          <w:szCs w:val="20"/>
          <w:color w:val="auto"/>
        </w:rPr>
      </w:pPr>
      <w:r>
        <w:rPr>
          <w:rFonts w:ascii="Arial" w:cs="Arial" w:eastAsia="Arial" w:hAnsi="Arial"/>
          <w:sz w:val="19"/>
          <w:szCs w:val="19"/>
          <w:b w:val="1"/>
          <w:bCs w:val="1"/>
          <w:i w:val="1"/>
          <w:iCs w:val="1"/>
          <w:color w:val="auto"/>
        </w:rPr>
        <w:t>Earnings Per Share</w:t>
      </w:r>
      <w:r>
        <w:rPr>
          <w:rFonts w:ascii="Arial" w:cs="Arial" w:eastAsia="Arial" w:hAnsi="Arial"/>
          <w:sz w:val="19"/>
          <w:szCs w:val="19"/>
          <w:color w:val="auto"/>
        </w:rPr>
        <w:t>—Basic earnings per share is based on the weighted average number of common shares outstanding.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Diluted earnings per share is based on the weighted average number of common shares outstanding and all dilutive potential common shares outstanding.</w:t>
      </w:r>
    </w:p>
    <w:p>
      <w:pPr>
        <w:spacing w:after="0" w:line="52" w:lineRule="exact"/>
        <w:rPr>
          <w:sz w:val="20"/>
          <w:szCs w:val="20"/>
          <w:color w:val="auto"/>
        </w:rPr>
      </w:pPr>
    </w:p>
    <w:p>
      <w:pPr>
        <w:ind w:right="40" w:firstLine="357"/>
        <w:spacing w:after="0" w:line="248" w:lineRule="auto"/>
        <w:rPr>
          <w:sz w:val="20"/>
          <w:szCs w:val="20"/>
          <w:color w:val="auto"/>
        </w:rPr>
      </w:pPr>
      <w:r>
        <w:rPr>
          <w:rFonts w:ascii="Arial" w:cs="Arial" w:eastAsia="Arial" w:hAnsi="Arial"/>
          <w:sz w:val="19"/>
          <w:szCs w:val="19"/>
          <w:b w:val="1"/>
          <w:bCs w:val="1"/>
          <w:i w:val="1"/>
          <w:iCs w:val="1"/>
          <w:color w:val="auto"/>
        </w:rPr>
        <w:t>Use of Estimates</w:t>
      </w:r>
      <w:r>
        <w:rPr>
          <w:rFonts w:ascii="Arial" w:cs="Arial" w:eastAsia="Arial" w:hAnsi="Arial"/>
          <w:sz w:val="19"/>
          <w:szCs w:val="19"/>
          <w:color w:val="auto"/>
        </w:rPr>
        <w:t>—The preparation of consolidated financial statements in conformity with generally accepted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principles requires management to make estimates and assumptions that affect the reported amounts in the financial statements and related disclosures in the accompanying notes. Actual results could differ from those estimates. Estimates and assumptions are periodically reviewed and the effects of revisions are reflected in the consolidated financial statements in the period they are determined to be necessary.</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Reclassifications</w:t>
      </w:r>
      <w:r>
        <w:rPr>
          <w:rFonts w:ascii="Arial" w:cs="Arial" w:eastAsia="Arial" w:hAnsi="Arial"/>
          <w:sz w:val="19"/>
          <w:szCs w:val="19"/>
          <w:color w:val="auto"/>
        </w:rPr>
        <w:t>—Certain prior year amounts have been reclassified to conform to the current year presentation.</w:t>
      </w:r>
    </w:p>
    <w:p>
      <w:pPr>
        <w:spacing w:after="0" w:line="106" w:lineRule="exact"/>
        <w:rPr>
          <w:sz w:val="20"/>
          <w:szCs w:val="20"/>
          <w:color w:val="auto"/>
        </w:rPr>
      </w:pPr>
    </w:p>
    <w:p>
      <w:pPr>
        <w:ind w:right="80" w:firstLine="357"/>
        <w:spacing w:after="0" w:line="244" w:lineRule="auto"/>
        <w:rPr>
          <w:sz w:val="20"/>
          <w:szCs w:val="20"/>
          <w:color w:val="auto"/>
        </w:rPr>
      </w:pPr>
      <w:r>
        <w:rPr>
          <w:rFonts w:ascii="Arial" w:cs="Arial" w:eastAsia="Arial" w:hAnsi="Arial"/>
          <w:sz w:val="19"/>
          <w:szCs w:val="19"/>
          <w:b w:val="1"/>
          <w:bCs w:val="1"/>
          <w:i w:val="1"/>
          <w:iCs w:val="1"/>
          <w:color w:val="auto"/>
        </w:rPr>
        <w:t>Recent Accounting Pronouncements</w:t>
      </w:r>
      <w:r>
        <w:rPr>
          <w:rFonts w:ascii="Arial" w:cs="Arial" w:eastAsia="Arial" w:hAnsi="Arial"/>
          <w:sz w:val="19"/>
          <w:szCs w:val="19"/>
          <w:color w:val="auto"/>
        </w:rPr>
        <w:t>—In September 2006, the Financial Accounting Standards Board (FASB) issued new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accounting guidance on fair value measurements. This guidance establishes a common definition for fair value to be applied to U.S. GAAP requiring use of fair value, establishes a framework for measuring fair value, and expands disclosure about such fair value measurements. It is effective for financial assets and financial liabilities for fiscal years beginning after November 15, 2007. Issued in February 2008, a FASB staff position removed leasing transactions from the scope of the new fair value guidance. Also in February 2008, the FASB issued authoritative guidance deferring the effective date of the fair value guidance for all nonfinancial assets and nonfinancial liabilities to fiscal years beginning after November 15, 2008.</w:t>
      </w:r>
    </w:p>
    <w:p>
      <w:pPr>
        <w:spacing w:after="0" w:line="90" w:lineRule="exact"/>
        <w:rPr>
          <w:sz w:val="20"/>
          <w:szCs w:val="20"/>
          <w:color w:val="auto"/>
        </w:rPr>
      </w:pPr>
    </w:p>
    <w:p>
      <w:pPr>
        <w:ind w:right="180" w:firstLine="357"/>
        <w:spacing w:after="0" w:line="245" w:lineRule="auto"/>
        <w:rPr>
          <w:sz w:val="20"/>
          <w:szCs w:val="20"/>
          <w:color w:val="auto"/>
        </w:rPr>
      </w:pPr>
      <w:r>
        <w:rPr>
          <w:rFonts w:ascii="Arial" w:cs="Arial" w:eastAsia="Arial" w:hAnsi="Arial"/>
          <w:sz w:val="19"/>
          <w:szCs w:val="19"/>
          <w:color w:val="auto"/>
        </w:rPr>
        <w:t>In September 2009, the FASB issued additional guidance on measuring the fair value of liabilities effective for the first reporting period (including interim periods) beginning after issuance. Implementation did not have a material impact on our consolidated financial position and results of operations.</w:t>
      </w:r>
    </w:p>
    <w:p>
      <w:pPr>
        <w:spacing w:after="0" w:line="87" w:lineRule="exact"/>
        <w:rPr>
          <w:sz w:val="20"/>
          <w:szCs w:val="20"/>
          <w:color w:val="auto"/>
        </w:rPr>
      </w:pPr>
    </w:p>
    <w:p>
      <w:pPr>
        <w:ind w:right="260" w:firstLine="357"/>
        <w:spacing w:after="0" w:line="245" w:lineRule="auto"/>
        <w:rPr>
          <w:sz w:val="20"/>
          <w:szCs w:val="20"/>
          <w:color w:val="auto"/>
        </w:rPr>
      </w:pPr>
      <w:r>
        <w:rPr>
          <w:rFonts w:ascii="Arial" w:cs="Arial" w:eastAsia="Arial" w:hAnsi="Arial"/>
          <w:sz w:val="19"/>
          <w:szCs w:val="19"/>
          <w:color w:val="auto"/>
        </w:rPr>
        <w:t>The implementation of the fair value guidance for nonfinancial assets and nonfinancial liabilities, effective January 1, 2009, did not have a material impact on our consolidated financial position and results of operations. See Note 16 for additional fair value information and disclosure for financial and nonfinancial assets and liabilities.</w:t>
      </w:r>
    </w:p>
    <w:p>
      <w:pPr>
        <w:spacing w:after="0" w:line="74" w:lineRule="exact"/>
        <w:rPr>
          <w:sz w:val="20"/>
          <w:szCs w:val="20"/>
          <w:color w:val="auto"/>
        </w:rPr>
      </w:pPr>
    </w:p>
    <w:p>
      <w:pPr>
        <w:ind w:right="140" w:firstLine="357"/>
        <w:spacing w:after="0" w:line="241" w:lineRule="auto"/>
        <w:rPr>
          <w:sz w:val="20"/>
          <w:szCs w:val="20"/>
          <w:color w:val="auto"/>
        </w:rPr>
      </w:pPr>
      <w:r>
        <w:rPr>
          <w:rFonts w:ascii="Arial" w:cs="Arial" w:eastAsia="Arial" w:hAnsi="Arial"/>
          <w:sz w:val="19"/>
          <w:szCs w:val="19"/>
          <w:color w:val="auto"/>
        </w:rPr>
        <w:t>In December 2007, the FASB issued new guidance on business combinations. The new standard provides revised guidance on how acquirors recognize and measure the consideration transferred, identifiable assets acquired, liabilities assumed, noncontrolling interests, and goodwill acquired in a business combination. The new standard also expands required disclosures surrounding the nature and financial effects of business combinations. The standard is effective, on a prospective basis, for fiscal years beginning after December 15, 2008. Upon adoption, this standard did not have a material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20"/>
        <w:spacing w:after="0" w:line="242" w:lineRule="auto"/>
        <w:rPr>
          <w:sz w:val="20"/>
          <w:szCs w:val="20"/>
          <w:color w:val="auto"/>
        </w:rPr>
      </w:pPr>
      <w:r>
        <w:rPr>
          <w:rFonts w:ascii="Arial" w:cs="Arial" w:eastAsia="Arial" w:hAnsi="Arial"/>
          <w:sz w:val="19"/>
          <w:szCs w:val="19"/>
          <w:color w:val="auto"/>
        </w:rPr>
        <w:t>impact on our consolidated financial position and results of operations. However, if the Company enters into any business combinations after the adoption of the new guidance on business combinations, a transaction may significantly impact the Company’s consolidated financial position and results of operations as compared to the Company’s recent acquisitions, accounted for under prior GAAP requirements, due to the changes described above.</w:t>
      </w:r>
    </w:p>
    <w:p>
      <w:pPr>
        <w:spacing w:after="0" w:line="199"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April 2009, the FASB issued a staff position amending and clarifying the new business combination standard to address application issues associated with initial recognition and measurement, subsequent measurement and accounting, and disclosure of assets and liabilities arising from contingencies in a business combination. The staff position is effective for assets or liabilities arising from contingencies in business combinations for which the acquisition date is on or after the beginning of the first annual reporting period beginning on or after December 15, 2008. The implementation of this standard did not have a material impact on our consolidated financial position and results of operations.</w:t>
      </w:r>
    </w:p>
    <w:p>
      <w:pPr>
        <w:spacing w:after="0" w:line="94" w:lineRule="exact"/>
        <w:rPr>
          <w:sz w:val="20"/>
          <w:szCs w:val="20"/>
          <w:color w:val="auto"/>
        </w:rPr>
      </w:pPr>
    </w:p>
    <w:p>
      <w:pPr>
        <w:ind w:right="80" w:firstLine="357"/>
        <w:spacing w:after="0" w:line="238" w:lineRule="auto"/>
        <w:rPr>
          <w:sz w:val="20"/>
          <w:szCs w:val="20"/>
          <w:color w:val="auto"/>
        </w:rPr>
      </w:pPr>
      <w:r>
        <w:rPr>
          <w:rFonts w:ascii="Arial" w:cs="Arial" w:eastAsia="Arial" w:hAnsi="Arial"/>
          <w:sz w:val="19"/>
          <w:szCs w:val="19"/>
          <w:color w:val="auto"/>
        </w:rPr>
        <w:t>In December 2007, the FASB issued new guidance on noncontrolling interests which establishes requirements for ownership interests in subsidiaries held by parties other than the Company (sometimes called “minority interests”) be clearly identified, presented, and disclosed in the consolidated statement of financial position within equity, but separate from the parent’s equity. All changes in the parent’s ownership interests are required to be accounted for consistently as equity transactions and any noncontrolling equity investments in unconsolidated subsidiaries must be measured initially at fair value. The new guidance is effective, on a prospective basis, for fiscal years beginning after December 15, 2008. However, presentation and disclosure requirements must be retrospectively applied to comparative financial statements. Upon adoption of the new guidance on noncontrolling interest the Company reclassified $82 million and $71 million of noncontrolling interest from other liabilities to noncontrolling interest as a separate component of shareholders equity in our consolidated balance sheet as of December 31, 2008 and 2007, respectively and $20 million and $16 million of noncontrolling interest expense to net income attributable to noncontrolling interest in our statement of operations for the years ended December 31, 2008 and 2007, respectively. See statement of shareholders’ equity for additional disclosures regarding noncontrolling interest components of other comprehensive income. The implementation of this standard did not have a material impact on our consolidated financial position and results of operations.</w:t>
      </w:r>
    </w:p>
    <w:p>
      <w:pPr>
        <w:spacing w:after="0" w:line="100"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In November 2008, the FASB ratified an issue providing guidance for accounting for defensive intangible assets subsequent to their acquisition in accordance with the new business combination and fair value standards, including the estimated useful life that should be assigned to such assets. The new guidance is effective for intangible assets acquired on or after the beginning of the first annual reporting period beginning on or after December 15, 2008. The implementation of this standard did not have a material impact on our consolidated financial position and results of operations.</w:t>
      </w:r>
    </w:p>
    <w:p>
      <w:pPr>
        <w:spacing w:after="0" w:line="91" w:lineRule="exact"/>
        <w:rPr>
          <w:sz w:val="20"/>
          <w:szCs w:val="20"/>
          <w:color w:val="auto"/>
        </w:rPr>
      </w:pPr>
    </w:p>
    <w:p>
      <w:pPr>
        <w:ind w:right="300" w:firstLine="357"/>
        <w:spacing w:after="0" w:line="242" w:lineRule="auto"/>
        <w:rPr>
          <w:sz w:val="20"/>
          <w:szCs w:val="20"/>
          <w:color w:val="auto"/>
        </w:rPr>
      </w:pPr>
      <w:r>
        <w:rPr>
          <w:rFonts w:ascii="Arial" w:cs="Arial" w:eastAsia="Arial" w:hAnsi="Arial"/>
          <w:sz w:val="19"/>
          <w:szCs w:val="19"/>
          <w:color w:val="auto"/>
        </w:rPr>
        <w:t>In April 2009, the FASB issued a staff position which changes the method for determining whether an other-than-temporary impairment exists for debt securities and the amount of the impairment to be recorded in earnings. The guidance is effective for interim and annual periods ending after June 15, 2009. The implementation of this standard did not have a material impact on our consolidated financial position and results of operations.</w:t>
      </w:r>
    </w:p>
    <w:p>
      <w:pPr>
        <w:spacing w:after="0" w:line="91"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In May 2009, the FASB issued new guidance on subsequent events. The standard provides guidance on management’s assessment of subsequent events and incorporates this guidance into accounting literature. The standard is effective prospectively for interim and annual periods ending after June 15, 2009. The implementation of this standard did not have a material impact on our consolidated financial position and results of operations. The Company has evaluated subsequent events through February 12, 2010, the date of issuance of our consolidated financial statements.</w:t>
      </w:r>
    </w:p>
    <w:p>
      <w:pPr>
        <w:spacing w:after="0" w:line="91"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In June 2009, the FASB issued an amendment to the accounting and disclosure requirements for transfers of financial assets. The guidance requires additional disclosures for transfers of financial</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40"/>
        <w:spacing w:after="0" w:line="245" w:lineRule="auto"/>
        <w:rPr>
          <w:sz w:val="20"/>
          <w:szCs w:val="20"/>
          <w:color w:val="auto"/>
        </w:rPr>
      </w:pPr>
      <w:r>
        <w:rPr>
          <w:rFonts w:ascii="Arial" w:cs="Arial" w:eastAsia="Arial" w:hAnsi="Arial"/>
          <w:sz w:val="19"/>
          <w:szCs w:val="19"/>
          <w:color w:val="auto"/>
        </w:rPr>
        <w:t>assets and changes the requirements for derecognizing financial assets. The guidance is effective for fiscal years beginning after November 15, 2009. The implementation of this standard will not have a material impact on our consolidated financial position and results of operations.</w:t>
      </w:r>
    </w:p>
    <w:p>
      <w:pPr>
        <w:spacing w:after="0" w:line="195" w:lineRule="exact"/>
        <w:rPr>
          <w:sz w:val="20"/>
          <w:szCs w:val="20"/>
          <w:color w:val="auto"/>
        </w:rPr>
      </w:pPr>
    </w:p>
    <w:p>
      <w:pPr>
        <w:ind w:right="260" w:firstLine="357"/>
        <w:spacing w:after="0" w:line="242" w:lineRule="auto"/>
        <w:rPr>
          <w:sz w:val="20"/>
          <w:szCs w:val="20"/>
          <w:color w:val="auto"/>
        </w:rPr>
      </w:pPr>
      <w:r>
        <w:rPr>
          <w:rFonts w:ascii="Arial" w:cs="Arial" w:eastAsia="Arial" w:hAnsi="Arial"/>
          <w:sz w:val="19"/>
          <w:szCs w:val="19"/>
          <w:color w:val="auto"/>
        </w:rPr>
        <w:t>In June 2009, the FASB issued an amendment to the accounting and disclosure requirements for the consolidation of variable interest entities. The guidance affects the overall consolidation analysis and requires enhanced disclosures on involvement with variable interest entities. The guidance is effective for fiscal years beginning after November 15, 2009. The implementation of this standard will not have a material impact on our consolidated financial position and results of operations.</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October 2009, the FASB issued amendments to the accounting and disclosure for revenue recognition. These amendments, effective for fiscal years beginning on or after June 15, 2010 (early adoption is permitted), modify the criteria for recognizing revenue in multiple element arrangements and the scope of what constitutes a non-software deliverable. The Company has elected to early adopt this guidance, on a prospective basis for applicable transactions originating or materially modified after January 1, 2010. The implementation of this amended accounting guidance is not expected to have a material impact on our consolidated financial position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2—Acquisitions and Divestitures</w:t>
      </w:r>
    </w:p>
    <w:p>
      <w:pPr>
        <w:spacing w:after="0" w:line="130"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We acquired businesses for an aggregate cost of $468, $ 2,181 and $1,190 million in 2009, 2008 and 2007, respectively. For all of our acquisitions the acquired businesses were recorded at their estimated fair values at the dates of acquisition. Significant acquisitions made in these years are discussed below.</w:t>
      </w:r>
    </w:p>
    <w:p>
      <w:pPr>
        <w:spacing w:after="0" w:line="87"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August 2009, the Company completed the acquisition of the RMG Group (RMG Regel + Messtechnik GmbH), a natural gas measuring and control products, services and integrated solutions company, for a purchase price of approximately $416 million, net of cash acquired. The purchase price for the acquisition was allocated to the tangible and identifiable intangible assets acquired and liabilities assumed based on their estimated fair values at the acquisition date. The Company has assigned $174 million to identifiable intangible assets, predominantly customer relationships, existing technology and trademarks. These intangible assets are being amortized over their estimated lives using straight-line and accelerated amortization methods. The excess of the purchase price over the estimated fair values of net assets acquired (approximating $ 225 million), was recorded as goodwill. This goodwill is non- deductible for tax purposes. This acquisition was accounted for by the acquisition method, and, accordingly, results of operations are included in the consolidated financial statements from the date of acquisition. The results from the acquisition date through December 31, 2009 are included in the Automation and Control Solutions segment and were not material to the consolidated financial statements. As of December 31, 2009, the purchase accounting for the RMG Group is still subject to adjustment primarily for useful lives of intangible assets, amounts allocated to intangible assets and goodwill, and for certain pre- acquisition contingencies.</w:t>
      </w:r>
    </w:p>
    <w:p>
      <w:pPr>
        <w:spacing w:after="0" w:line="282" w:lineRule="exact"/>
        <w:rPr>
          <w:sz w:val="20"/>
          <w:szCs w:val="20"/>
          <w:color w:val="auto"/>
        </w:rPr>
      </w:pPr>
    </w:p>
    <w:p>
      <w:pPr>
        <w:ind w:right="420" w:firstLine="357"/>
        <w:spacing w:after="0" w:line="242" w:lineRule="auto"/>
        <w:rPr>
          <w:sz w:val="20"/>
          <w:szCs w:val="20"/>
          <w:color w:val="auto"/>
        </w:rPr>
      </w:pPr>
      <w:r>
        <w:rPr>
          <w:rFonts w:ascii="Arial" w:cs="Arial" w:eastAsia="Arial" w:hAnsi="Arial"/>
          <w:sz w:val="19"/>
          <w:szCs w:val="19"/>
          <w:color w:val="auto"/>
        </w:rPr>
        <w:t>In May 2008, the Company completed the acquisition of Safety Products Holding, Inc, which through its subsidiary Norcross Safety Products L.L.C. (Norcross) is a leading manufacturer of personal protective equipment. The purchase price, net of cash acquired, was approximately $1.2 billion and was allocated to tangible and identifiable intangible assets acquired and liabilities assumed based on their estimated fair values at the acquisition date.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estimated fair values of the assets and liabilities acquired as of the acquisition date.</w:t>
      </w:r>
    </w:p>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270"/>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Accounts and other receivables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102</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Inventories</w:t>
            </w:r>
          </w:p>
        </w:tc>
        <w:tc>
          <w:tcPr>
            <w:tcW w:w="24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Arial" w:cs="Arial" w:eastAsia="Arial" w:hAnsi="Arial"/>
                <w:sz w:val="19"/>
                <w:szCs w:val="19"/>
                <w:color w:val="auto"/>
              </w:rPr>
              <w:t>118</w:t>
            </w:r>
          </w:p>
        </w:tc>
      </w:tr>
      <w:tr>
        <w:trPr>
          <w:trHeight w:val="270"/>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current assets</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28</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Property, plant and equipment</w:t>
            </w:r>
          </w:p>
        </w:tc>
        <w:tc>
          <w:tcPr>
            <w:tcW w:w="24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Arial" w:cs="Arial" w:eastAsia="Arial" w:hAnsi="Arial"/>
                <w:sz w:val="19"/>
                <w:szCs w:val="19"/>
                <w:color w:val="auto"/>
              </w:rPr>
              <w:t>65</w:t>
            </w:r>
          </w:p>
        </w:tc>
      </w:tr>
      <w:tr>
        <w:trPr>
          <w:trHeight w:val="270"/>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Intangible assets</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702</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Other assets and deferred charges</w:t>
            </w:r>
          </w:p>
        </w:tc>
        <w:tc>
          <w:tcPr>
            <w:tcW w:w="24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Arial" w:cs="Arial" w:eastAsia="Arial" w:hAnsi="Arial"/>
                <w:sz w:val="19"/>
                <w:szCs w:val="19"/>
                <w:color w:val="auto"/>
              </w:rPr>
              <w:t>3</w:t>
            </w:r>
          </w:p>
        </w:tc>
      </w:tr>
      <w:tr>
        <w:trPr>
          <w:trHeight w:val="270"/>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Accounts payable</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(27 )</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Accrued liabilities</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(74 )</w:t>
            </w:r>
          </w:p>
        </w:tc>
      </w:tr>
      <w:tr>
        <w:trPr>
          <w:trHeight w:val="270"/>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Deferred income taxes</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(274 )</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Other long-term liabilities</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(26 )</w:t>
            </w:r>
          </w:p>
        </w:tc>
      </w:tr>
      <w:tr>
        <w:trPr>
          <w:trHeight w:val="34"/>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Net assets acquired</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617</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Goodwill</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604</w:t>
            </w:r>
          </w:p>
        </w:tc>
      </w:tr>
      <w:tr>
        <w:trPr>
          <w:trHeight w:val="34"/>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Purchase price</w:t>
            </w:r>
          </w:p>
        </w:tc>
        <w:tc>
          <w:tcPr>
            <w:tcW w:w="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rPr>
              <w:t>1,221</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160" w:firstLine="357"/>
        <w:spacing w:after="0" w:line="239" w:lineRule="auto"/>
        <w:rPr>
          <w:sz w:val="20"/>
          <w:szCs w:val="20"/>
          <w:color w:val="auto"/>
        </w:rPr>
      </w:pPr>
      <w:r>
        <w:rPr>
          <w:rFonts w:ascii="Arial" w:cs="Arial" w:eastAsia="Arial" w:hAnsi="Arial"/>
          <w:sz w:val="19"/>
          <w:szCs w:val="19"/>
          <w:color w:val="auto"/>
        </w:rPr>
        <w:t>The Company has assigned $702 million to intangible assets, predominantly customer relationships, trade names, and technology. These intangibles assets are being amortized over their estimated lives using straight line and accelerated amortization methods. The value assigned to the trade names of approximately $257 million is classified as an indefinite lived intangible. The excess of the purchase price over the estimated fair values of net assets acquired (approximately $604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2008 are included in the Automation and Control Solutions segment and were not material to the consolidated financial statements.</w:t>
      </w:r>
    </w:p>
    <w:p>
      <w:pPr>
        <w:spacing w:after="0" w:line="96"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In July 2008, the Company completed the sale of its Consumables Solutions business to B/E Aerospace (B/E) for $1.05 billion, consisting of approximately $901 million in cash and six million shares of B/E common stock. In connection with the completion of the sale, the Company and B/E entered into, among other things, exclusive supply and license agreements and a stockholder agreement. Because of the extent of the Company’s cash flows associated with the supply and license agreements, the Consumables Solutions business is not classified as discontinued operations. The provisions of the license and supply agreements were determined to be at-market. As such, we have not allocated any portion of the proceeds to these agreements. The pre-tax gain of $623 million was classified as Other (Income)/Expense in our Statement of Operations. The gain on sale was approximately $417 million net of tax. The sale of the Consumables Solutions business, within the Aerospace segment, is consistent with the Company’s strategic focus on core product areas utilizing advanced technologies.</w:t>
      </w:r>
    </w:p>
    <w:p>
      <w:pPr>
        <w:spacing w:after="0" w:line="95"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In July 2008, the Company completed the acquisition of Metrologic Instruments, Inc. (Metrologic), a leading manufacturer of data capture and collection hardware and software, for a purchase price of approximately $715 million, net of cash acquired. The purchase price for the acquisition was allocated to the tangible and identifiable intangible assets acquired and liabilities assumed based on their estimated fair values at acquisition date. The Company has assigned $248 million to identifiable intangible assets, predominantly customer relationships, technology and trademarks. These intangible assets are being amortized over their estimated lives which range from 1-15 years using straight line and accelerated amortization methods. The excess of the purchase price over the estimated fair values of net assets acquired (approximately $440 million) was recorded as goodwill. This goodwill is non-deductible for tax purposes. This acquisition was accounted for by the purchase method, and, accordingly, results of operations are included in the consolidated financial statements from the date of</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color w:val="auto"/>
        </w:rPr>
        <w:t>acquisition. The results from the acquisition date through December 31, 2008, are included in the Automation and Control Solutions segment and were not material to the consolidated financial statements.</w:t>
      </w:r>
    </w:p>
    <w:p>
      <w:pPr>
        <w:spacing w:after="0" w:line="188"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In December 2007, the Company, specifically the Automation and Control Solutions segment, completed the acquisition of Maxon Corporation, a leading industrial combustion business, for a purchase price of approximately $185 million. The purchase price for the acquisition was allocated to the tangible and identifiable intangible assets acquired and liabilities assumed based on their estimated fair values at acquisition date. The Company has assigned $70 million to identifiable intangible assets, predominantly customer relationships and trademarks. These intangible assets are being amortized over their estimated lives which range from 7-20 years using straight line and accelerated amortization methods. The value assigned to the trade marks of approximately $10 million is classified as an indefinite lived intangible. The excess of the purchase price over the estimated fair values of net assets acquired approximating $ 114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2007 were not material to the consolidated financial statements.</w:t>
      </w:r>
    </w:p>
    <w:p>
      <w:pPr>
        <w:spacing w:after="0" w:line="92"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In December 2007, the Company, specifically the Automation and Control Solutions segment, completed the acquisition of Hand Held Products, Inc. a privately held automatic identification and data collection company, for a purchase price of approximately $390 million. The purchase price for the acquisition was allocated to the tangible and identifiable intangible assets acquired and liabilities assumed based on their estimated fair values at the acquisition date. The Company has assigned $101 million to identifiable intangible assets, predominantly customer relationships and existing technology. These intangible assets are being amortized over their estimated lives which range from 1 to 15 years using straight-line and accelerated amortization methods. The excess of the purchase price over the estimated fair values of net assets acquired approximating $257 million, was recorded as goodwill. This goodwill is non - deductible for tax purposes. This acquisition was accounted for by the purchase method, and, accordingly, results of operations are included in the consolidated financial statements from the date of acquisition. The results from the acquisition date through December 31, 2007 were not material to the consolidated financial statements.</w:t>
      </w:r>
    </w:p>
    <w:p>
      <w:pPr>
        <w:spacing w:after="0" w:line="93"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In July 2007, the Company completed the acquisition of Dimensions International, a defense logistics business, for a purchase price of approximately $233 million. The purchase price for the acquisition was allocated to the tangible and identifiable intangible assets acquired and liabilities assumed based on their estimated fair values at the acquisition date. The Company has assigned $21 million to identifiable intangible assets, predominantly contractual relationships. These intangible assets are being amortized over their estimated life of 5 years using straight-line and accelerated amortization methods. The excess of the purchase price over the estimated fair values of net assets acquired approximating $183 million, was recorded as goodwill. Goodwill will be deducted over a 15 year period for tax purposes. This acquisition was accounted for by the purchase method, and, accordingly, results of operations are included in the consolidated financial statements from the date of acquisition. The results from the acquisition date through December 31, 2007 are included in the Aerospace segment and were not material to the consolidated financial statements.</w:t>
      </w:r>
    </w:p>
    <w:p>
      <w:pPr>
        <w:spacing w:after="0" w:line="95"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In July 2007, the Company completed the acquisition of Enraf Holding B.V., a provider of comprehensive solutions for the control and management of transportation, storage and blending operations in the oil and gas industry, for a purchase price of approximately $264 million, including the assumption of approximately $40 million of debt. The purchase price for the acquisition was allocated to the tangible and identifiable intangible assets acquired and liabilities assumed based on their estimated fair values at the acquisition date. The Company has assigned $90 million to identifiable intangible assets, predominantly customer relationships, existing technology and trademarks.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160"/>
        <w:spacing w:after="0"/>
        <w:rPr>
          <w:sz w:val="20"/>
          <w:szCs w:val="20"/>
          <w:color w:val="auto"/>
        </w:rPr>
      </w:pPr>
      <w:r>
        <w:rPr>
          <w:rFonts w:ascii="Arial" w:cs="Arial" w:eastAsia="Arial" w:hAnsi="Arial"/>
          <w:sz w:val="19"/>
          <w:szCs w:val="19"/>
          <w:color w:val="auto"/>
        </w:rPr>
        <w:t>remaining intangible assets are being amortized over their estimated life of 8-15 years using straight-line and accelerated amortization methods. The value assigned to the trademarks of approximately $27 million is classified as an indefinite lived intangible. The excess of the purchase price over the estimated fair values of net assets acquired approximating $167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2007 are included in the Automation and Control Solutions segment and were not material to the consolidated financial statements.</w:t>
      </w:r>
    </w:p>
    <w:p>
      <w:pPr>
        <w:spacing w:after="0" w:line="199" w:lineRule="exact"/>
        <w:rPr>
          <w:sz w:val="20"/>
          <w:szCs w:val="20"/>
          <w:color w:val="auto"/>
        </w:rPr>
      </w:pPr>
    </w:p>
    <w:p>
      <w:pPr>
        <w:ind w:right="880" w:firstLine="357"/>
        <w:spacing w:after="0" w:line="253" w:lineRule="auto"/>
        <w:rPr>
          <w:sz w:val="20"/>
          <w:szCs w:val="20"/>
          <w:color w:val="auto"/>
        </w:rPr>
      </w:pPr>
      <w:r>
        <w:rPr>
          <w:rFonts w:ascii="Arial" w:cs="Arial" w:eastAsia="Arial" w:hAnsi="Arial"/>
          <w:sz w:val="19"/>
          <w:szCs w:val="19"/>
          <w:color w:val="auto"/>
        </w:rPr>
        <w:t>In connection with all acquisitions in 2009, 2008 and 2007, the amounts recorded for transaction costs and the costs of integrating the acquired businesses into Honeywell were not material.</w:t>
      </w:r>
    </w:p>
    <w:p>
      <w:pPr>
        <w:spacing w:after="0" w:line="80" w:lineRule="exact"/>
        <w:rPr>
          <w:sz w:val="20"/>
          <w:szCs w:val="20"/>
          <w:color w:val="auto"/>
        </w:rPr>
      </w:pPr>
    </w:p>
    <w:p>
      <w:pPr>
        <w:ind w:right="100" w:firstLine="357"/>
        <w:spacing w:after="0" w:line="253" w:lineRule="auto"/>
        <w:rPr>
          <w:sz w:val="20"/>
          <w:szCs w:val="20"/>
          <w:color w:val="auto"/>
        </w:rPr>
      </w:pPr>
      <w:r>
        <w:rPr>
          <w:rFonts w:ascii="Arial" w:cs="Arial" w:eastAsia="Arial" w:hAnsi="Arial"/>
          <w:sz w:val="19"/>
          <w:szCs w:val="19"/>
          <w:color w:val="auto"/>
        </w:rPr>
        <w:t>The pro forma results for 2009, 2008 and 2007, assuming these acquisitions had been made at the beginning of the year, would not be materially different from consolidated reported results.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3—Repositioning and Other Charges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summary of repositioning and other charges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20" w:type="dxa"/>
            <w:vAlign w:val="bottom"/>
          </w:tcPr>
          <w:p>
            <w:pPr>
              <w:spacing w:after="0"/>
              <w:rPr>
                <w:sz w:val="17"/>
                <w:szCs w:val="17"/>
                <w:color w:val="auto"/>
              </w:rPr>
            </w:pPr>
          </w:p>
        </w:tc>
        <w:tc>
          <w:tcPr>
            <w:tcW w:w="3000" w:type="dxa"/>
            <w:vAlign w:val="bottom"/>
            <w:tcBorders>
              <w:bottom w:val="single" w:sz="8" w:color="auto"/>
            </w:tcBorders>
            <w:gridSpan w:val="7"/>
          </w:tcPr>
          <w:p>
            <w:pPr>
              <w:jc w:val="right"/>
              <w:ind w:right="385"/>
              <w:spacing w:after="0"/>
              <w:rPr>
                <w:sz w:val="20"/>
                <w:szCs w:val="20"/>
                <w:color w:val="auto"/>
              </w:rPr>
            </w:pPr>
            <w:r>
              <w:rPr>
                <w:rFonts w:ascii="Arial" w:cs="Arial" w:eastAsia="Arial" w:hAnsi="Arial"/>
                <w:sz w:val="16"/>
                <w:szCs w:val="16"/>
                <w:b w:val="1"/>
                <w:bCs w:val="1"/>
                <w:color w:val="auto"/>
              </w:rPr>
              <w:t>Years Ended December 31,</w:t>
            </w:r>
          </w:p>
        </w:tc>
      </w:tr>
      <w:tr>
        <w:trPr>
          <w:trHeight w:val="250"/>
        </w:trPr>
        <w:tc>
          <w:tcPr>
            <w:tcW w:w="8420" w:type="dxa"/>
            <w:vAlign w:val="bottom"/>
          </w:tcPr>
          <w:p>
            <w:pPr>
              <w:spacing w:after="0"/>
              <w:rPr>
                <w:sz w:val="21"/>
                <w:szCs w:val="21"/>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2008</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2007</w:t>
            </w:r>
          </w:p>
        </w:tc>
      </w:tr>
      <w:tr>
        <w:trPr>
          <w:trHeight w:val="264"/>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Severance</w:t>
            </w:r>
          </w:p>
        </w:tc>
        <w:tc>
          <w:tcPr>
            <w:tcW w:w="7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$ 206</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333</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186</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Asset impairments</w:t>
            </w:r>
          </w:p>
        </w:tc>
        <w:tc>
          <w:tcPr>
            <w:tcW w:w="720" w:type="dxa"/>
            <w:vAlign w:val="bottom"/>
          </w:tcPr>
          <w:p>
            <w:pPr>
              <w:jc w:val="right"/>
              <w:ind w:right="66"/>
              <w:spacing w:after="0"/>
              <w:rPr>
                <w:sz w:val="20"/>
                <w:szCs w:val="20"/>
                <w:color w:val="auto"/>
              </w:rPr>
            </w:pPr>
            <w:r>
              <w:rPr>
                <w:rFonts w:ascii="Arial" w:cs="Arial" w:eastAsia="Arial" w:hAnsi="Arial"/>
                <w:sz w:val="19"/>
                <w:szCs w:val="19"/>
                <w:color w:val="auto"/>
              </w:rPr>
              <w:t>8</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45"/>
              <w:spacing w:after="0"/>
              <w:rPr>
                <w:sz w:val="20"/>
                <w:szCs w:val="20"/>
                <w:color w:val="auto"/>
              </w:rPr>
            </w:pPr>
            <w:r>
              <w:rPr>
                <w:rFonts w:ascii="Arial" w:cs="Arial" w:eastAsia="Arial" w:hAnsi="Arial"/>
                <w:sz w:val="19"/>
                <w:szCs w:val="19"/>
                <w:color w:val="auto"/>
              </w:rPr>
              <w:t>78</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85"/>
              <w:spacing w:after="0"/>
              <w:rPr>
                <w:sz w:val="20"/>
                <w:szCs w:val="20"/>
                <w:color w:val="auto"/>
              </w:rPr>
            </w:pPr>
            <w:r>
              <w:rPr>
                <w:rFonts w:ascii="Arial" w:cs="Arial" w:eastAsia="Arial" w:hAnsi="Arial"/>
                <w:sz w:val="19"/>
                <w:szCs w:val="19"/>
                <w:color w:val="auto"/>
              </w:rPr>
              <w:t>14</w:t>
            </w:r>
          </w:p>
        </w:tc>
      </w:tr>
      <w:tr>
        <w:trPr>
          <w:trHeight w:val="270"/>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Exit costs</w:t>
            </w:r>
          </w:p>
        </w:tc>
        <w:tc>
          <w:tcPr>
            <w:tcW w:w="7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10</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33</w:t>
            </w:r>
          </w:p>
        </w:tc>
        <w:tc>
          <w:tcPr>
            <w:tcW w:w="3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9</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Reserve adjustments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(53 )</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(20 )</w:t>
            </w:r>
          </w:p>
        </w:tc>
        <w:tc>
          <w:tcPr>
            <w:tcW w:w="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(18 )</w:t>
            </w:r>
          </w:p>
        </w:tc>
      </w:tr>
      <w:tr>
        <w:trPr>
          <w:trHeight w:val="34"/>
        </w:trPr>
        <w:tc>
          <w:tcPr>
            <w:tcW w:w="8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 net repositioning charge</w:t>
            </w:r>
          </w:p>
        </w:tc>
        <w:tc>
          <w:tcPr>
            <w:tcW w:w="7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171</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424</w:t>
            </w:r>
          </w:p>
        </w:tc>
        <w:tc>
          <w:tcPr>
            <w:tcW w:w="3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191</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Asbestos related litigation charges, net of insurance</w:t>
            </w:r>
          </w:p>
        </w:tc>
        <w:tc>
          <w:tcPr>
            <w:tcW w:w="720" w:type="dxa"/>
            <w:vAlign w:val="bottom"/>
          </w:tcPr>
          <w:p>
            <w:pPr>
              <w:jc w:val="right"/>
              <w:ind w:right="66"/>
              <w:spacing w:after="0"/>
              <w:rPr>
                <w:sz w:val="20"/>
                <w:szCs w:val="20"/>
                <w:color w:val="auto"/>
              </w:rPr>
            </w:pPr>
            <w:r>
              <w:rPr>
                <w:rFonts w:ascii="Arial" w:cs="Arial" w:eastAsia="Arial" w:hAnsi="Arial"/>
                <w:sz w:val="19"/>
                <w:szCs w:val="19"/>
                <w:color w:val="auto"/>
              </w:rPr>
              <w:t>155</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45"/>
              <w:spacing w:after="0"/>
              <w:rPr>
                <w:sz w:val="20"/>
                <w:szCs w:val="20"/>
                <w:color w:val="auto"/>
              </w:rPr>
            </w:pPr>
            <w:r>
              <w:rPr>
                <w:rFonts w:ascii="Arial" w:cs="Arial" w:eastAsia="Arial" w:hAnsi="Arial"/>
                <w:sz w:val="19"/>
                <w:szCs w:val="19"/>
                <w:color w:val="auto"/>
              </w:rPr>
              <w:t>125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85"/>
              <w:spacing w:after="0"/>
              <w:rPr>
                <w:sz w:val="20"/>
                <w:szCs w:val="20"/>
                <w:color w:val="auto"/>
              </w:rPr>
            </w:pPr>
            <w:r>
              <w:rPr>
                <w:rFonts w:ascii="Arial" w:cs="Arial" w:eastAsia="Arial" w:hAnsi="Arial"/>
                <w:sz w:val="19"/>
                <w:szCs w:val="19"/>
                <w:color w:val="auto"/>
              </w:rPr>
              <w:t>100</w:t>
            </w:r>
          </w:p>
        </w:tc>
      </w:tr>
      <w:tr>
        <w:trPr>
          <w:trHeight w:val="270"/>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Probable and reasonably estimable environmental liabilities</w:t>
            </w:r>
          </w:p>
        </w:tc>
        <w:tc>
          <w:tcPr>
            <w:tcW w:w="7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145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465</w:t>
            </w:r>
          </w:p>
        </w:tc>
        <w:tc>
          <w:tcPr>
            <w:tcW w:w="3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225</w:t>
            </w:r>
          </w:p>
        </w:tc>
      </w:tr>
      <w:tr>
        <w:trPr>
          <w:trHeight w:val="270"/>
        </w:trPr>
        <w:tc>
          <w:tcPr>
            <w:tcW w:w="8420" w:type="dxa"/>
            <w:vAlign w:val="bottom"/>
          </w:tcPr>
          <w:p>
            <w:pPr>
              <w:ind w:left="20"/>
              <w:spacing w:after="0"/>
              <w:rPr>
                <w:sz w:val="20"/>
                <w:szCs w:val="20"/>
                <w:color w:val="auto"/>
              </w:rPr>
            </w:pPr>
            <w:r>
              <w:rPr>
                <w:rFonts w:ascii="Arial" w:cs="Arial" w:eastAsia="Arial" w:hAnsi="Arial"/>
                <w:sz w:val="19"/>
                <w:szCs w:val="19"/>
                <w:color w:val="auto"/>
              </w:rPr>
              <w:t>Business impairment charges</w:t>
            </w:r>
          </w:p>
        </w:tc>
        <w:tc>
          <w:tcPr>
            <w:tcW w:w="72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85"/>
              <w:spacing w:after="0"/>
              <w:rPr>
                <w:sz w:val="20"/>
                <w:szCs w:val="20"/>
                <w:color w:val="auto"/>
              </w:rPr>
            </w:pPr>
            <w:r>
              <w:rPr>
                <w:rFonts w:ascii="Arial" w:cs="Arial" w:eastAsia="Arial" w:hAnsi="Arial"/>
                <w:sz w:val="19"/>
                <w:szCs w:val="19"/>
                <w:color w:val="auto"/>
              </w:rPr>
              <w:t>9</w:t>
            </w:r>
          </w:p>
        </w:tc>
      </w:tr>
      <w:tr>
        <w:trPr>
          <w:trHeight w:val="270"/>
        </w:trPr>
        <w:tc>
          <w:tcPr>
            <w:tcW w:w="8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72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7</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(2 )</w:t>
            </w:r>
          </w:p>
        </w:tc>
        <w:tc>
          <w:tcPr>
            <w:tcW w:w="3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85"/>
              <w:spacing w:after="0"/>
              <w:rPr>
                <w:sz w:val="20"/>
                <w:szCs w:val="20"/>
                <w:color w:val="auto"/>
              </w:rPr>
            </w:pPr>
            <w:r>
              <w:rPr>
                <w:rFonts w:ascii="Arial" w:cs="Arial" w:eastAsia="Arial" w:hAnsi="Arial"/>
                <w:sz w:val="19"/>
                <w:szCs w:val="19"/>
                <w:color w:val="auto"/>
              </w:rPr>
              <w:t>18</w:t>
            </w:r>
          </w:p>
        </w:tc>
      </w:tr>
      <w:tr>
        <w:trPr>
          <w:trHeight w:val="304"/>
        </w:trPr>
        <w:tc>
          <w:tcPr>
            <w:tcW w:w="8420" w:type="dxa"/>
            <w:vAlign w:val="bottom"/>
          </w:tcPr>
          <w:p>
            <w:pPr>
              <w:ind w:left="380"/>
              <w:spacing w:after="0"/>
              <w:rPr>
                <w:sz w:val="20"/>
                <w:szCs w:val="20"/>
                <w:color w:val="auto"/>
              </w:rPr>
            </w:pPr>
            <w:r>
              <w:rPr>
                <w:rFonts w:ascii="Arial" w:cs="Arial" w:eastAsia="Arial" w:hAnsi="Arial"/>
                <w:sz w:val="19"/>
                <w:szCs w:val="19"/>
                <w:color w:val="auto"/>
              </w:rPr>
              <w:t>Total net repositioning and other charges</w:t>
            </w:r>
          </w:p>
        </w:tc>
        <w:tc>
          <w:tcPr>
            <w:tcW w:w="720" w:type="dxa"/>
            <w:vAlign w:val="bottom"/>
          </w:tcPr>
          <w:p>
            <w:pPr>
              <w:jc w:val="right"/>
              <w:ind w:right="66"/>
              <w:spacing w:after="0"/>
              <w:rPr>
                <w:sz w:val="20"/>
                <w:szCs w:val="20"/>
                <w:color w:val="auto"/>
              </w:rPr>
            </w:pPr>
            <w:r>
              <w:rPr>
                <w:rFonts w:ascii="Arial" w:cs="Arial" w:eastAsia="Arial" w:hAnsi="Arial"/>
                <w:sz w:val="19"/>
                <w:szCs w:val="19"/>
                <w:color w:val="auto"/>
              </w:rPr>
              <w:t>$ 478</w:t>
            </w:r>
          </w:p>
        </w:tc>
        <w:tc>
          <w:tcPr>
            <w:tcW w:w="52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45"/>
              <w:spacing w:after="0"/>
              <w:rPr>
                <w:sz w:val="20"/>
                <w:szCs w:val="20"/>
                <w:color w:val="auto"/>
              </w:rPr>
            </w:pPr>
            <w:r>
              <w:rPr>
                <w:rFonts w:ascii="Arial" w:cs="Arial" w:eastAsia="Arial" w:hAnsi="Arial"/>
                <w:sz w:val="19"/>
                <w:szCs w:val="19"/>
                <w:color w:val="auto"/>
              </w:rPr>
              <w:t>1,012</w:t>
            </w:r>
          </w:p>
        </w:tc>
        <w:tc>
          <w:tcPr>
            <w:tcW w:w="5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85"/>
              <w:spacing w:after="0"/>
              <w:rPr>
                <w:sz w:val="20"/>
                <w:szCs w:val="20"/>
                <w:color w:val="auto"/>
              </w:rPr>
            </w:pPr>
            <w:r>
              <w:rPr>
                <w:rFonts w:ascii="Arial" w:cs="Arial" w:eastAsia="Arial" w:hAnsi="Arial"/>
                <w:sz w:val="19"/>
                <w:szCs w:val="19"/>
                <w:color w:val="auto"/>
              </w:rPr>
              <w:t>543</w:t>
            </w:r>
          </w:p>
        </w:tc>
      </w:tr>
      <w:tr>
        <w:trPr>
          <w:trHeight w:val="20"/>
        </w:trPr>
        <w:tc>
          <w:tcPr>
            <w:tcW w:w="8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860" w:firstLine="357"/>
        <w:spacing w:after="0" w:line="253" w:lineRule="auto"/>
        <w:rPr>
          <w:sz w:val="20"/>
          <w:szCs w:val="20"/>
          <w:color w:val="auto"/>
        </w:rPr>
      </w:pPr>
      <w:r>
        <w:rPr>
          <w:rFonts w:ascii="Arial" w:cs="Arial" w:eastAsia="Arial" w:hAnsi="Arial"/>
          <w:sz w:val="19"/>
          <w:szCs w:val="19"/>
          <w:color w:val="auto"/>
        </w:rPr>
        <w:t>The following table summarizes the pretax distribution of total net repositioning and other charges by income statement classification.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tcPr>
          <w:p>
            <w:pPr>
              <w:jc w:val="right"/>
              <w:ind w:right="326"/>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6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b w:val="1"/>
                <w:bCs w:val="1"/>
                <w:color w:val="auto"/>
              </w:rPr>
              <w:t>2009</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2008</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64"/>
        </w:trPr>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Cost of products and services sold</w:t>
            </w:r>
          </w:p>
        </w:tc>
        <w:tc>
          <w:tcPr>
            <w:tcW w:w="4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411</w:t>
            </w:r>
          </w:p>
        </w:tc>
        <w:tc>
          <w:tcPr>
            <w:tcW w:w="320" w:type="dxa"/>
            <w:vAlign w:val="bottom"/>
            <w:shd w:val="clear" w:color="auto" w:fill="E5FFFF"/>
          </w:tcPr>
          <w:p>
            <w:pPr>
              <w:spacing w:after="0"/>
              <w:rPr>
                <w:sz w:val="22"/>
                <w:szCs w:val="22"/>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908</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495</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9"/>
                <w:szCs w:val="19"/>
                <w:color w:val="auto"/>
              </w:rPr>
              <w:t>Selling, general and administrative expenses</w:t>
            </w:r>
          </w:p>
        </w:tc>
        <w:tc>
          <w:tcPr>
            <w:tcW w:w="38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w:t>
            </w:r>
          </w:p>
        </w:tc>
        <w:tc>
          <w:tcPr>
            <w:tcW w:w="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w:t>
            </w:r>
          </w:p>
        </w:tc>
        <w:tc>
          <w:tcPr>
            <w:tcW w:w="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shd w:val="clear" w:color="auto" w:fill="E5FFFF"/>
          </w:tcPr>
          <w:p>
            <w:pPr>
              <w:spacing w:after="0"/>
              <w:rPr>
                <w:sz w:val="23"/>
                <w:szCs w:val="23"/>
                <w:color w:val="auto"/>
              </w:rPr>
            </w:pPr>
          </w:p>
        </w:tc>
        <w:tc>
          <w:tcPr>
            <w:tcW w:w="38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478</w:t>
            </w:r>
          </w:p>
        </w:tc>
        <w:tc>
          <w:tcPr>
            <w:tcW w:w="32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1,012</w:t>
            </w:r>
          </w:p>
        </w:tc>
        <w:tc>
          <w:tcPr>
            <w:tcW w:w="34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543</w:t>
            </w:r>
          </w:p>
        </w:tc>
        <w:tc>
          <w:tcPr>
            <w:tcW w:w="0" w:type="dxa"/>
            <w:vAlign w:val="bottom"/>
          </w:tcPr>
          <w:p>
            <w:pPr>
              <w:spacing w:after="0"/>
              <w:rPr>
                <w:sz w:val="1"/>
                <w:szCs w:val="1"/>
                <w:color w:val="auto"/>
              </w:rPr>
            </w:pPr>
          </w:p>
        </w:tc>
      </w:tr>
      <w:tr>
        <w:trPr>
          <w:trHeight w:val="20"/>
        </w:trPr>
        <w:tc>
          <w:tcPr>
            <w:tcW w:w="854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9520" w:type="dxa"/>
            <w:vAlign w:val="bottom"/>
            <w:gridSpan w:val="5"/>
          </w:tcPr>
          <w:p>
            <w:pPr>
              <w:ind w:left="360"/>
              <w:spacing w:after="0"/>
              <w:rPr>
                <w:sz w:val="20"/>
                <w:szCs w:val="20"/>
                <w:color w:val="auto"/>
              </w:rPr>
            </w:pPr>
            <w:r>
              <w:rPr>
                <w:rFonts w:ascii="Arial" w:cs="Arial" w:eastAsia="Arial" w:hAnsi="Arial"/>
                <w:sz w:val="19"/>
                <w:szCs w:val="19"/>
                <w:color w:val="auto"/>
              </w:rPr>
              <w:t>The following table summarizes the pretax impact of total net repositioning and other charges by segment.</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326"/>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6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b w:val="1"/>
                <w:bCs w:val="1"/>
                <w:color w:val="auto"/>
              </w:rPr>
              <w:t>2009</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2008</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64"/>
        </w:trPr>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Aerospace</w:t>
            </w:r>
          </w:p>
        </w:tc>
        <w:tc>
          <w:tcPr>
            <w:tcW w:w="4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320" w:type="dxa"/>
            <w:vAlign w:val="bottom"/>
            <w:shd w:val="clear" w:color="auto" w:fill="E5FFFF"/>
          </w:tcPr>
          <w:p>
            <w:pPr>
              <w:spacing w:after="0"/>
              <w:rPr>
                <w:sz w:val="22"/>
                <w:szCs w:val="22"/>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9"/>
                <w:szCs w:val="19"/>
                <w:color w:val="auto"/>
              </w:rPr>
              <w:t>Automation and Control Solutions</w:t>
            </w:r>
          </w:p>
        </w:tc>
        <w:tc>
          <w:tcPr>
            <w:tcW w:w="3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70</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164</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127</w:t>
            </w:r>
          </w:p>
        </w:tc>
        <w:tc>
          <w:tcPr>
            <w:tcW w:w="0" w:type="dxa"/>
            <w:vAlign w:val="bottom"/>
          </w:tcPr>
          <w:p>
            <w:pPr>
              <w:spacing w:after="0"/>
              <w:rPr>
                <w:sz w:val="1"/>
                <w:szCs w:val="1"/>
                <w:color w:val="auto"/>
              </w:rPr>
            </w:pPr>
          </w:p>
        </w:tc>
      </w:tr>
      <w:tr>
        <w:trPr>
          <w:trHeight w:val="270"/>
        </w:trPr>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Specialty Materials</w:t>
            </w:r>
          </w:p>
        </w:tc>
        <w:tc>
          <w:tcPr>
            <w:tcW w:w="38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w:t>
            </w:r>
          </w:p>
        </w:tc>
        <w:tc>
          <w:tcPr>
            <w:tcW w:w="3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w:t>
            </w:r>
          </w:p>
        </w:tc>
        <w:tc>
          <w:tcPr>
            <w:tcW w:w="3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9"/>
                <w:szCs w:val="19"/>
                <w:color w:val="auto"/>
              </w:rPr>
              <w:t>Transportation Systems</w:t>
            </w:r>
          </w:p>
        </w:tc>
        <w:tc>
          <w:tcPr>
            <w:tcW w:w="3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173</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233</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70"/>
        </w:trPr>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Corporate</w:t>
            </w:r>
          </w:p>
        </w:tc>
        <w:tc>
          <w:tcPr>
            <w:tcW w:w="38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195</w:t>
            </w:r>
          </w:p>
        </w:tc>
        <w:tc>
          <w:tcPr>
            <w:tcW w:w="32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489</w:t>
            </w:r>
          </w:p>
        </w:tc>
        <w:tc>
          <w:tcPr>
            <w:tcW w:w="34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246</w:t>
            </w:r>
          </w:p>
        </w:tc>
        <w:tc>
          <w:tcPr>
            <w:tcW w:w="0" w:type="dxa"/>
            <w:vAlign w:val="bottom"/>
          </w:tcPr>
          <w:p>
            <w:pPr>
              <w:spacing w:after="0"/>
              <w:rPr>
                <w:sz w:val="1"/>
                <w:szCs w:val="1"/>
                <w:color w:val="auto"/>
              </w:rPr>
            </w:pPr>
          </w:p>
        </w:tc>
      </w:tr>
      <w:tr>
        <w:trPr>
          <w:trHeight w:val="304"/>
        </w:trPr>
        <w:tc>
          <w:tcPr>
            <w:tcW w:w="4740" w:type="dxa"/>
            <w:vAlign w:val="bottom"/>
          </w:tcPr>
          <w:p>
            <w:pPr>
              <w:spacing w:after="0"/>
              <w:rPr>
                <w:sz w:val="24"/>
                <w:szCs w:val="24"/>
                <w:color w:val="auto"/>
              </w:rPr>
            </w:pPr>
          </w:p>
        </w:tc>
        <w:tc>
          <w:tcPr>
            <w:tcW w:w="40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478</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1,012</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543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800" w:type="dxa"/>
            <w:vAlign w:val="bottom"/>
            <w:vMerge w:val="restart"/>
          </w:tcPr>
          <w:p>
            <w:pPr>
              <w:jc w:val="right"/>
              <w:ind w:right="2623"/>
              <w:spacing w:after="0"/>
              <w:rPr>
                <w:sz w:val="20"/>
                <w:szCs w:val="20"/>
                <w:color w:val="auto"/>
              </w:rPr>
            </w:pPr>
            <w:r>
              <w:rPr>
                <w:rFonts w:ascii="Arial" w:cs="Arial" w:eastAsia="Arial" w:hAnsi="Arial"/>
                <w:sz w:val="19"/>
                <w:szCs w:val="19"/>
                <w:color w:val="auto"/>
              </w:rPr>
              <w:t>63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In 2009, we recognized repositioning charges totaling $224 million primarily for severance costs related to workforce reductions of 4,423 manufacturing and administrative positions mainly in our Automation and Control Solutions, Transportation Systems and Aerospace segments. The workforce reductions were primarily related to the adverse market conditions experienced by many of our businesses, cost savings actions taken in connection with our ongoing functional transformation initiative, the planned downsizing or shutdown of certain manufacturing facilities, and organizational realignments of portions of our Aerospace and Transportation Systems segments. Also, $53 million of previously established accruals, primarily for severance at our Automation and Control Solutions, Aerospace, and Transportation Systems segments, were returned to income in 2009 due to fewer employee separations than originally planned associated with prior severance programs and changes in the scope of previously announced repositioning actions.</w:t>
      </w:r>
    </w:p>
    <w:p>
      <w:pPr>
        <w:spacing w:after="0" w:line="200" w:lineRule="exact"/>
        <w:rPr>
          <w:sz w:val="20"/>
          <w:szCs w:val="20"/>
          <w:color w:val="auto"/>
        </w:rPr>
      </w:pPr>
    </w:p>
    <w:p>
      <w:pPr>
        <w:spacing w:after="0" w:line="213"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2008, we recognized repositioning charges totaling $444 million including severance costs of $333 million related to workforce reductions of 7,480 manufacturing and administrative positions across all of our segments. The workforce reductions primarily relate to the planned downsizing or shutdown of certain manufacturing facilities in our Aerospace, Automation and Control Solutions and Transportation Systems segments, the rationalization of non-manufacturing infrastructure, outsourcing of non-core components, managing capacity utilization to address product demand volatility and our functional transformation initiative. The repositioning charge also included asset impairments of $78 million principally related to manufacturing plant and equipment in facilities scheduled to close or be downsized and certain administrative facilities, and information technology equipment in our Corporate segment. Also, $20 million of previously established accruals, primarily for severance at our Automation and Control Solutions segment were returned to income in 2008 due mainly to fewer employee separations than originally planned associated with prior severance programs.</w:t>
      </w:r>
    </w:p>
    <w:p>
      <w:pPr>
        <w:spacing w:after="0" w:line="302"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In 2007, we recognized repositioning charges totaling $209 million primarily for severance costs related to workforce reductions of 3,408 manufacturing and administrative positions mainly in our Automation and Control Solutions and Aerospace segments. Also, $18 million of previously established accruals, primarily for severance at our Transportation Systems and Aerospace segments, were returned to income in 2007 due mainly to changes in the scope of previously announced severance programs and due to fewer employee separations than originally planned associated with prior severance programs.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status of our total repositioning reserves.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Severance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44"/>
              <w:spacing w:after="0"/>
              <w:rPr>
                <w:sz w:val="20"/>
                <w:szCs w:val="20"/>
                <w:color w:val="auto"/>
              </w:rPr>
            </w:pPr>
            <w:r>
              <w:rPr>
                <w:rFonts w:ascii="Arial" w:cs="Arial" w:eastAsia="Arial" w:hAnsi="Arial"/>
                <w:sz w:val="16"/>
                <w:szCs w:val="16"/>
                <w:b w:val="1"/>
                <w:bCs w:val="1"/>
                <w:color w:val="auto"/>
              </w:rPr>
              <w:t>Asset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ind w:right="84"/>
              <w:spacing w:after="0"/>
              <w:rPr>
                <w:sz w:val="20"/>
                <w:szCs w:val="20"/>
                <w:color w:val="auto"/>
              </w:rPr>
            </w:pPr>
            <w:r>
              <w:rPr>
                <w:rFonts w:ascii="Arial" w:cs="Arial" w:eastAsia="Arial" w:hAnsi="Arial"/>
                <w:sz w:val="16"/>
                <w:szCs w:val="16"/>
                <w:b w:val="1"/>
                <w:bCs w:val="1"/>
                <w:color w:val="auto"/>
                <w:w w:val="88"/>
              </w:rPr>
              <w:t>Exit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Costs</w:t>
            </w:r>
          </w:p>
        </w:tc>
        <w:tc>
          <w:tcPr>
            <w:tcW w:w="280" w:type="dxa"/>
            <w:vAlign w:val="bottom"/>
          </w:tcPr>
          <w:p>
            <w:pPr>
              <w:spacing w:after="0"/>
              <w:rPr>
                <w:sz w:val="17"/>
                <w:szCs w:val="17"/>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Impairments</w:t>
            </w:r>
          </w:p>
        </w:tc>
        <w:tc>
          <w:tcPr>
            <w:tcW w:w="300" w:type="dxa"/>
            <w:vAlign w:val="bottom"/>
          </w:tcPr>
          <w:p>
            <w:pPr>
              <w:spacing w:after="0"/>
              <w:rPr>
                <w:sz w:val="17"/>
                <w:szCs w:val="17"/>
                <w:color w:val="auto"/>
              </w:rPr>
            </w:pPr>
          </w:p>
        </w:tc>
        <w:tc>
          <w:tcPr>
            <w:tcW w:w="6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b w:val="1"/>
                <w:bCs w:val="1"/>
                <w:color w:val="auto"/>
              </w:rPr>
              <w:t>Costs</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Total</w:t>
            </w:r>
          </w:p>
        </w:tc>
      </w:tr>
      <w:tr>
        <w:trPr>
          <w:trHeight w:val="264"/>
        </w:trPr>
        <w:tc>
          <w:tcPr>
            <w:tcW w:w="500" w:type="dxa"/>
            <w:vAlign w:val="bottom"/>
          </w:tcPr>
          <w:p>
            <w:pPr>
              <w:spacing w:after="0"/>
              <w:rPr>
                <w:sz w:val="22"/>
                <w:szCs w:val="22"/>
                <w:color w:val="auto"/>
              </w:rPr>
            </w:pPr>
          </w:p>
        </w:tc>
        <w:tc>
          <w:tcPr>
            <w:tcW w:w="60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Balance at December 31, 2006</w:t>
            </w:r>
          </w:p>
        </w:tc>
        <w:tc>
          <w:tcPr>
            <w:tcW w:w="200" w:type="dxa"/>
            <w:vAlign w:val="bottom"/>
            <w:shd w:val="clear" w:color="auto" w:fill="E5FFFF"/>
          </w:tcPr>
          <w:p>
            <w:pPr>
              <w:ind w:lef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118</w:t>
            </w:r>
          </w:p>
        </w:tc>
        <w:tc>
          <w:tcPr>
            <w:tcW w:w="54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9</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127</w:t>
            </w:r>
          </w:p>
        </w:tc>
      </w:tr>
      <w:tr>
        <w:trPr>
          <w:trHeight w:val="270"/>
        </w:trPr>
        <w:tc>
          <w:tcPr>
            <w:tcW w:w="500" w:type="dxa"/>
            <w:vAlign w:val="bottom"/>
          </w:tcPr>
          <w:p>
            <w:pPr>
              <w:spacing w:after="0"/>
              <w:rPr>
                <w:sz w:val="23"/>
                <w:szCs w:val="23"/>
                <w:color w:val="auto"/>
              </w:rPr>
            </w:pPr>
          </w:p>
        </w:tc>
        <w:tc>
          <w:tcPr>
            <w:tcW w:w="6000" w:type="dxa"/>
            <w:vAlign w:val="bottom"/>
            <w:gridSpan w:val="2"/>
          </w:tcPr>
          <w:p>
            <w:pPr>
              <w:ind w:left="20"/>
              <w:spacing w:after="0"/>
              <w:rPr>
                <w:sz w:val="20"/>
                <w:szCs w:val="20"/>
                <w:color w:val="auto"/>
              </w:rPr>
            </w:pPr>
            <w:r>
              <w:rPr>
                <w:rFonts w:ascii="Arial" w:cs="Arial" w:eastAsia="Arial" w:hAnsi="Arial"/>
                <w:sz w:val="19"/>
                <w:szCs w:val="19"/>
                <w:color w:val="auto"/>
              </w:rPr>
              <w:t>2007 charges</w:t>
            </w:r>
          </w:p>
        </w:tc>
        <w:tc>
          <w:tcPr>
            <w:tcW w:w="200" w:type="dxa"/>
            <w:vAlign w:val="bottom"/>
          </w:tcPr>
          <w:p>
            <w:pPr>
              <w:spacing w:after="0"/>
              <w:rPr>
                <w:sz w:val="23"/>
                <w:szCs w:val="23"/>
                <w:color w:val="auto"/>
              </w:rPr>
            </w:pPr>
          </w:p>
        </w:tc>
        <w:tc>
          <w:tcPr>
            <w:tcW w:w="720" w:type="dxa"/>
            <w:vAlign w:val="bottom"/>
          </w:tcPr>
          <w:p>
            <w:pPr>
              <w:jc w:val="right"/>
              <w:ind w:right="64"/>
              <w:spacing w:after="0"/>
              <w:rPr>
                <w:sz w:val="20"/>
                <w:szCs w:val="20"/>
                <w:color w:val="auto"/>
              </w:rPr>
            </w:pPr>
            <w:r>
              <w:rPr>
                <w:rFonts w:ascii="Arial" w:cs="Arial" w:eastAsia="Arial" w:hAnsi="Arial"/>
                <w:sz w:val="19"/>
                <w:szCs w:val="19"/>
                <w:color w:val="auto"/>
              </w:rPr>
              <w:t>186</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64"/>
              <w:spacing w:after="0"/>
              <w:rPr>
                <w:sz w:val="20"/>
                <w:szCs w:val="20"/>
                <w:color w:val="auto"/>
              </w:rPr>
            </w:pPr>
            <w:r>
              <w:rPr>
                <w:rFonts w:ascii="Arial" w:cs="Arial" w:eastAsia="Arial" w:hAnsi="Arial"/>
                <w:sz w:val="19"/>
                <w:szCs w:val="19"/>
                <w:color w:val="auto"/>
              </w:rPr>
              <w:t>14</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64"/>
              <w:spacing w:after="0"/>
              <w:rPr>
                <w:sz w:val="20"/>
                <w:szCs w:val="20"/>
                <w:color w:val="auto"/>
              </w:rPr>
            </w:pPr>
            <w:r>
              <w:rPr>
                <w:rFonts w:ascii="Arial" w:cs="Arial" w:eastAsia="Arial" w:hAnsi="Arial"/>
                <w:sz w:val="19"/>
                <w:szCs w:val="19"/>
                <w:color w:val="auto"/>
              </w:rPr>
              <w:t>9</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64"/>
              <w:spacing w:after="0"/>
              <w:rPr>
                <w:sz w:val="20"/>
                <w:szCs w:val="20"/>
                <w:color w:val="auto"/>
              </w:rPr>
            </w:pPr>
            <w:r>
              <w:rPr>
                <w:rFonts w:ascii="Arial" w:cs="Arial" w:eastAsia="Arial" w:hAnsi="Arial"/>
                <w:sz w:val="19"/>
                <w:szCs w:val="19"/>
                <w:color w:val="auto"/>
              </w:rPr>
              <w:t>209</w:t>
            </w:r>
          </w:p>
        </w:tc>
      </w:tr>
      <w:tr>
        <w:trPr>
          <w:trHeight w:val="270"/>
        </w:trPr>
        <w:tc>
          <w:tcPr>
            <w:tcW w:w="500" w:type="dxa"/>
            <w:vAlign w:val="bottom"/>
          </w:tcPr>
          <w:p>
            <w:pPr>
              <w:spacing w:after="0"/>
              <w:rPr>
                <w:sz w:val="23"/>
                <w:szCs w:val="23"/>
                <w:color w:val="auto"/>
              </w:rPr>
            </w:pPr>
          </w:p>
        </w:tc>
        <w:tc>
          <w:tcPr>
            <w:tcW w:w="60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2007 usage</w:t>
            </w:r>
          </w:p>
        </w:tc>
        <w:tc>
          <w:tcPr>
            <w:tcW w:w="20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(14 )</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(106 )</w:t>
            </w:r>
          </w:p>
        </w:tc>
      </w:tr>
      <w:tr>
        <w:trPr>
          <w:trHeight w:val="270"/>
        </w:trPr>
        <w:tc>
          <w:tcPr>
            <w:tcW w:w="500" w:type="dxa"/>
            <w:vAlign w:val="bottom"/>
          </w:tcPr>
          <w:p>
            <w:pPr>
              <w:spacing w:after="0"/>
              <w:rPr>
                <w:sz w:val="23"/>
                <w:szCs w:val="23"/>
                <w:color w:val="auto"/>
              </w:rPr>
            </w:pPr>
          </w:p>
        </w:tc>
        <w:tc>
          <w:tcPr>
            <w:tcW w:w="6000" w:type="dxa"/>
            <w:vAlign w:val="bottom"/>
            <w:gridSpan w:val="2"/>
          </w:tcPr>
          <w:p>
            <w:pPr>
              <w:ind w:left="20"/>
              <w:spacing w:after="0"/>
              <w:rPr>
                <w:sz w:val="20"/>
                <w:szCs w:val="20"/>
                <w:color w:val="auto"/>
              </w:rPr>
            </w:pPr>
            <w:r>
              <w:rPr>
                <w:rFonts w:ascii="Arial" w:cs="Arial" w:eastAsia="Arial" w:hAnsi="Arial"/>
                <w:sz w:val="19"/>
                <w:szCs w:val="19"/>
                <w:color w:val="auto"/>
              </w:rPr>
              <w:t>Adjustments</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(18 )</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(18 )</w:t>
            </w: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60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Balance at December 31, 2007</w:t>
            </w:r>
          </w:p>
        </w:tc>
        <w:tc>
          <w:tcPr>
            <w:tcW w:w="2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201</w:t>
            </w:r>
          </w:p>
        </w:tc>
        <w:tc>
          <w:tcPr>
            <w:tcW w:w="28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11</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212</w:t>
            </w:r>
          </w:p>
        </w:tc>
      </w:tr>
      <w:tr>
        <w:trPr>
          <w:trHeight w:val="304"/>
        </w:trPr>
        <w:tc>
          <w:tcPr>
            <w:tcW w:w="5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9"/>
                <w:szCs w:val="19"/>
                <w:color w:val="auto"/>
              </w:rPr>
              <w:t>2008 charges</w:t>
            </w:r>
          </w:p>
        </w:tc>
        <w:tc>
          <w:tcPr>
            <w:tcW w:w="200" w:type="dxa"/>
            <w:vAlign w:val="bottom"/>
          </w:tcPr>
          <w:p>
            <w:pPr>
              <w:spacing w:after="0"/>
              <w:rPr>
                <w:sz w:val="24"/>
                <w:szCs w:val="24"/>
                <w:color w:val="auto"/>
              </w:rPr>
            </w:pPr>
          </w:p>
        </w:tc>
        <w:tc>
          <w:tcPr>
            <w:tcW w:w="720" w:type="dxa"/>
            <w:vAlign w:val="bottom"/>
          </w:tcPr>
          <w:p>
            <w:pPr>
              <w:jc w:val="right"/>
              <w:ind w:right="64"/>
              <w:spacing w:after="0"/>
              <w:rPr>
                <w:sz w:val="20"/>
                <w:szCs w:val="20"/>
                <w:color w:val="auto"/>
              </w:rPr>
            </w:pPr>
            <w:r>
              <w:rPr>
                <w:rFonts w:ascii="Arial" w:cs="Arial" w:eastAsia="Arial" w:hAnsi="Arial"/>
                <w:sz w:val="19"/>
                <w:szCs w:val="19"/>
                <w:color w:val="auto"/>
              </w:rPr>
              <w:t>333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64"/>
              <w:spacing w:after="0"/>
              <w:rPr>
                <w:sz w:val="20"/>
                <w:szCs w:val="20"/>
                <w:color w:val="auto"/>
              </w:rPr>
            </w:pPr>
            <w:r>
              <w:rPr>
                <w:rFonts w:ascii="Arial" w:cs="Arial" w:eastAsia="Arial" w:hAnsi="Arial"/>
                <w:sz w:val="19"/>
                <w:szCs w:val="19"/>
                <w:color w:val="auto"/>
              </w:rPr>
              <w:t>78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64"/>
              <w:spacing w:after="0"/>
              <w:rPr>
                <w:sz w:val="20"/>
                <w:szCs w:val="20"/>
                <w:color w:val="auto"/>
              </w:rPr>
            </w:pPr>
            <w:r>
              <w:rPr>
                <w:rFonts w:ascii="Arial" w:cs="Arial" w:eastAsia="Arial" w:hAnsi="Arial"/>
                <w:sz w:val="19"/>
                <w:szCs w:val="19"/>
                <w:color w:val="auto"/>
              </w:rPr>
              <w:t>33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64"/>
              <w:spacing w:after="0"/>
              <w:rPr>
                <w:sz w:val="20"/>
                <w:szCs w:val="20"/>
                <w:color w:val="auto"/>
              </w:rPr>
            </w:pPr>
            <w:r>
              <w:rPr>
                <w:rFonts w:ascii="Arial" w:cs="Arial" w:eastAsia="Arial" w:hAnsi="Arial"/>
                <w:sz w:val="19"/>
                <w:szCs w:val="19"/>
                <w:color w:val="auto"/>
              </w:rPr>
              <w:t>444</w:t>
            </w:r>
          </w:p>
        </w:tc>
      </w:tr>
      <w:tr>
        <w:trPr>
          <w:trHeight w:val="270"/>
        </w:trPr>
        <w:tc>
          <w:tcPr>
            <w:tcW w:w="500" w:type="dxa"/>
            <w:vAlign w:val="bottom"/>
          </w:tcPr>
          <w:p>
            <w:pPr>
              <w:spacing w:after="0"/>
              <w:rPr>
                <w:sz w:val="23"/>
                <w:szCs w:val="23"/>
                <w:color w:val="auto"/>
              </w:rPr>
            </w:pPr>
          </w:p>
        </w:tc>
        <w:tc>
          <w:tcPr>
            <w:tcW w:w="60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2008 usage</w:t>
            </w:r>
          </w:p>
        </w:tc>
        <w:tc>
          <w:tcPr>
            <w:tcW w:w="20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(149 )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(78 )</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(235 )</w:t>
            </w:r>
          </w:p>
        </w:tc>
      </w:tr>
      <w:tr>
        <w:trPr>
          <w:trHeight w:val="270"/>
        </w:trPr>
        <w:tc>
          <w:tcPr>
            <w:tcW w:w="500" w:type="dxa"/>
            <w:vAlign w:val="bottom"/>
          </w:tcPr>
          <w:p>
            <w:pPr>
              <w:spacing w:after="0"/>
              <w:rPr>
                <w:sz w:val="23"/>
                <w:szCs w:val="23"/>
                <w:color w:val="auto"/>
              </w:rPr>
            </w:pPr>
          </w:p>
        </w:tc>
        <w:tc>
          <w:tcPr>
            <w:tcW w:w="6000" w:type="dxa"/>
            <w:vAlign w:val="bottom"/>
            <w:gridSpan w:val="2"/>
          </w:tcPr>
          <w:p>
            <w:pPr>
              <w:ind w:left="20"/>
              <w:spacing w:after="0"/>
              <w:rPr>
                <w:sz w:val="20"/>
                <w:szCs w:val="20"/>
                <w:color w:val="auto"/>
              </w:rPr>
            </w:pPr>
            <w:r>
              <w:rPr>
                <w:rFonts w:ascii="Arial" w:cs="Arial" w:eastAsia="Arial" w:hAnsi="Arial"/>
                <w:sz w:val="19"/>
                <w:szCs w:val="19"/>
                <w:color w:val="auto"/>
              </w:rPr>
              <w:t>Adjustments</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(20 )</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(20 )</w:t>
            </w: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60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Balance at December 31, 2008</w:t>
            </w:r>
          </w:p>
        </w:tc>
        <w:tc>
          <w:tcPr>
            <w:tcW w:w="2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365</w:t>
            </w:r>
          </w:p>
        </w:tc>
        <w:tc>
          <w:tcPr>
            <w:tcW w:w="28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401</w:t>
            </w:r>
          </w:p>
        </w:tc>
      </w:tr>
      <w:tr>
        <w:trPr>
          <w:trHeight w:val="304"/>
        </w:trPr>
        <w:tc>
          <w:tcPr>
            <w:tcW w:w="5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9"/>
                <w:szCs w:val="19"/>
                <w:color w:val="auto"/>
              </w:rPr>
              <w:t>2009 charges</w:t>
            </w:r>
          </w:p>
        </w:tc>
        <w:tc>
          <w:tcPr>
            <w:tcW w:w="200" w:type="dxa"/>
            <w:vAlign w:val="bottom"/>
          </w:tcPr>
          <w:p>
            <w:pPr>
              <w:spacing w:after="0"/>
              <w:rPr>
                <w:sz w:val="24"/>
                <w:szCs w:val="24"/>
                <w:color w:val="auto"/>
              </w:rPr>
            </w:pPr>
          </w:p>
        </w:tc>
        <w:tc>
          <w:tcPr>
            <w:tcW w:w="720" w:type="dxa"/>
            <w:vAlign w:val="bottom"/>
          </w:tcPr>
          <w:p>
            <w:pPr>
              <w:jc w:val="right"/>
              <w:ind w:right="64"/>
              <w:spacing w:after="0"/>
              <w:rPr>
                <w:sz w:val="20"/>
                <w:szCs w:val="20"/>
                <w:color w:val="auto"/>
              </w:rPr>
            </w:pPr>
            <w:r>
              <w:rPr>
                <w:rFonts w:ascii="Arial" w:cs="Arial" w:eastAsia="Arial" w:hAnsi="Arial"/>
                <w:sz w:val="19"/>
                <w:szCs w:val="19"/>
                <w:color w:val="auto"/>
              </w:rPr>
              <w:t>206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64"/>
              <w:spacing w:after="0"/>
              <w:rPr>
                <w:sz w:val="20"/>
                <w:szCs w:val="20"/>
                <w:color w:val="auto"/>
              </w:rPr>
            </w:pPr>
            <w:r>
              <w:rPr>
                <w:rFonts w:ascii="Arial" w:cs="Arial" w:eastAsia="Arial" w:hAnsi="Arial"/>
                <w:sz w:val="19"/>
                <w:szCs w:val="19"/>
                <w:color w:val="auto"/>
              </w:rPr>
              <w:t>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64"/>
              <w:spacing w:after="0"/>
              <w:rPr>
                <w:sz w:val="20"/>
                <w:szCs w:val="20"/>
                <w:color w:val="auto"/>
              </w:rPr>
            </w:pPr>
            <w:r>
              <w:rPr>
                <w:rFonts w:ascii="Arial" w:cs="Arial" w:eastAsia="Arial" w:hAnsi="Arial"/>
                <w:sz w:val="19"/>
                <w:szCs w:val="19"/>
                <w:color w:val="auto"/>
              </w:rPr>
              <w:t>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64"/>
              <w:spacing w:after="0"/>
              <w:rPr>
                <w:sz w:val="20"/>
                <w:szCs w:val="20"/>
                <w:color w:val="auto"/>
              </w:rPr>
            </w:pPr>
            <w:r>
              <w:rPr>
                <w:rFonts w:ascii="Arial" w:cs="Arial" w:eastAsia="Arial" w:hAnsi="Arial"/>
                <w:sz w:val="19"/>
                <w:szCs w:val="19"/>
                <w:color w:val="auto"/>
              </w:rPr>
              <w:t>224</w:t>
            </w:r>
          </w:p>
        </w:tc>
      </w:tr>
      <w:tr>
        <w:trPr>
          <w:trHeight w:val="270"/>
        </w:trPr>
        <w:tc>
          <w:tcPr>
            <w:tcW w:w="500" w:type="dxa"/>
            <w:vAlign w:val="bottom"/>
          </w:tcPr>
          <w:p>
            <w:pPr>
              <w:spacing w:after="0"/>
              <w:rPr>
                <w:sz w:val="23"/>
                <w:szCs w:val="23"/>
                <w:color w:val="auto"/>
              </w:rPr>
            </w:pPr>
          </w:p>
        </w:tc>
        <w:tc>
          <w:tcPr>
            <w:tcW w:w="60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2009 usage</w:t>
            </w:r>
          </w:p>
        </w:tc>
        <w:tc>
          <w:tcPr>
            <w:tcW w:w="20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(193 )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(8 )</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(208 )</w:t>
            </w:r>
          </w:p>
        </w:tc>
      </w:tr>
      <w:tr>
        <w:trPr>
          <w:trHeight w:val="270"/>
        </w:trPr>
        <w:tc>
          <w:tcPr>
            <w:tcW w:w="500" w:type="dxa"/>
            <w:vAlign w:val="bottom"/>
          </w:tcPr>
          <w:p>
            <w:pPr>
              <w:spacing w:after="0"/>
              <w:rPr>
                <w:sz w:val="23"/>
                <w:szCs w:val="23"/>
                <w:color w:val="auto"/>
              </w:rPr>
            </w:pPr>
          </w:p>
        </w:tc>
        <w:tc>
          <w:tcPr>
            <w:tcW w:w="6000" w:type="dxa"/>
            <w:vAlign w:val="bottom"/>
            <w:gridSpan w:val="2"/>
          </w:tcPr>
          <w:p>
            <w:pPr>
              <w:ind w:left="20"/>
              <w:spacing w:after="0"/>
              <w:rPr>
                <w:sz w:val="20"/>
                <w:szCs w:val="20"/>
                <w:color w:val="auto"/>
              </w:rPr>
            </w:pPr>
            <w:r>
              <w:rPr>
                <w:rFonts w:ascii="Arial" w:cs="Arial" w:eastAsia="Arial" w:hAnsi="Arial"/>
                <w:sz w:val="19"/>
                <w:szCs w:val="19"/>
                <w:color w:val="auto"/>
              </w:rPr>
              <w:t>Adjustments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(51 )</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(53 )</w:t>
            </w:r>
          </w:p>
        </w:tc>
      </w:tr>
      <w:tr>
        <w:trPr>
          <w:trHeight w:val="270"/>
        </w:trPr>
        <w:tc>
          <w:tcPr>
            <w:tcW w:w="500" w:type="dxa"/>
            <w:vAlign w:val="bottom"/>
          </w:tcPr>
          <w:p>
            <w:pPr>
              <w:spacing w:after="0"/>
              <w:rPr>
                <w:sz w:val="23"/>
                <w:szCs w:val="23"/>
                <w:color w:val="auto"/>
              </w:rPr>
            </w:pPr>
          </w:p>
        </w:tc>
        <w:tc>
          <w:tcPr>
            <w:tcW w:w="60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Divestitures(1)</w:t>
            </w:r>
          </w:p>
        </w:tc>
        <w:tc>
          <w:tcPr>
            <w:tcW w:w="2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(24 )</w:t>
            </w:r>
          </w:p>
        </w:tc>
        <w:tc>
          <w:tcPr>
            <w:tcW w:w="28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(24 )</w:t>
            </w:r>
          </w:p>
        </w:tc>
      </w:tr>
      <w:tr>
        <w:trPr>
          <w:trHeight w:val="304"/>
        </w:trPr>
        <w:tc>
          <w:tcPr>
            <w:tcW w:w="5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9"/>
                <w:szCs w:val="19"/>
                <w:color w:val="auto"/>
              </w:rPr>
              <w:t>Balance at December 31, 2009</w:t>
            </w: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64"/>
              <w:spacing w:after="0"/>
              <w:rPr>
                <w:sz w:val="20"/>
                <w:szCs w:val="20"/>
                <w:color w:val="auto"/>
              </w:rPr>
            </w:pPr>
            <w:r>
              <w:rPr>
                <w:rFonts w:ascii="Arial" w:cs="Arial" w:eastAsia="Arial" w:hAnsi="Arial"/>
                <w:sz w:val="19"/>
                <w:szCs w:val="19"/>
                <w:color w:val="auto"/>
              </w:rPr>
              <w:t>303</w:t>
            </w:r>
          </w:p>
        </w:tc>
        <w:tc>
          <w:tcPr>
            <w:tcW w:w="54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860" w:type="dxa"/>
            <w:vAlign w:val="bottom"/>
          </w:tcPr>
          <w:p>
            <w:pPr>
              <w:jc w:val="right"/>
              <w:ind w:right="164"/>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ind w:right="64"/>
              <w:spacing w:after="0"/>
              <w:rPr>
                <w:sz w:val="20"/>
                <w:szCs w:val="20"/>
                <w:color w:val="auto"/>
              </w:rPr>
            </w:pPr>
            <w:r>
              <w:rPr>
                <w:rFonts w:ascii="Arial" w:cs="Arial" w:eastAsia="Arial" w:hAnsi="Arial"/>
                <w:sz w:val="19"/>
                <w:szCs w:val="19"/>
                <w:color w:val="auto"/>
              </w:rPr>
              <w:t>37</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64"/>
              <w:spacing w:after="0"/>
              <w:rPr>
                <w:sz w:val="20"/>
                <w:szCs w:val="20"/>
                <w:color w:val="auto"/>
              </w:rPr>
            </w:pPr>
            <w:r>
              <w:rPr>
                <w:rFonts w:ascii="Arial" w:cs="Arial" w:eastAsia="Arial" w:hAnsi="Arial"/>
                <w:sz w:val="19"/>
                <w:szCs w:val="19"/>
                <w:color w:val="auto"/>
              </w:rPr>
              <w:t>340</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right="40" w:hanging="332"/>
        <w:spacing w:after="0" w:line="253" w:lineRule="auto"/>
        <w:tabs>
          <w:tab w:leader="none" w:pos="4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relates to businesses divested during 2009 included in Gain on Sale of Non-Strategic Businesses and Assets see Note 4, Other (Income) Expense.</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6"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Certain repositioning projects in our Aerospace, Automation and Control Solutions and Transportation Systems segments included exit or disposal activities, the costs related to which, will be recognized in future periods when the actual liability is incurred. The nature of these exit or disposal costs principally includes product recertification and requalification and employee training and travel. The following table summarizes by segment, expected, incurred and remaining exit and disposal costs related to 2008 repositioning actions which we were not able to recognize at the time the actions were initiated. The exit and disposal costs related to the 2009 repositioning actions which we were not able to recognize at the time the actions were initiated were not significant.</w:t>
      </w:r>
    </w:p>
    <w:p>
      <w:pPr>
        <w:spacing w:after="0" w:line="200" w:lineRule="exact"/>
        <w:rPr>
          <w:sz w:val="20"/>
          <w:szCs w:val="20"/>
          <w:color w:val="auto"/>
        </w:rPr>
      </w:pPr>
    </w:p>
    <w:p>
      <w:pPr>
        <w:spacing w:after="0" w:line="26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Automation</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76"/>
        </w:trPr>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ind w:left="100"/>
              <w:spacing w:after="0" w:line="176" w:lineRule="exact"/>
              <w:rPr>
                <w:sz w:val="20"/>
                <w:szCs w:val="20"/>
                <w:color w:val="auto"/>
              </w:rPr>
            </w:pPr>
            <w:r>
              <w:rPr>
                <w:rFonts w:ascii="Arial" w:cs="Arial" w:eastAsia="Arial" w:hAnsi="Arial"/>
                <w:sz w:val="16"/>
                <w:szCs w:val="16"/>
                <w:b w:val="1"/>
                <w:bCs w:val="1"/>
                <w:color w:val="auto"/>
              </w:rPr>
              <w:t>and Control</w:t>
            </w:r>
          </w:p>
        </w:tc>
        <w:tc>
          <w:tcPr>
            <w:tcW w:w="280" w:type="dxa"/>
            <w:vAlign w:val="bottom"/>
          </w:tcPr>
          <w:p>
            <w:pPr>
              <w:spacing w:after="0"/>
              <w:rPr>
                <w:sz w:val="15"/>
                <w:szCs w:val="15"/>
                <w:color w:val="auto"/>
              </w:rPr>
            </w:pPr>
          </w:p>
        </w:tc>
        <w:tc>
          <w:tcPr>
            <w:tcW w:w="1380" w:type="dxa"/>
            <w:vAlign w:val="bottom"/>
            <w:gridSpan w:val="2"/>
          </w:tcPr>
          <w:p>
            <w:pPr>
              <w:jc w:val="right"/>
              <w:ind w:right="47"/>
              <w:spacing w:after="0" w:line="176" w:lineRule="exact"/>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4"/>
        </w:trPr>
        <w:tc>
          <w:tcPr>
            <w:tcW w:w="5320" w:type="dxa"/>
            <w:vAlign w:val="bottom"/>
          </w:tcPr>
          <w:p>
            <w:pPr>
              <w:spacing w:after="0"/>
              <w:rPr>
                <w:sz w:val="17"/>
                <w:szCs w:val="17"/>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Aerospace</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95"/>
              </w:rPr>
              <w:t>Solutions</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Systems</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94"/>
              </w:rPr>
              <w:t>Total</w:t>
            </w:r>
          </w:p>
        </w:tc>
      </w:tr>
      <w:tr>
        <w:trPr>
          <w:trHeight w:val="264"/>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Expected exit and disposal costs</w:t>
            </w:r>
          </w:p>
        </w:tc>
        <w:tc>
          <w:tcPr>
            <w:tcW w:w="320" w:type="dxa"/>
            <w:vAlign w:val="bottom"/>
            <w:shd w:val="clear" w:color="auto" w:fill="E5FFFF"/>
          </w:tcPr>
          <w:p>
            <w:pPr>
              <w:ind w:lef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96</w:t>
            </w:r>
          </w:p>
        </w:tc>
        <w:tc>
          <w:tcPr>
            <w:tcW w:w="4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E5FFFF"/>
          </w:tcPr>
          <w:p>
            <w:pPr>
              <w:jc w:val="right"/>
              <w:ind w:right="187"/>
              <w:spacing w:after="0"/>
              <w:rPr>
                <w:sz w:val="20"/>
                <w:szCs w:val="20"/>
                <w:color w:val="auto"/>
              </w:rPr>
            </w:pPr>
            <w:r>
              <w:rPr>
                <w:rFonts w:ascii="Arial" w:cs="Arial" w:eastAsia="Arial" w:hAnsi="Arial"/>
                <w:sz w:val="19"/>
                <w:szCs w:val="19"/>
                <w:color w:val="auto"/>
              </w:rPr>
              <w:t>27</w:t>
            </w:r>
          </w:p>
        </w:tc>
        <w:tc>
          <w:tcPr>
            <w:tcW w:w="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5FFFF"/>
          </w:tcPr>
          <w:p>
            <w:pPr>
              <w:jc w:val="right"/>
              <w:ind w:right="267"/>
              <w:spacing w:after="0"/>
              <w:rPr>
                <w:sz w:val="20"/>
                <w:szCs w:val="20"/>
                <w:color w:val="auto"/>
              </w:rPr>
            </w:pPr>
            <w:r>
              <w:rPr>
                <w:rFonts w:ascii="Arial" w:cs="Arial" w:eastAsia="Arial" w:hAnsi="Arial"/>
                <w:sz w:val="19"/>
                <w:szCs w:val="19"/>
                <w:color w:val="auto"/>
              </w:rPr>
              <w:t>6</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129</w:t>
            </w:r>
          </w:p>
        </w:tc>
      </w:tr>
      <w:tr>
        <w:trPr>
          <w:trHeight w:val="270"/>
        </w:trPr>
        <w:tc>
          <w:tcPr>
            <w:tcW w:w="5320" w:type="dxa"/>
            <w:vAlign w:val="bottom"/>
          </w:tcPr>
          <w:p>
            <w:pPr>
              <w:ind w:left="20"/>
              <w:spacing w:after="0"/>
              <w:rPr>
                <w:sz w:val="20"/>
                <w:szCs w:val="20"/>
                <w:color w:val="auto"/>
              </w:rPr>
            </w:pPr>
            <w:r>
              <w:rPr>
                <w:rFonts w:ascii="Arial" w:cs="Arial" w:eastAsia="Arial" w:hAnsi="Arial"/>
                <w:sz w:val="19"/>
                <w:szCs w:val="19"/>
                <w:color w:val="auto"/>
              </w:rPr>
              <w:t>Costs incurred year ended December 31, 2008</w:t>
            </w:r>
          </w:p>
        </w:tc>
        <w:tc>
          <w:tcPr>
            <w:tcW w:w="320" w:type="dxa"/>
            <w:vAlign w:val="bottom"/>
          </w:tcPr>
          <w:p>
            <w:pPr>
              <w:spacing w:after="0"/>
              <w:rPr>
                <w:sz w:val="23"/>
                <w:szCs w:val="23"/>
                <w:color w:val="auto"/>
              </w:rPr>
            </w:pPr>
          </w:p>
        </w:tc>
        <w:tc>
          <w:tcPr>
            <w:tcW w:w="640" w:type="dxa"/>
            <w:vAlign w:val="bottom"/>
          </w:tcPr>
          <w:p>
            <w:pPr>
              <w:jc w:val="right"/>
              <w:ind w:right="23"/>
              <w:spacing w:after="0"/>
              <w:rPr>
                <w:sz w:val="20"/>
                <w:szCs w:val="20"/>
                <w:color w:val="auto"/>
              </w:rPr>
            </w:pPr>
            <w:r>
              <w:rPr>
                <w:rFonts w:ascii="Arial" w:cs="Arial" w:eastAsia="Arial" w:hAnsi="Arial"/>
                <w:sz w:val="19"/>
                <w:szCs w:val="19"/>
                <w:color w:val="auto"/>
              </w:rPr>
              <w:t>(12 )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187"/>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67"/>
              <w:spacing w:after="0"/>
              <w:rPr>
                <w:sz w:val="20"/>
                <w:szCs w:val="20"/>
                <w:color w:val="auto"/>
              </w:rPr>
            </w:pPr>
            <w:r>
              <w:rPr>
                <w:rFonts w:ascii="Arial" w:cs="Arial" w:eastAsia="Arial" w:hAnsi="Arial"/>
                <w:sz w:val="19"/>
                <w:szCs w:val="19"/>
                <w:color w:val="auto"/>
              </w:rPr>
              <w:t>(1 )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(13 )</w:t>
            </w:r>
          </w:p>
        </w:tc>
      </w:tr>
      <w:tr>
        <w:trPr>
          <w:trHeight w:val="270"/>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Costs incurred year ended December 31, 2009</w:t>
            </w:r>
          </w:p>
        </w:tc>
        <w:tc>
          <w:tcPr>
            <w:tcW w:w="3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rPr>
              <w:t>(44 )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ind w:right="87"/>
              <w:spacing w:after="0"/>
              <w:rPr>
                <w:sz w:val="20"/>
                <w:szCs w:val="20"/>
                <w:color w:val="auto"/>
              </w:rPr>
            </w:pPr>
            <w:r>
              <w:rPr>
                <w:rFonts w:ascii="Arial" w:cs="Arial" w:eastAsia="Arial" w:hAnsi="Arial"/>
                <w:sz w:val="19"/>
                <w:szCs w:val="19"/>
                <w:color w:val="auto"/>
              </w:rPr>
              <w:t>(1 )</w:t>
            </w:r>
          </w:p>
        </w:tc>
        <w:tc>
          <w:tcPr>
            <w:tcW w:w="280" w:type="dxa"/>
            <w:vAlign w:val="bottom"/>
            <w:shd w:val="clear" w:color="auto" w:fill="E5FFFF"/>
          </w:tcPr>
          <w:p>
            <w:pPr>
              <w:spacing w:after="0"/>
              <w:rPr>
                <w:sz w:val="23"/>
                <w:szCs w:val="23"/>
                <w:color w:val="auto"/>
              </w:rPr>
            </w:pPr>
          </w:p>
        </w:tc>
        <w:tc>
          <w:tcPr>
            <w:tcW w:w="280" w:type="dxa"/>
            <w:vAlign w:val="bottom"/>
            <w:tcBorders>
              <w:bottom w:val="single" w:sz="8" w:color="auto"/>
            </w:tcBorders>
            <w:shd w:val="clear" w:color="auto" w:fill="E5FFFF"/>
          </w:tcPr>
          <w:p>
            <w:pPr>
              <w:spacing w:after="0"/>
              <w:rPr>
                <w:sz w:val="23"/>
                <w:szCs w:val="23"/>
                <w:color w:val="auto"/>
              </w:rPr>
            </w:pPr>
          </w:p>
        </w:tc>
        <w:tc>
          <w:tcPr>
            <w:tcW w:w="1100" w:type="dxa"/>
            <w:vAlign w:val="bottom"/>
            <w:tcBorders>
              <w:bottom w:val="single" w:sz="8" w:color="auto"/>
            </w:tcBorders>
            <w:shd w:val="clear" w:color="auto" w:fill="E5FFFF"/>
          </w:tcPr>
          <w:p>
            <w:pPr>
              <w:jc w:val="right"/>
              <w:ind w:right="167"/>
              <w:spacing w:after="0"/>
              <w:rPr>
                <w:sz w:val="20"/>
                <w:szCs w:val="20"/>
                <w:color w:val="auto"/>
              </w:rPr>
            </w:pPr>
            <w:r>
              <w:rPr>
                <w:rFonts w:ascii="Arial" w:cs="Arial" w:eastAsia="Arial" w:hAnsi="Arial"/>
                <w:sz w:val="19"/>
                <w:szCs w:val="19"/>
                <w:color w:val="auto"/>
              </w:rPr>
              <w:t>(2 )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(47 )</w:t>
            </w:r>
          </w:p>
        </w:tc>
      </w:tr>
      <w:tr>
        <w:trPr>
          <w:trHeight w:val="304"/>
        </w:trPr>
        <w:tc>
          <w:tcPr>
            <w:tcW w:w="5320" w:type="dxa"/>
            <w:vAlign w:val="bottom"/>
          </w:tcPr>
          <w:p>
            <w:pPr>
              <w:ind w:left="20"/>
              <w:spacing w:after="0"/>
              <w:rPr>
                <w:sz w:val="20"/>
                <w:szCs w:val="20"/>
                <w:color w:val="auto"/>
              </w:rPr>
            </w:pPr>
            <w:r>
              <w:rPr>
                <w:rFonts w:ascii="Arial" w:cs="Arial" w:eastAsia="Arial" w:hAnsi="Arial"/>
                <w:sz w:val="19"/>
                <w:szCs w:val="19"/>
                <w:color w:val="auto"/>
              </w:rPr>
              <w:t>Remaining exit and disposal costs at December 31, 2009</w:t>
            </w:r>
          </w:p>
        </w:tc>
        <w:tc>
          <w:tcPr>
            <w:tcW w:w="320" w:type="dxa"/>
            <w:vAlign w:val="bottom"/>
          </w:tcPr>
          <w:p>
            <w:pPr>
              <w:ind w:left="60"/>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103"/>
              <w:spacing w:after="0"/>
              <w:rPr>
                <w:sz w:val="20"/>
                <w:szCs w:val="20"/>
                <w:color w:val="auto"/>
              </w:rPr>
            </w:pPr>
            <w:r>
              <w:rPr>
                <w:rFonts w:ascii="Arial" w:cs="Arial" w:eastAsia="Arial" w:hAnsi="Arial"/>
                <w:sz w:val="19"/>
                <w:szCs w:val="19"/>
                <w:color w:val="auto"/>
              </w:rPr>
              <w:t>40</w:t>
            </w:r>
          </w:p>
        </w:tc>
        <w:tc>
          <w:tcPr>
            <w:tcW w:w="480" w:type="dxa"/>
            <w:vAlign w:val="bottom"/>
            <w:gridSpan w:val="2"/>
          </w:tcPr>
          <w:p>
            <w:pPr>
              <w:ind w:left="380"/>
              <w:spacing w:after="0"/>
              <w:rPr>
                <w:sz w:val="20"/>
                <w:szCs w:val="20"/>
                <w:color w:val="auto"/>
              </w:rPr>
            </w:pPr>
            <w:r>
              <w:rPr>
                <w:rFonts w:ascii="Arial" w:cs="Arial" w:eastAsia="Arial" w:hAnsi="Arial"/>
                <w:sz w:val="19"/>
                <w:szCs w:val="19"/>
                <w:color w:val="auto"/>
                <w:w w:val="75"/>
              </w:rPr>
              <w:t>$</w:t>
            </w:r>
          </w:p>
        </w:tc>
        <w:tc>
          <w:tcPr>
            <w:tcW w:w="900" w:type="dxa"/>
            <w:vAlign w:val="bottom"/>
          </w:tcPr>
          <w:p>
            <w:pPr>
              <w:jc w:val="right"/>
              <w:ind w:right="187"/>
              <w:spacing w:after="0"/>
              <w:rPr>
                <w:sz w:val="20"/>
                <w:szCs w:val="20"/>
                <w:color w:val="auto"/>
              </w:rPr>
            </w:pPr>
            <w:r>
              <w:rPr>
                <w:rFonts w:ascii="Arial" w:cs="Arial" w:eastAsia="Arial" w:hAnsi="Arial"/>
                <w:sz w:val="19"/>
                <w:szCs w:val="19"/>
                <w:color w:val="auto"/>
              </w:rPr>
              <w:t>26</w:t>
            </w:r>
          </w:p>
        </w:tc>
        <w:tc>
          <w:tcPr>
            <w:tcW w:w="5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ind w:right="267"/>
              <w:spacing w:after="0"/>
              <w:rPr>
                <w:sz w:val="20"/>
                <w:szCs w:val="20"/>
                <w:color w:val="auto"/>
              </w:rPr>
            </w:pPr>
            <w:r>
              <w:rPr>
                <w:rFonts w:ascii="Arial" w:cs="Arial" w:eastAsia="Arial" w:hAnsi="Arial"/>
                <w:sz w:val="19"/>
                <w:szCs w:val="19"/>
                <w:color w:val="auto"/>
              </w:rPr>
              <w:t>3</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67"/>
              <w:spacing w:after="0"/>
              <w:rPr>
                <w:sz w:val="20"/>
                <w:szCs w:val="20"/>
                <w:color w:val="auto"/>
              </w:rPr>
            </w:pPr>
            <w:r>
              <w:rPr>
                <w:rFonts w:ascii="Arial" w:cs="Arial" w:eastAsia="Arial" w:hAnsi="Arial"/>
                <w:sz w:val="19"/>
                <w:szCs w:val="19"/>
                <w:color w:val="auto"/>
              </w:rPr>
              <w:t>69</w:t>
            </w:r>
          </w:p>
        </w:tc>
      </w:tr>
      <w:tr>
        <w:trPr>
          <w:trHeight w:val="20"/>
        </w:trPr>
        <w:tc>
          <w:tcPr>
            <w:tcW w:w="5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right="180" w:firstLine="357"/>
        <w:spacing w:after="0" w:line="245" w:lineRule="auto"/>
        <w:rPr>
          <w:sz w:val="20"/>
          <w:szCs w:val="20"/>
          <w:color w:val="auto"/>
        </w:rPr>
      </w:pPr>
      <w:r>
        <w:rPr>
          <w:rFonts w:ascii="Arial" w:cs="Arial" w:eastAsia="Arial" w:hAnsi="Arial"/>
          <w:sz w:val="19"/>
          <w:szCs w:val="19"/>
          <w:color w:val="auto"/>
        </w:rPr>
        <w:t>In 2009, we recognized a charge of $145 million for environmental liabilities deemed probable and reasonably estimable during the year. We recognized asbestos related litigation charges, net of insurance, of $155 million. Environmental and Asbestos Matters are discussed in detail in Note 21.</w:t>
      </w:r>
    </w:p>
    <w:p>
      <w:pPr>
        <w:spacing w:after="0" w:line="87" w:lineRule="exact"/>
        <w:rPr>
          <w:sz w:val="20"/>
          <w:szCs w:val="20"/>
          <w:color w:val="auto"/>
        </w:rPr>
      </w:pPr>
    </w:p>
    <w:p>
      <w:pPr>
        <w:jc w:val="both"/>
        <w:ind w:right="180" w:firstLine="357"/>
        <w:spacing w:after="0" w:line="253" w:lineRule="auto"/>
        <w:rPr>
          <w:sz w:val="20"/>
          <w:szCs w:val="20"/>
          <w:color w:val="auto"/>
        </w:rPr>
      </w:pPr>
      <w:r>
        <w:rPr>
          <w:rFonts w:ascii="Arial" w:cs="Arial" w:eastAsia="Arial" w:hAnsi="Arial"/>
          <w:sz w:val="19"/>
          <w:szCs w:val="19"/>
          <w:color w:val="auto"/>
        </w:rPr>
        <w:t>In 2008, we recognized a charge of $465 million for environmental liabilities deemed probable and reasonably estimable during the year, of which $309 million was recognized in the third quarter which included:</w:t>
      </w:r>
    </w:p>
    <w:p>
      <w:pPr>
        <w:spacing w:after="0" w:line="134" w:lineRule="exact"/>
        <w:rPr>
          <w:sz w:val="20"/>
          <w:szCs w:val="20"/>
          <w:color w:val="auto"/>
        </w:rPr>
      </w:pPr>
    </w:p>
    <w:p>
      <w:pPr>
        <w:ind w:left="540" w:right="40" w:hanging="158"/>
        <w:spacing w:after="0" w:line="25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$100 million related to the resolution of technical design issues regarding the remediation plan for Onondaga Lake (“Lake”) (as previously reported, the ultimate cost of the remediation of the Lake depended upon the resolution of these issues);</w:t>
      </w:r>
    </w:p>
    <w:p>
      <w:pPr>
        <w:spacing w:after="0" w:line="93" w:lineRule="exact"/>
        <w:rPr>
          <w:rFonts w:ascii="Arial" w:cs="Arial" w:eastAsia="Arial" w:hAnsi="Arial"/>
          <w:sz w:val="19"/>
          <w:szCs w:val="19"/>
          <w:color w:val="auto"/>
        </w:rPr>
      </w:pPr>
    </w:p>
    <w:p>
      <w:pPr>
        <w:ind w:left="540" w:right="440" w:hanging="158"/>
        <w:spacing w:after="0" w:line="25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$90 million for the estimated cost of proposed remedial actions to be taken at other sites located in Syracuse, New York in accordance with remediation plans submitted to state environmental regulators;</w:t>
      </w:r>
    </w:p>
    <w:p>
      <w:pPr>
        <w:spacing w:after="0" w:line="93" w:lineRule="exact"/>
        <w:rPr>
          <w:rFonts w:ascii="Arial" w:cs="Arial" w:eastAsia="Arial" w:hAnsi="Arial"/>
          <w:sz w:val="19"/>
          <w:szCs w:val="19"/>
          <w:color w:val="auto"/>
        </w:rPr>
      </w:pPr>
    </w:p>
    <w:p>
      <w:pPr>
        <w:ind w:left="540" w:right="180" w:hanging="158"/>
        <w:spacing w:after="0" w:line="245"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$38 million primarily related to changes in cost estimates (due to, among other things, increases in the cost of steel, waste transportation and disposal costs) and settlement costs relating to the remediation of the New Jersey Chrome sites known as Study Areas 5, 6 and 7.</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We also recognized asbestos related litigation charges, net of insurance, of $125 million.</w:t>
      </w:r>
    </w:p>
    <w:p>
      <w:pPr>
        <w:spacing w:after="0" w:line="106" w:lineRule="exact"/>
        <w:rPr>
          <w:sz w:val="20"/>
          <w:szCs w:val="20"/>
          <w:color w:val="auto"/>
        </w:rPr>
      </w:pPr>
    </w:p>
    <w:p>
      <w:pPr>
        <w:ind w:right="180" w:firstLine="357"/>
        <w:spacing w:after="0" w:line="241" w:lineRule="auto"/>
        <w:rPr>
          <w:sz w:val="20"/>
          <w:szCs w:val="20"/>
          <w:color w:val="auto"/>
        </w:rPr>
      </w:pPr>
      <w:r>
        <w:rPr>
          <w:rFonts w:ascii="Arial" w:cs="Arial" w:eastAsia="Arial" w:hAnsi="Arial"/>
          <w:sz w:val="19"/>
          <w:szCs w:val="19"/>
          <w:color w:val="auto"/>
        </w:rPr>
        <w:t>In 2007, we recognized a charge of $225 million for environmental liabilities deemed probable and reasonably estimable during the year. We recognized asbestos related litigation charges, net of insurance, of $100 million. We recognized other charges of $18 million for a business sales tax related to a prior divestiture ($8 million) and for contemplated settlements of certain legal matters ($10 million). We also recognized impairment charges of $9 million related to the write-down of property, plant and equipment held for sale in our Specialty Materials segment.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4—Other (Income)/Expense</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jc w:val="right"/>
              <w:ind w:right="346"/>
              <w:spacing w:after="0"/>
              <w:rPr>
                <w:sz w:val="20"/>
                <w:szCs w:val="20"/>
                <w:color w:val="auto"/>
              </w:rPr>
            </w:pPr>
            <w:r>
              <w:rPr>
                <w:rFonts w:ascii="Arial" w:cs="Arial" w:eastAsia="Arial" w:hAnsi="Arial"/>
                <w:sz w:val="16"/>
                <w:szCs w:val="16"/>
                <w:b w:val="1"/>
                <w:bCs w:val="1"/>
                <w:color w:val="auto"/>
              </w:rPr>
              <w:t>Years Ended December 31,</w:t>
            </w:r>
          </w:p>
        </w:tc>
      </w:tr>
      <w:tr>
        <w:trPr>
          <w:trHeight w:val="250"/>
        </w:trPr>
        <w:tc>
          <w:tcPr>
            <w:tcW w:w="7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w w:val="95"/>
              </w:rPr>
              <w:t>2009</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2008</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95"/>
              </w:rPr>
              <w:t>2007</w:t>
            </w:r>
          </w:p>
        </w:tc>
      </w:tr>
      <w:tr>
        <w:trPr>
          <w:trHeight w:val="264"/>
        </w:trPr>
        <w:tc>
          <w:tcPr>
            <w:tcW w:w="7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Gain on sale of non-strategic businesses and assets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(87 )</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(635 )</w:t>
            </w:r>
          </w:p>
        </w:tc>
        <w:tc>
          <w:tcPr>
            <w:tcW w:w="5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(19 )</w:t>
            </w:r>
          </w:p>
        </w:tc>
      </w:tr>
      <w:tr>
        <w:trPr>
          <w:trHeight w:val="270"/>
        </w:trPr>
        <w:tc>
          <w:tcPr>
            <w:tcW w:w="7600" w:type="dxa"/>
            <w:vAlign w:val="bottom"/>
          </w:tcPr>
          <w:p>
            <w:pPr>
              <w:ind w:left="20"/>
              <w:spacing w:after="0"/>
              <w:rPr>
                <w:sz w:val="20"/>
                <w:szCs w:val="20"/>
                <w:color w:val="auto"/>
              </w:rPr>
            </w:pPr>
            <w:r>
              <w:rPr>
                <w:rFonts w:ascii="Arial" w:cs="Arial" w:eastAsia="Arial" w:hAnsi="Arial"/>
                <w:sz w:val="19"/>
                <w:szCs w:val="19"/>
                <w:color w:val="auto"/>
              </w:rPr>
              <w:t>Equity (income)/loss of affiliated companies</w:t>
            </w: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(26 )</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(63 )</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(10 )</w:t>
            </w:r>
          </w:p>
        </w:tc>
      </w:tr>
      <w:tr>
        <w:trPr>
          <w:trHeight w:val="270"/>
        </w:trPr>
        <w:tc>
          <w:tcPr>
            <w:tcW w:w="7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Interest income</w:t>
            </w:r>
          </w:p>
        </w:tc>
        <w:tc>
          <w:tcPr>
            <w:tcW w:w="160" w:type="dxa"/>
            <w:vAlign w:val="bottom"/>
            <w:shd w:val="clear" w:color="auto" w:fill="E5FFFF"/>
          </w:tcPr>
          <w:p>
            <w:pPr>
              <w:spacing w:after="0"/>
              <w:rPr>
                <w:sz w:val="23"/>
                <w:szCs w:val="23"/>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(33 )</w:t>
            </w:r>
          </w:p>
        </w:tc>
        <w:tc>
          <w:tcPr>
            <w:tcW w:w="3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(102 )</w:t>
            </w:r>
          </w:p>
        </w:tc>
        <w:tc>
          <w:tcPr>
            <w:tcW w:w="3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(81 )</w:t>
            </w:r>
          </w:p>
        </w:tc>
      </w:tr>
      <w:tr>
        <w:trPr>
          <w:trHeight w:val="270"/>
        </w:trPr>
        <w:tc>
          <w:tcPr>
            <w:tcW w:w="760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1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9"/>
                <w:szCs w:val="19"/>
                <w:color w:val="auto"/>
              </w:rPr>
              <w:t>45</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9"/>
                <w:szCs w:val="19"/>
                <w:color w:val="auto"/>
              </w:rPr>
              <w:t>52</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9"/>
                <w:szCs w:val="19"/>
                <w:color w:val="auto"/>
              </w:rPr>
              <w:t>34</w:t>
            </w:r>
          </w:p>
        </w:tc>
      </w:tr>
      <w:tr>
        <w:trPr>
          <w:trHeight w:val="270"/>
        </w:trPr>
        <w:tc>
          <w:tcPr>
            <w:tcW w:w="7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(net)</w:t>
            </w:r>
          </w:p>
        </w:tc>
        <w:tc>
          <w:tcPr>
            <w:tcW w:w="160" w:type="dxa"/>
            <w:vAlign w:val="bottom"/>
            <w:tcBorders>
              <w:bottom w:val="single" w:sz="8" w:color="auto"/>
            </w:tcBorders>
            <w:shd w:val="clear" w:color="auto" w:fill="E5FFFF"/>
          </w:tcPr>
          <w:p>
            <w:pPr>
              <w:spacing w:after="0"/>
              <w:rPr>
                <w:sz w:val="23"/>
                <w:szCs w:val="23"/>
                <w:color w:val="auto"/>
              </w:rPr>
            </w:pPr>
          </w:p>
        </w:tc>
        <w:tc>
          <w:tcPr>
            <w:tcW w:w="52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46</w:t>
            </w:r>
          </w:p>
        </w:tc>
        <w:tc>
          <w:tcPr>
            <w:tcW w:w="32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0</w:t>
            </w:r>
          </w:p>
        </w:tc>
        <w:tc>
          <w:tcPr>
            <w:tcW w:w="32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7</w:t>
            </w:r>
          </w:p>
        </w:tc>
      </w:tr>
      <w:tr>
        <w:trPr>
          <w:trHeight w:val="304"/>
        </w:trPr>
        <w:tc>
          <w:tcPr>
            <w:tcW w:w="76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(55 )</w:t>
            </w:r>
          </w:p>
        </w:tc>
        <w:tc>
          <w:tcPr>
            <w:tcW w:w="52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(748 )</w:t>
            </w:r>
          </w:p>
        </w:tc>
        <w:tc>
          <w:tcPr>
            <w:tcW w:w="5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(69 )</w:t>
            </w:r>
          </w:p>
        </w:tc>
      </w:tr>
      <w:tr>
        <w:trPr>
          <w:trHeight w:val="20"/>
        </w:trPr>
        <w:tc>
          <w:tcPr>
            <w:tcW w:w="7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Gain on sale of non-strategic businesses and assets for 2009 includes a $50 million pre-tax gain, $42 million net of tax, related to the deconsolidation of a subsidiary within our Automation and Control Solutions segment. The subsidiary achieved contractual milestones at December 31, 2009 and as a result, we are no longer the primary beneficiary, resulting in deconsolidation. We continue to hold a non-controlling interest which was recorded at its estimated fair value of $67 million upon deconsolidation. The fair value was estimated using a combination of a market and income approaches utilizing observable market data for comparable businesses and discounted cash flow modeling. Our non-controlling interest, classified within Investments and long-term receivables on our Balance Sheet will be accounted for under the equity method on a prospective basis.</w:t>
      </w:r>
    </w:p>
    <w:p>
      <w:pPr>
        <w:spacing w:after="0" w:line="91" w:lineRule="exact"/>
        <w:rPr>
          <w:sz w:val="20"/>
          <w:szCs w:val="20"/>
          <w:color w:val="auto"/>
        </w:rPr>
      </w:pPr>
    </w:p>
    <w:p>
      <w:pPr>
        <w:ind w:right="500" w:firstLine="357"/>
        <w:spacing w:after="0" w:line="253" w:lineRule="auto"/>
        <w:rPr>
          <w:sz w:val="20"/>
          <w:szCs w:val="20"/>
          <w:color w:val="auto"/>
        </w:rPr>
      </w:pPr>
      <w:r>
        <w:rPr>
          <w:rFonts w:ascii="Arial" w:cs="Arial" w:eastAsia="Arial" w:hAnsi="Arial"/>
          <w:sz w:val="19"/>
          <w:szCs w:val="19"/>
          <w:color w:val="auto"/>
        </w:rPr>
        <w:t>Other (net) for 2009 includes an other-than-temporary impairment charge of $62 million recognized in the second quarter of 2009. See Note 16, Financial Instruments and Fair Value Measures for further details.</w:t>
      </w:r>
    </w:p>
    <w:p>
      <w:pPr>
        <w:spacing w:after="0" w:line="80" w:lineRule="exact"/>
        <w:rPr>
          <w:sz w:val="20"/>
          <w:szCs w:val="20"/>
          <w:color w:val="auto"/>
        </w:rPr>
      </w:pPr>
    </w:p>
    <w:p>
      <w:pPr>
        <w:ind w:right="560" w:firstLine="357"/>
        <w:spacing w:after="0" w:line="253" w:lineRule="auto"/>
        <w:rPr>
          <w:sz w:val="20"/>
          <w:szCs w:val="20"/>
          <w:color w:val="auto"/>
        </w:rPr>
      </w:pPr>
      <w:r>
        <w:rPr>
          <w:rFonts w:ascii="Arial" w:cs="Arial" w:eastAsia="Arial" w:hAnsi="Arial"/>
          <w:sz w:val="19"/>
          <w:szCs w:val="19"/>
          <w:color w:val="auto"/>
        </w:rPr>
        <w:t>Gain on sale of non-strategic businesses and assets for 2008 includes a $623 million pre-tax gain related to the sale of our Consumables Solutions business. See Note 2 for further details.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5—Interest and Other Financial Charges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jc w:val="right"/>
              <w:ind w:right="348"/>
              <w:spacing w:after="0"/>
              <w:rPr>
                <w:sz w:val="20"/>
                <w:szCs w:val="20"/>
                <w:color w:val="auto"/>
              </w:rPr>
            </w:pPr>
            <w:r>
              <w:rPr>
                <w:rFonts w:ascii="Arial" w:cs="Arial" w:eastAsia="Arial" w:hAnsi="Arial"/>
                <w:sz w:val="16"/>
                <w:szCs w:val="16"/>
                <w:b w:val="1"/>
                <w:bCs w:val="1"/>
                <w:color w:val="auto"/>
              </w:rPr>
              <w:t>Years Ended December 31,</w:t>
            </w:r>
          </w:p>
        </w:tc>
      </w:tr>
      <w:tr>
        <w:trPr>
          <w:trHeight w:val="250"/>
        </w:trPr>
        <w:tc>
          <w:tcPr>
            <w:tcW w:w="75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w w:val="95"/>
              </w:rPr>
              <w:t>2009</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w w:val="95"/>
              </w:rPr>
              <w:t>2008</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2007</w:t>
            </w:r>
          </w:p>
        </w:tc>
      </w:tr>
      <w:tr>
        <w:trPr>
          <w:trHeight w:val="264"/>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interest and other financial charges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474</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482</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478</w:t>
            </w:r>
          </w:p>
        </w:tc>
      </w:tr>
      <w:tr>
        <w:trPr>
          <w:trHeight w:val="270"/>
        </w:trPr>
        <w:tc>
          <w:tcPr>
            <w:tcW w:w="7580" w:type="dxa"/>
            <w:vAlign w:val="bottom"/>
          </w:tcPr>
          <w:p>
            <w:pPr>
              <w:ind w:left="20"/>
              <w:spacing w:after="0"/>
              <w:rPr>
                <w:sz w:val="20"/>
                <w:szCs w:val="20"/>
                <w:color w:val="auto"/>
              </w:rPr>
            </w:pPr>
            <w:r>
              <w:rPr>
                <w:rFonts w:ascii="Arial" w:cs="Arial" w:eastAsia="Arial" w:hAnsi="Arial"/>
                <w:sz w:val="19"/>
                <w:szCs w:val="19"/>
                <w:color w:val="auto"/>
              </w:rPr>
              <w:t>Less—capitalized interest</w:t>
            </w: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(26 )</w:t>
            </w:r>
          </w:p>
        </w:tc>
        <w:tc>
          <w:tcPr>
            <w:tcW w:w="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(22 )</w:t>
            </w:r>
          </w:p>
        </w:tc>
      </w:tr>
      <w:tr>
        <w:trPr>
          <w:trHeight w:val="34"/>
        </w:trPr>
        <w:tc>
          <w:tcPr>
            <w:tcW w:w="7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580" w:type="dxa"/>
            <w:vAlign w:val="bottom"/>
            <w:shd w:val="clear" w:color="auto" w:fill="E5FFFF"/>
          </w:tcPr>
          <w:p>
            <w:pPr>
              <w:spacing w:after="0"/>
              <w:rPr>
                <w:sz w:val="23"/>
                <w:szCs w:val="23"/>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459</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456</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456</w:t>
            </w:r>
          </w:p>
        </w:tc>
      </w:tr>
      <w:tr>
        <w:trPr>
          <w:trHeight w:val="20"/>
        </w:trPr>
        <w:tc>
          <w:tcPr>
            <w:tcW w:w="7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right="460" w:firstLine="357"/>
        <w:spacing w:after="0" w:line="253" w:lineRule="auto"/>
        <w:rPr>
          <w:sz w:val="20"/>
          <w:szCs w:val="20"/>
          <w:color w:val="auto"/>
        </w:rPr>
      </w:pPr>
      <w:r>
        <w:rPr>
          <w:rFonts w:ascii="Arial" w:cs="Arial" w:eastAsia="Arial" w:hAnsi="Arial"/>
          <w:sz w:val="19"/>
          <w:szCs w:val="19"/>
          <w:color w:val="auto"/>
        </w:rPr>
        <w:t>The weighted average interest rate on short-term borrowings and commercial paper outstanding at December 31, 2009 and 2008 was 1.47 percent and 1.63 percent,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from continuing operations before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Years Ended December 31,</w:t>
            </w:r>
          </w:p>
        </w:tc>
        <w:tc>
          <w:tcPr>
            <w:tcW w:w="6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2008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w w:val="95"/>
              </w:rPr>
              <w:t>2007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3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United States</w:t>
            </w:r>
          </w:p>
        </w:tc>
        <w:tc>
          <w:tcPr>
            <w:tcW w:w="41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1,744</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2,003</w:t>
            </w:r>
          </w:p>
        </w:tc>
        <w:tc>
          <w:tcPr>
            <w:tcW w:w="6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2,084</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160" w:type="dxa"/>
            <w:vAlign w:val="bottom"/>
          </w:tcPr>
          <w:p>
            <w:pPr>
              <w:ind w:left="20"/>
              <w:spacing w:after="0"/>
              <w:rPr>
                <w:sz w:val="20"/>
                <w:szCs w:val="20"/>
                <w:color w:val="auto"/>
              </w:rPr>
            </w:pPr>
            <w:r>
              <w:rPr>
                <w:rFonts w:ascii="Arial" w:cs="Arial" w:eastAsia="Arial" w:hAnsi="Arial"/>
                <w:sz w:val="19"/>
                <w:szCs w:val="19"/>
                <w:color w:val="auto"/>
              </w:rPr>
              <w:t>Foreign</w:t>
            </w:r>
          </w:p>
        </w:tc>
        <w:tc>
          <w:tcPr>
            <w:tcW w:w="39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9"/>
                <w:szCs w:val="19"/>
                <w:color w:val="auto"/>
              </w:rPr>
              <w:t>1,234</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1,818</w:t>
            </w:r>
          </w:p>
        </w:tc>
        <w:tc>
          <w:tcPr>
            <w:tcW w:w="3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1,253</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3160" w:type="dxa"/>
            <w:vAlign w:val="bottom"/>
            <w:shd w:val="clear" w:color="auto" w:fill="E5FFFF"/>
          </w:tcPr>
          <w:p>
            <w:pPr>
              <w:spacing w:after="0"/>
              <w:rPr>
                <w:sz w:val="23"/>
                <w:szCs w:val="23"/>
                <w:color w:val="auto"/>
              </w:rPr>
            </w:pPr>
          </w:p>
        </w:tc>
        <w:tc>
          <w:tcPr>
            <w:tcW w:w="41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2,978</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3,821</w:t>
            </w:r>
          </w:p>
        </w:tc>
        <w:tc>
          <w:tcPr>
            <w:tcW w:w="6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3,337</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960" w:type="dxa"/>
            <w:vAlign w:val="bottom"/>
            <w:vMerge w:val="restart"/>
          </w:tcPr>
          <w:p>
            <w:pPr>
              <w:jc w:val="right"/>
              <w:ind w:right="1663"/>
              <w:spacing w:after="0"/>
              <w:rPr>
                <w:sz w:val="20"/>
                <w:szCs w:val="20"/>
                <w:color w:val="auto"/>
              </w:rPr>
            </w:pPr>
            <w:r>
              <w:rPr>
                <w:rFonts w:ascii="Arial" w:cs="Arial" w:eastAsia="Arial" w:hAnsi="Arial"/>
                <w:sz w:val="19"/>
                <w:szCs w:val="19"/>
                <w:color w:val="auto"/>
              </w:rPr>
              <w:t>66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0" w:name="page71"/>
    <w:bookmarkEnd w:id="70"/>
    <w:p>
      <w:pPr>
        <w:jc w:val="center"/>
        <w:ind w:right="-7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15"/>
          </w:tcPr>
          <w:p>
            <w:pPr>
              <w:jc w:val="right"/>
              <w:ind w:right="365"/>
              <w:spacing w:after="0"/>
              <w:rPr>
                <w:sz w:val="20"/>
                <w:szCs w:val="20"/>
                <w:color w:val="auto"/>
              </w:rPr>
            </w:pPr>
            <w:r>
              <w:rPr>
                <w:rFonts w:ascii="Arial" w:cs="Arial" w:eastAsia="Arial" w:hAnsi="Arial"/>
                <w:sz w:val="16"/>
                <w:szCs w:val="16"/>
                <w:b w:val="1"/>
                <w:bCs w:val="1"/>
                <w:color w:val="auto"/>
              </w:rPr>
              <w:t>Years Ended December 31,</w:t>
            </w:r>
          </w:p>
        </w:tc>
      </w:tr>
      <w:tr>
        <w:trPr>
          <w:trHeight w:val="250"/>
        </w:trPr>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2009</w:t>
            </w:r>
          </w:p>
        </w:tc>
        <w:tc>
          <w:tcPr>
            <w:tcW w:w="1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2008</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2007</w:t>
            </w:r>
          </w:p>
        </w:tc>
      </w:tr>
      <w:tr>
        <w:trPr>
          <w:trHeight w:val="264"/>
        </w:trPr>
        <w:tc>
          <w:tcPr>
            <w:tcW w:w="460" w:type="dxa"/>
            <w:vAlign w:val="bottom"/>
          </w:tcPr>
          <w:p>
            <w:pPr>
              <w:spacing w:after="0"/>
              <w:rPr>
                <w:sz w:val="22"/>
                <w:szCs w:val="22"/>
                <w:color w:val="auto"/>
              </w:rPr>
            </w:pPr>
          </w:p>
        </w:tc>
        <w:tc>
          <w:tcPr>
            <w:tcW w:w="7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United States</w:t>
            </w:r>
          </w:p>
        </w:tc>
        <w:tc>
          <w:tcPr>
            <w:tcW w:w="18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528</w:t>
            </w:r>
          </w:p>
        </w:tc>
        <w:tc>
          <w:tcPr>
            <w:tcW w:w="480" w:type="dxa"/>
            <w:vAlign w:val="bottom"/>
            <w:gridSpan w:val="5"/>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696</w:t>
            </w:r>
          </w:p>
        </w:tc>
        <w:tc>
          <w:tcPr>
            <w:tcW w:w="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5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542</w:t>
            </w:r>
          </w:p>
        </w:tc>
      </w:tr>
      <w:tr>
        <w:trPr>
          <w:trHeight w:val="270"/>
        </w:trPr>
        <w:tc>
          <w:tcPr>
            <w:tcW w:w="46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Arial" w:cs="Arial" w:eastAsia="Arial" w:hAnsi="Arial"/>
                <w:sz w:val="19"/>
                <w:szCs w:val="19"/>
                <w:color w:val="auto"/>
              </w:rPr>
              <w:t>Foreign</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9"/>
                <w:szCs w:val="19"/>
                <w:color w:val="auto"/>
              </w:rPr>
              <w:t>261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313</w:t>
            </w: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335</w:t>
            </w:r>
          </w:p>
        </w:tc>
      </w:tr>
      <w:tr>
        <w:trPr>
          <w:trHeight w:val="34"/>
        </w:trPr>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60" w:type="dxa"/>
            <w:vAlign w:val="bottom"/>
          </w:tcPr>
          <w:p>
            <w:pPr>
              <w:spacing w:after="0"/>
              <w:rPr>
                <w:sz w:val="23"/>
                <w:szCs w:val="23"/>
                <w:color w:val="auto"/>
              </w:rPr>
            </w:pPr>
          </w:p>
        </w:tc>
        <w:tc>
          <w:tcPr>
            <w:tcW w:w="440" w:type="dxa"/>
            <w:vAlign w:val="bottom"/>
            <w:shd w:val="clear" w:color="auto" w:fill="E5FFFF"/>
          </w:tcPr>
          <w:p>
            <w:pPr>
              <w:spacing w:after="0"/>
              <w:rPr>
                <w:sz w:val="23"/>
                <w:szCs w:val="23"/>
                <w:color w:val="auto"/>
              </w:rPr>
            </w:pPr>
          </w:p>
        </w:tc>
        <w:tc>
          <w:tcPr>
            <w:tcW w:w="6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789</w:t>
            </w:r>
          </w:p>
        </w:tc>
        <w:tc>
          <w:tcPr>
            <w:tcW w:w="300" w:type="dxa"/>
            <w:vAlign w:val="bottom"/>
            <w:gridSpan w:val="3"/>
            <w:shd w:val="clear" w:color="auto" w:fill="E5FFFF"/>
          </w:tcPr>
          <w:p>
            <w:pPr>
              <w:spacing w:after="0"/>
              <w:rPr>
                <w:sz w:val="23"/>
                <w:szCs w:val="23"/>
                <w:color w:val="auto"/>
              </w:rPr>
            </w:pPr>
          </w:p>
        </w:tc>
        <w:tc>
          <w:tcPr>
            <w:tcW w:w="18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1,009</w:t>
            </w:r>
          </w:p>
        </w:tc>
        <w:tc>
          <w:tcPr>
            <w:tcW w:w="4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320" w:type="dxa"/>
            <w:vAlign w:val="bottom"/>
            <w:gridSpan w:val="3"/>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877</w:t>
            </w: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4"/>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560" w:type="dxa"/>
            <w:vAlign w:val="bottom"/>
            <w:tcBorders>
              <w:bottom w:val="single" w:sz="8" w:color="auto"/>
            </w:tcBorders>
          </w:tcPr>
          <w:p>
            <w:pPr>
              <w:spacing w:after="0"/>
              <w:rPr>
                <w:sz w:val="24"/>
                <w:szCs w:val="24"/>
                <w:color w:val="auto"/>
              </w:rPr>
            </w:pPr>
          </w:p>
        </w:tc>
      </w:tr>
      <w:tr>
        <w:trPr>
          <w:trHeight w:val="250"/>
        </w:trPr>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2008</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95"/>
              </w:rPr>
              <w:t>2007</w:t>
            </w:r>
          </w:p>
        </w:tc>
      </w:tr>
      <w:tr>
        <w:trPr>
          <w:trHeight w:val="237"/>
        </w:trPr>
        <w:tc>
          <w:tcPr>
            <w:tcW w:w="460" w:type="dxa"/>
            <w:vAlign w:val="bottom"/>
          </w:tcPr>
          <w:p>
            <w:pPr>
              <w:spacing w:after="0"/>
              <w:rPr>
                <w:sz w:val="20"/>
                <w:szCs w:val="20"/>
                <w:color w:val="auto"/>
              </w:rPr>
            </w:pPr>
          </w:p>
        </w:tc>
        <w:tc>
          <w:tcPr>
            <w:tcW w:w="7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Tax expense consist of:</w:t>
            </w:r>
          </w:p>
        </w:tc>
        <w:tc>
          <w:tcPr>
            <w:tcW w:w="18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7300" w:type="dxa"/>
            <w:vAlign w:val="bottom"/>
            <w:gridSpan w:val="2"/>
          </w:tcPr>
          <w:p>
            <w:pPr>
              <w:ind w:left="20"/>
              <w:spacing w:after="0"/>
              <w:rPr>
                <w:sz w:val="20"/>
                <w:szCs w:val="20"/>
                <w:color w:val="auto"/>
              </w:rPr>
            </w:pPr>
            <w:r>
              <w:rPr>
                <w:rFonts w:ascii="Arial" w:cs="Arial" w:eastAsia="Arial" w:hAnsi="Arial"/>
                <w:sz w:val="19"/>
                <w:szCs w:val="19"/>
                <w:color w:val="auto"/>
              </w:rPr>
              <w:t>Current:</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459"/>
        </w:trPr>
        <w:tc>
          <w:tcPr>
            <w:tcW w:w="460" w:type="dxa"/>
            <w:vAlign w:val="bottom"/>
          </w:tcPr>
          <w:p>
            <w:pPr>
              <w:spacing w:after="0"/>
              <w:rPr>
                <w:sz w:val="24"/>
                <w:szCs w:val="24"/>
                <w:color w:val="auto"/>
              </w:rPr>
            </w:pPr>
          </w:p>
        </w:tc>
        <w:tc>
          <w:tcPr>
            <w:tcW w:w="7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United States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2"/>
              </w:rPr>
              <w:t>(27 )</w:t>
            </w:r>
          </w:p>
        </w:tc>
        <w:tc>
          <w:tcPr>
            <w:tcW w:w="120" w:type="dxa"/>
            <w:vAlign w:val="bottom"/>
            <w:shd w:val="clear" w:color="auto" w:fill="E5FFFF"/>
          </w:tcPr>
          <w:p>
            <w:pPr>
              <w:spacing w:after="0"/>
              <w:rPr>
                <w:sz w:val="24"/>
                <w:szCs w:val="24"/>
                <w:color w:val="auto"/>
              </w:rPr>
            </w:pPr>
          </w:p>
        </w:tc>
        <w:tc>
          <w:tcPr>
            <w:tcW w:w="480" w:type="dxa"/>
            <w:vAlign w:val="bottom"/>
            <w:gridSpan w:val="5"/>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493</w:t>
            </w:r>
          </w:p>
        </w:tc>
        <w:tc>
          <w:tcPr>
            <w:tcW w:w="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5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249</w:t>
            </w:r>
          </w:p>
        </w:tc>
      </w:tr>
      <w:tr>
        <w:trPr>
          <w:trHeight w:val="270"/>
        </w:trPr>
        <w:tc>
          <w:tcPr>
            <w:tcW w:w="460" w:type="dxa"/>
            <w:vAlign w:val="bottom"/>
          </w:tcPr>
          <w:p>
            <w:pPr>
              <w:spacing w:after="0"/>
              <w:rPr>
                <w:sz w:val="23"/>
                <w:szCs w:val="23"/>
                <w:color w:val="auto"/>
              </w:rPr>
            </w:pPr>
          </w:p>
        </w:tc>
        <w:tc>
          <w:tcPr>
            <w:tcW w:w="7300" w:type="dxa"/>
            <w:vAlign w:val="bottom"/>
            <w:gridSpan w:val="2"/>
          </w:tcPr>
          <w:p>
            <w:pPr>
              <w:ind w:left="360"/>
              <w:spacing w:after="0"/>
              <w:rPr>
                <w:sz w:val="20"/>
                <w:szCs w:val="20"/>
                <w:color w:val="auto"/>
              </w:rPr>
            </w:pPr>
            <w:r>
              <w:rPr>
                <w:rFonts w:ascii="Arial" w:cs="Arial" w:eastAsia="Arial" w:hAnsi="Arial"/>
                <w:sz w:val="19"/>
                <w:szCs w:val="19"/>
                <w:color w:val="auto"/>
              </w:rPr>
              <w:t>State</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ind w:right="49"/>
              <w:spacing w:after="0"/>
              <w:rPr>
                <w:sz w:val="20"/>
                <w:szCs w:val="20"/>
                <w:color w:val="auto"/>
              </w:rPr>
            </w:pPr>
            <w:r>
              <w:rPr>
                <w:rFonts w:ascii="Arial" w:cs="Arial" w:eastAsia="Arial" w:hAnsi="Arial"/>
                <w:sz w:val="19"/>
                <w:szCs w:val="19"/>
                <w:color w:val="auto"/>
              </w:rPr>
              <w:t>21</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5"/>
              <w:spacing w:after="0"/>
              <w:rPr>
                <w:sz w:val="20"/>
                <w:szCs w:val="20"/>
                <w:color w:val="auto"/>
              </w:rPr>
            </w:pPr>
            <w:r>
              <w:rPr>
                <w:rFonts w:ascii="Arial" w:cs="Arial" w:eastAsia="Arial" w:hAnsi="Arial"/>
                <w:sz w:val="19"/>
                <w:szCs w:val="19"/>
                <w:color w:val="auto"/>
              </w:rPr>
              <w:t>70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25"/>
              <w:spacing w:after="0"/>
              <w:rPr>
                <w:sz w:val="20"/>
                <w:szCs w:val="20"/>
                <w:color w:val="auto"/>
              </w:rPr>
            </w:pPr>
            <w:r>
              <w:rPr>
                <w:rFonts w:ascii="Arial" w:cs="Arial" w:eastAsia="Arial" w:hAnsi="Arial"/>
                <w:sz w:val="19"/>
                <w:szCs w:val="19"/>
                <w:color w:val="auto"/>
              </w:rPr>
              <w:t>64</w:t>
            </w:r>
          </w:p>
        </w:tc>
      </w:tr>
      <w:tr>
        <w:trPr>
          <w:trHeight w:val="270"/>
        </w:trPr>
        <w:tc>
          <w:tcPr>
            <w:tcW w:w="460" w:type="dxa"/>
            <w:vAlign w:val="bottom"/>
          </w:tcPr>
          <w:p>
            <w:pPr>
              <w:spacing w:after="0"/>
              <w:rPr>
                <w:sz w:val="23"/>
                <w:szCs w:val="23"/>
                <w:color w:val="auto"/>
              </w:rPr>
            </w:pPr>
          </w:p>
        </w:tc>
        <w:tc>
          <w:tcPr>
            <w:tcW w:w="7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Foreign</w:t>
            </w:r>
          </w:p>
        </w:tc>
        <w:tc>
          <w:tcPr>
            <w:tcW w:w="18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424</w:t>
            </w:r>
          </w:p>
        </w:tc>
        <w:tc>
          <w:tcPr>
            <w:tcW w:w="1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25"/>
              <w:spacing w:after="0"/>
              <w:rPr>
                <w:sz w:val="20"/>
                <w:szCs w:val="20"/>
                <w:color w:val="auto"/>
              </w:rPr>
            </w:pPr>
            <w:r>
              <w:rPr>
                <w:rFonts w:ascii="Arial" w:cs="Arial" w:eastAsia="Arial" w:hAnsi="Arial"/>
                <w:sz w:val="19"/>
                <w:szCs w:val="19"/>
                <w:color w:val="auto"/>
              </w:rPr>
              <w:t>331</w:t>
            </w:r>
          </w:p>
        </w:tc>
        <w:tc>
          <w:tcPr>
            <w:tcW w:w="40" w:type="dxa"/>
            <w:vAlign w:val="bottom"/>
            <w:tcBorders>
              <w:bottom w:val="single" w:sz="8" w:color="auto"/>
            </w:tcBorders>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25"/>
              <w:spacing w:after="0"/>
              <w:rPr>
                <w:sz w:val="20"/>
                <w:szCs w:val="20"/>
                <w:color w:val="auto"/>
              </w:rPr>
            </w:pPr>
            <w:r>
              <w:rPr>
                <w:rFonts w:ascii="Arial" w:cs="Arial" w:eastAsia="Arial" w:hAnsi="Arial"/>
                <w:sz w:val="19"/>
                <w:szCs w:val="19"/>
                <w:color w:val="auto"/>
              </w:rPr>
              <w:t>232</w:t>
            </w:r>
          </w:p>
        </w:tc>
      </w:tr>
      <w:tr>
        <w:trPr>
          <w:trHeight w:val="304"/>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9"/>
                <w:szCs w:val="19"/>
                <w:color w:val="auto"/>
              </w:rPr>
              <w:t>418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894</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545</w:t>
            </w:r>
          </w:p>
        </w:tc>
      </w:tr>
      <w:tr>
        <w:trPr>
          <w:trHeight w:val="34"/>
        </w:trPr>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60" w:type="dxa"/>
            <w:vAlign w:val="bottom"/>
          </w:tcPr>
          <w:p>
            <w:pPr>
              <w:spacing w:after="0"/>
              <w:rPr>
                <w:sz w:val="21"/>
                <w:szCs w:val="21"/>
                <w:color w:val="auto"/>
              </w:rPr>
            </w:pPr>
          </w:p>
        </w:tc>
        <w:tc>
          <w:tcPr>
            <w:tcW w:w="7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Deferred:</w:t>
            </w:r>
          </w:p>
        </w:tc>
        <w:tc>
          <w:tcPr>
            <w:tcW w:w="1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r>
      <w:tr>
        <w:trPr>
          <w:trHeight w:val="270"/>
        </w:trPr>
        <w:tc>
          <w:tcPr>
            <w:tcW w:w="460" w:type="dxa"/>
            <w:vAlign w:val="bottom"/>
          </w:tcPr>
          <w:p>
            <w:pPr>
              <w:spacing w:after="0"/>
              <w:rPr>
                <w:sz w:val="23"/>
                <w:szCs w:val="23"/>
                <w:color w:val="auto"/>
              </w:rPr>
            </w:pPr>
          </w:p>
        </w:tc>
        <w:tc>
          <w:tcPr>
            <w:tcW w:w="7300" w:type="dxa"/>
            <w:vAlign w:val="bottom"/>
            <w:gridSpan w:val="2"/>
          </w:tcPr>
          <w:p>
            <w:pPr>
              <w:ind w:left="360"/>
              <w:spacing w:after="0"/>
              <w:rPr>
                <w:sz w:val="20"/>
                <w:szCs w:val="20"/>
                <w:color w:val="auto"/>
              </w:rPr>
            </w:pPr>
            <w:r>
              <w:rPr>
                <w:rFonts w:ascii="Arial" w:cs="Arial" w:eastAsia="Arial" w:hAnsi="Arial"/>
                <w:sz w:val="19"/>
                <w:szCs w:val="19"/>
                <w:color w:val="auto"/>
              </w:rPr>
              <w:t>United States</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jc w:val="right"/>
              <w:ind w:right="49"/>
              <w:spacing w:after="0"/>
              <w:rPr>
                <w:sz w:val="20"/>
                <w:szCs w:val="20"/>
                <w:color w:val="auto"/>
              </w:rPr>
            </w:pPr>
            <w:r>
              <w:rPr>
                <w:rFonts w:ascii="Arial" w:cs="Arial" w:eastAsia="Arial" w:hAnsi="Arial"/>
                <w:sz w:val="19"/>
                <w:szCs w:val="19"/>
                <w:color w:val="auto"/>
              </w:rPr>
              <w:t>484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5"/>
              <w:spacing w:after="0"/>
              <w:rPr>
                <w:sz w:val="20"/>
                <w:szCs w:val="20"/>
                <w:color w:val="auto"/>
              </w:rPr>
            </w:pPr>
            <w:r>
              <w:rPr>
                <w:rFonts w:ascii="Arial" w:cs="Arial" w:eastAsia="Arial" w:hAnsi="Arial"/>
                <w:sz w:val="19"/>
                <w:szCs w:val="19"/>
                <w:color w:val="auto"/>
              </w:rPr>
              <w:t>106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25"/>
              <w:spacing w:after="0"/>
              <w:rPr>
                <w:sz w:val="20"/>
                <w:szCs w:val="20"/>
                <w:color w:val="auto"/>
              </w:rPr>
            </w:pPr>
            <w:r>
              <w:rPr>
                <w:rFonts w:ascii="Arial" w:cs="Arial" w:eastAsia="Arial" w:hAnsi="Arial"/>
                <w:sz w:val="19"/>
                <w:szCs w:val="19"/>
                <w:color w:val="auto"/>
              </w:rPr>
              <w:t>225</w:t>
            </w:r>
          </w:p>
        </w:tc>
      </w:tr>
      <w:tr>
        <w:trPr>
          <w:trHeight w:val="270"/>
        </w:trPr>
        <w:tc>
          <w:tcPr>
            <w:tcW w:w="460" w:type="dxa"/>
            <w:vAlign w:val="bottom"/>
          </w:tcPr>
          <w:p>
            <w:pPr>
              <w:spacing w:after="0"/>
              <w:rPr>
                <w:sz w:val="23"/>
                <w:szCs w:val="23"/>
                <w:color w:val="auto"/>
              </w:rPr>
            </w:pPr>
          </w:p>
        </w:tc>
        <w:tc>
          <w:tcPr>
            <w:tcW w:w="7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State</w:t>
            </w:r>
          </w:p>
        </w:tc>
        <w:tc>
          <w:tcPr>
            <w:tcW w:w="1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42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50</w:t>
            </w:r>
          </w:p>
        </w:tc>
        <w:tc>
          <w:tcPr>
            <w:tcW w:w="1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26</w:t>
            </w: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4</w:t>
            </w:r>
          </w:p>
        </w:tc>
      </w:tr>
      <w:tr>
        <w:trPr>
          <w:trHeight w:val="270"/>
        </w:trPr>
        <w:tc>
          <w:tcPr>
            <w:tcW w:w="460" w:type="dxa"/>
            <w:vAlign w:val="bottom"/>
          </w:tcPr>
          <w:p>
            <w:pPr>
              <w:spacing w:after="0"/>
              <w:rPr>
                <w:sz w:val="23"/>
                <w:szCs w:val="23"/>
                <w:color w:val="auto"/>
              </w:rPr>
            </w:pPr>
          </w:p>
        </w:tc>
        <w:tc>
          <w:tcPr>
            <w:tcW w:w="7300" w:type="dxa"/>
            <w:vAlign w:val="bottom"/>
            <w:gridSpan w:val="2"/>
          </w:tcPr>
          <w:p>
            <w:pPr>
              <w:ind w:left="360"/>
              <w:spacing w:after="0"/>
              <w:rPr>
                <w:sz w:val="20"/>
                <w:szCs w:val="20"/>
                <w:color w:val="auto"/>
              </w:rPr>
            </w:pPr>
            <w:r>
              <w:rPr>
                <w:rFonts w:ascii="Arial" w:cs="Arial" w:eastAsia="Arial" w:hAnsi="Arial"/>
                <w:sz w:val="19"/>
                <w:szCs w:val="19"/>
                <w:color w:val="auto"/>
              </w:rPr>
              <w:t>Foreign</w:t>
            </w: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(163 )</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(17 )</w:t>
            </w:r>
          </w:p>
        </w:tc>
        <w:tc>
          <w:tcPr>
            <w:tcW w:w="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103</w:t>
            </w:r>
          </w:p>
        </w:tc>
      </w:tr>
      <w:tr>
        <w:trPr>
          <w:trHeight w:val="34"/>
        </w:trPr>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60" w:type="dxa"/>
            <w:vAlign w:val="bottom"/>
          </w:tcPr>
          <w:p>
            <w:pPr>
              <w:spacing w:after="0"/>
              <w:rPr>
                <w:sz w:val="23"/>
                <w:szCs w:val="23"/>
                <w:color w:val="auto"/>
              </w:rPr>
            </w:pPr>
          </w:p>
        </w:tc>
        <w:tc>
          <w:tcPr>
            <w:tcW w:w="440" w:type="dxa"/>
            <w:vAlign w:val="bottom"/>
            <w:shd w:val="clear" w:color="auto" w:fill="E5FFFF"/>
          </w:tcPr>
          <w:p>
            <w:pPr>
              <w:spacing w:after="0"/>
              <w:rPr>
                <w:sz w:val="23"/>
                <w:szCs w:val="23"/>
                <w:color w:val="auto"/>
              </w:rPr>
            </w:pPr>
          </w:p>
        </w:tc>
        <w:tc>
          <w:tcPr>
            <w:tcW w:w="686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371</w:t>
            </w:r>
          </w:p>
        </w:tc>
        <w:tc>
          <w:tcPr>
            <w:tcW w:w="1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25"/>
              <w:spacing w:after="0"/>
              <w:rPr>
                <w:sz w:val="20"/>
                <w:szCs w:val="20"/>
                <w:color w:val="auto"/>
              </w:rPr>
            </w:pPr>
            <w:r>
              <w:rPr>
                <w:rFonts w:ascii="Arial" w:cs="Arial" w:eastAsia="Arial" w:hAnsi="Arial"/>
                <w:sz w:val="19"/>
                <w:szCs w:val="19"/>
                <w:color w:val="auto"/>
              </w:rPr>
              <w:t>115</w:t>
            </w:r>
          </w:p>
        </w:tc>
        <w:tc>
          <w:tcPr>
            <w:tcW w:w="40" w:type="dxa"/>
            <w:vAlign w:val="bottom"/>
            <w:tcBorders>
              <w:bottom w:val="single" w:sz="8" w:color="auto"/>
            </w:tcBorders>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25"/>
              <w:spacing w:after="0"/>
              <w:rPr>
                <w:sz w:val="20"/>
                <w:szCs w:val="20"/>
                <w:color w:val="auto"/>
              </w:rPr>
            </w:pPr>
            <w:r>
              <w:rPr>
                <w:rFonts w:ascii="Arial" w:cs="Arial" w:eastAsia="Arial" w:hAnsi="Arial"/>
                <w:sz w:val="19"/>
                <w:szCs w:val="19"/>
                <w:color w:val="auto"/>
              </w:rPr>
              <w:t>332</w:t>
            </w:r>
          </w:p>
        </w:tc>
      </w:tr>
      <w:tr>
        <w:trPr>
          <w:trHeight w:val="304"/>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9"/>
                <w:szCs w:val="19"/>
                <w:color w:val="auto"/>
              </w:rPr>
              <w:t>789</w:t>
            </w:r>
          </w:p>
        </w:tc>
        <w:tc>
          <w:tcPr>
            <w:tcW w:w="1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1,009</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877</w:t>
            </w: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5"/>
          </w:tcPr>
          <w:p>
            <w:pPr>
              <w:jc w:val="right"/>
              <w:ind w:right="385"/>
              <w:spacing w:after="0"/>
              <w:rPr>
                <w:sz w:val="20"/>
                <w:szCs w:val="20"/>
                <w:color w:val="auto"/>
              </w:rPr>
            </w:pPr>
            <w:r>
              <w:rPr>
                <w:rFonts w:ascii="Arial" w:cs="Arial" w:eastAsia="Arial" w:hAnsi="Arial"/>
                <w:sz w:val="16"/>
                <w:szCs w:val="16"/>
                <w:b w:val="1"/>
                <w:bCs w:val="1"/>
                <w:color w:val="auto"/>
              </w:rPr>
              <w:t>Years Ended December 31,</w:t>
            </w:r>
          </w:p>
        </w:tc>
      </w:tr>
      <w:tr>
        <w:trPr>
          <w:trHeight w:val="250"/>
        </w:trPr>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5"/>
              </w:rPr>
              <w:t>2009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5"/>
              <w:spacing w:after="0"/>
              <w:rPr>
                <w:sz w:val="20"/>
                <w:szCs w:val="20"/>
                <w:color w:val="auto"/>
              </w:rPr>
            </w:pPr>
            <w:r>
              <w:rPr>
                <w:rFonts w:ascii="Arial" w:cs="Arial" w:eastAsia="Arial" w:hAnsi="Arial"/>
                <w:sz w:val="16"/>
                <w:szCs w:val="16"/>
                <w:b w:val="1"/>
                <w:bCs w:val="1"/>
                <w:color w:val="auto"/>
              </w:rPr>
              <w:t>2008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5"/>
          </w:tcPr>
          <w:p>
            <w:pPr>
              <w:jc w:val="right"/>
              <w:ind w:right="145"/>
              <w:spacing w:after="0"/>
              <w:rPr>
                <w:sz w:val="20"/>
                <w:szCs w:val="20"/>
                <w:color w:val="auto"/>
              </w:rPr>
            </w:pPr>
            <w:r>
              <w:rPr>
                <w:rFonts w:ascii="Arial" w:cs="Arial" w:eastAsia="Arial" w:hAnsi="Arial"/>
                <w:sz w:val="16"/>
                <w:szCs w:val="16"/>
                <w:b w:val="1"/>
                <w:bCs w:val="1"/>
                <w:color w:val="auto"/>
              </w:rPr>
              <w:t>2007</w:t>
            </w:r>
          </w:p>
        </w:tc>
      </w:tr>
      <w:tr>
        <w:trPr>
          <w:trHeight w:val="223"/>
        </w:trPr>
        <w:tc>
          <w:tcPr>
            <w:tcW w:w="460" w:type="dxa"/>
            <w:vAlign w:val="bottom"/>
          </w:tcPr>
          <w:p>
            <w:pPr>
              <w:spacing w:after="0"/>
              <w:rPr>
                <w:sz w:val="19"/>
                <w:szCs w:val="19"/>
                <w:color w:val="auto"/>
              </w:rPr>
            </w:pPr>
          </w:p>
        </w:tc>
        <w:tc>
          <w:tcPr>
            <w:tcW w:w="7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The U.S. statutory federal income tax rate is reconciled to our effective income tax</w:t>
            </w:r>
          </w:p>
        </w:tc>
        <w:tc>
          <w:tcPr>
            <w:tcW w:w="180" w:type="dxa"/>
            <w:vAlign w:val="bottom"/>
            <w:shd w:val="clear" w:color="auto" w:fill="E5FFFF"/>
          </w:tcPr>
          <w:p>
            <w:pPr>
              <w:spacing w:after="0"/>
              <w:rPr>
                <w:sz w:val="19"/>
                <w:szCs w:val="19"/>
                <w:color w:val="auto"/>
              </w:rPr>
            </w:pPr>
          </w:p>
        </w:tc>
        <w:tc>
          <w:tcPr>
            <w:tcW w:w="40" w:type="dxa"/>
            <w:vAlign w:val="bottom"/>
            <w:tcBorders>
              <w:top w:val="single" w:sz="8" w:color="auto"/>
            </w:tcBorders>
            <w:shd w:val="clear" w:color="auto" w:fill="E5FFFF"/>
          </w:tcPr>
          <w:p>
            <w:pPr>
              <w:spacing w:after="0"/>
              <w:rPr>
                <w:sz w:val="19"/>
                <w:szCs w:val="19"/>
                <w:color w:val="auto"/>
              </w:rPr>
            </w:pPr>
          </w:p>
        </w:tc>
        <w:tc>
          <w:tcPr>
            <w:tcW w:w="180" w:type="dxa"/>
            <w:vAlign w:val="bottom"/>
            <w:tcBorders>
              <w:top w:val="single" w:sz="8" w:color="auto"/>
            </w:tcBorders>
            <w:shd w:val="clear" w:color="auto" w:fill="E5FFFF"/>
          </w:tcPr>
          <w:p>
            <w:pPr>
              <w:spacing w:after="0"/>
              <w:rPr>
                <w:sz w:val="19"/>
                <w:szCs w:val="19"/>
                <w:color w:val="auto"/>
              </w:rPr>
            </w:pPr>
          </w:p>
        </w:tc>
        <w:tc>
          <w:tcPr>
            <w:tcW w:w="420" w:type="dxa"/>
            <w:vAlign w:val="bottom"/>
            <w:tcBorders>
              <w:top w:val="single" w:sz="8" w:color="auto"/>
            </w:tcBorders>
            <w:shd w:val="clear" w:color="auto" w:fill="E5FFFF"/>
          </w:tcPr>
          <w:p>
            <w:pPr>
              <w:spacing w:after="0"/>
              <w:rPr>
                <w:sz w:val="19"/>
                <w:szCs w:val="19"/>
                <w:color w:val="auto"/>
              </w:rPr>
            </w:pPr>
          </w:p>
        </w:tc>
        <w:tc>
          <w:tcPr>
            <w:tcW w:w="120" w:type="dxa"/>
            <w:vAlign w:val="bottom"/>
            <w:tcBorders>
              <w:top w:val="single" w:sz="8" w:color="auto"/>
            </w:tcBorders>
            <w:shd w:val="clear" w:color="auto" w:fill="E5FFFF"/>
          </w:tcPr>
          <w:p>
            <w:pPr>
              <w:spacing w:after="0"/>
              <w:rPr>
                <w:sz w:val="19"/>
                <w:szCs w:val="19"/>
                <w:color w:val="auto"/>
              </w:rPr>
            </w:pPr>
          </w:p>
        </w:tc>
        <w:tc>
          <w:tcPr>
            <w:tcW w:w="40" w:type="dxa"/>
            <w:vAlign w:val="bottom"/>
            <w:tcBorders>
              <w:top w:val="single" w:sz="8" w:color="auto"/>
            </w:tcBorders>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60" w:type="dxa"/>
            <w:vAlign w:val="bottom"/>
            <w:tcBorders>
              <w:top w:val="single" w:sz="8" w:color="auto"/>
            </w:tcBorders>
            <w:shd w:val="clear" w:color="auto" w:fill="E5FFFF"/>
          </w:tcPr>
          <w:p>
            <w:pPr>
              <w:spacing w:after="0"/>
              <w:rPr>
                <w:sz w:val="19"/>
                <w:szCs w:val="19"/>
                <w:color w:val="auto"/>
              </w:rPr>
            </w:pPr>
          </w:p>
        </w:tc>
        <w:tc>
          <w:tcPr>
            <w:tcW w:w="640" w:type="dxa"/>
            <w:vAlign w:val="bottom"/>
            <w:tcBorders>
              <w:top w:val="single" w:sz="8" w:color="auto"/>
            </w:tcBorders>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60" w:type="dxa"/>
            <w:vAlign w:val="bottom"/>
            <w:tcBorders>
              <w:top w:val="single" w:sz="8" w:color="auto"/>
            </w:tcBorders>
            <w:shd w:val="clear" w:color="auto" w:fill="E5FFFF"/>
          </w:tcPr>
          <w:p>
            <w:pPr>
              <w:spacing w:after="0"/>
              <w:rPr>
                <w:sz w:val="19"/>
                <w:szCs w:val="19"/>
                <w:color w:val="auto"/>
              </w:rPr>
            </w:pPr>
          </w:p>
        </w:tc>
        <w:tc>
          <w:tcPr>
            <w:tcW w:w="40" w:type="dxa"/>
            <w:vAlign w:val="bottom"/>
            <w:tcBorders>
              <w:top w:val="single" w:sz="8" w:color="auto"/>
            </w:tcBorders>
            <w:shd w:val="clear" w:color="auto" w:fill="E5FFFF"/>
          </w:tcPr>
          <w:p>
            <w:pPr>
              <w:spacing w:after="0"/>
              <w:rPr>
                <w:sz w:val="19"/>
                <w:szCs w:val="19"/>
                <w:color w:val="auto"/>
              </w:rPr>
            </w:pPr>
          </w:p>
        </w:tc>
        <w:tc>
          <w:tcPr>
            <w:tcW w:w="180" w:type="dxa"/>
            <w:vAlign w:val="bottom"/>
            <w:tcBorders>
              <w:top w:val="single" w:sz="8" w:color="auto"/>
            </w:tcBorders>
            <w:shd w:val="clear" w:color="auto" w:fill="E5FFFF"/>
          </w:tcPr>
          <w:p>
            <w:pPr>
              <w:spacing w:after="0"/>
              <w:rPr>
                <w:sz w:val="19"/>
                <w:szCs w:val="19"/>
                <w:color w:val="auto"/>
              </w:rPr>
            </w:pPr>
          </w:p>
        </w:tc>
        <w:tc>
          <w:tcPr>
            <w:tcW w:w="560" w:type="dxa"/>
            <w:vAlign w:val="bottom"/>
            <w:tcBorders>
              <w:top w:val="single" w:sz="8" w:color="auto"/>
            </w:tcBorders>
            <w:shd w:val="clear" w:color="auto" w:fill="E5FFFF"/>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730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rate as follows:</w:t>
            </w:r>
          </w:p>
        </w:tc>
        <w:tc>
          <w:tcPr>
            <w:tcW w:w="18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6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6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r>
      <w:tr>
        <w:trPr>
          <w:trHeight w:val="270"/>
        </w:trPr>
        <w:tc>
          <w:tcPr>
            <w:tcW w:w="460" w:type="dxa"/>
            <w:vAlign w:val="bottom"/>
          </w:tcPr>
          <w:p>
            <w:pPr>
              <w:spacing w:after="0"/>
              <w:rPr>
                <w:sz w:val="23"/>
                <w:szCs w:val="23"/>
                <w:color w:val="auto"/>
              </w:rPr>
            </w:pPr>
          </w:p>
        </w:tc>
        <w:tc>
          <w:tcPr>
            <w:tcW w:w="7300" w:type="dxa"/>
            <w:vAlign w:val="bottom"/>
            <w:gridSpan w:val="2"/>
          </w:tcPr>
          <w:p>
            <w:pPr>
              <w:ind w:left="360"/>
              <w:spacing w:after="0"/>
              <w:rPr>
                <w:sz w:val="20"/>
                <w:szCs w:val="20"/>
                <w:color w:val="auto"/>
              </w:rPr>
            </w:pPr>
            <w:r>
              <w:rPr>
                <w:rFonts w:ascii="Arial" w:cs="Arial" w:eastAsia="Arial" w:hAnsi="Arial"/>
                <w:sz w:val="19"/>
                <w:szCs w:val="19"/>
                <w:color w:val="auto"/>
              </w:rPr>
              <w:t>Statutory U.S. federal income tax rate</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9"/>
                <w:szCs w:val="19"/>
                <w:color w:val="auto"/>
              </w:rPr>
              <w:t>35.0 %</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w w:val="94"/>
              </w:rPr>
              <w:t>35.0 %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gridSpan w:val="5"/>
          </w:tcPr>
          <w:p>
            <w:pPr>
              <w:jc w:val="right"/>
              <w:spacing w:after="0"/>
              <w:rPr>
                <w:sz w:val="20"/>
                <w:szCs w:val="20"/>
                <w:color w:val="auto"/>
              </w:rPr>
            </w:pPr>
            <w:r>
              <w:rPr>
                <w:rFonts w:ascii="Arial" w:cs="Arial" w:eastAsia="Arial" w:hAnsi="Arial"/>
                <w:sz w:val="19"/>
                <w:szCs w:val="19"/>
                <w:color w:val="auto"/>
              </w:rPr>
              <w:t>35.0 %</w:t>
            </w:r>
          </w:p>
        </w:tc>
      </w:tr>
      <w:tr>
        <w:trPr>
          <w:trHeight w:val="270"/>
        </w:trPr>
        <w:tc>
          <w:tcPr>
            <w:tcW w:w="460" w:type="dxa"/>
            <w:vAlign w:val="bottom"/>
          </w:tcPr>
          <w:p>
            <w:pPr>
              <w:spacing w:after="0"/>
              <w:rPr>
                <w:sz w:val="23"/>
                <w:szCs w:val="23"/>
                <w:color w:val="auto"/>
              </w:rPr>
            </w:pPr>
          </w:p>
        </w:tc>
        <w:tc>
          <w:tcPr>
            <w:tcW w:w="7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Taxes on foreign earnings below U.S. tax rate(1)</w:t>
            </w:r>
          </w:p>
        </w:tc>
        <w:tc>
          <w:tcPr>
            <w:tcW w:w="1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(6.2 )</w:t>
            </w:r>
          </w:p>
        </w:tc>
        <w:tc>
          <w:tcPr>
            <w:tcW w:w="1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(6.5 )</w:t>
            </w: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060" w:type="dxa"/>
            <w:vAlign w:val="bottom"/>
            <w:gridSpan w:val="5"/>
            <w:shd w:val="clear" w:color="auto" w:fill="E5FFFF"/>
          </w:tcPr>
          <w:p>
            <w:pPr>
              <w:jc w:val="right"/>
              <w:ind w:right="85"/>
              <w:spacing w:after="0"/>
              <w:rPr>
                <w:sz w:val="20"/>
                <w:szCs w:val="20"/>
                <w:color w:val="auto"/>
              </w:rPr>
            </w:pPr>
            <w:r>
              <w:rPr>
                <w:rFonts w:ascii="Arial" w:cs="Arial" w:eastAsia="Arial" w:hAnsi="Arial"/>
                <w:sz w:val="19"/>
                <w:szCs w:val="19"/>
                <w:color w:val="auto"/>
              </w:rPr>
              <w:t>(4.7 )</w:t>
            </w:r>
          </w:p>
        </w:tc>
      </w:tr>
      <w:tr>
        <w:trPr>
          <w:trHeight w:val="270"/>
        </w:trPr>
        <w:tc>
          <w:tcPr>
            <w:tcW w:w="460" w:type="dxa"/>
            <w:vAlign w:val="bottom"/>
          </w:tcPr>
          <w:p>
            <w:pPr>
              <w:spacing w:after="0"/>
              <w:rPr>
                <w:sz w:val="23"/>
                <w:szCs w:val="23"/>
                <w:color w:val="auto"/>
              </w:rPr>
            </w:pPr>
          </w:p>
        </w:tc>
        <w:tc>
          <w:tcPr>
            <w:tcW w:w="7300" w:type="dxa"/>
            <w:vAlign w:val="bottom"/>
            <w:gridSpan w:val="2"/>
          </w:tcPr>
          <w:p>
            <w:pPr>
              <w:ind w:left="360"/>
              <w:spacing w:after="0"/>
              <w:rPr>
                <w:sz w:val="20"/>
                <w:szCs w:val="20"/>
                <w:color w:val="auto"/>
              </w:rPr>
            </w:pPr>
            <w:r>
              <w:rPr>
                <w:rFonts w:ascii="Arial" w:cs="Arial" w:eastAsia="Arial" w:hAnsi="Arial"/>
                <w:sz w:val="19"/>
                <w:szCs w:val="19"/>
                <w:color w:val="auto"/>
              </w:rPr>
              <w:t>State income taxes(1)</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ind w:right="9"/>
              <w:spacing w:after="0"/>
              <w:rPr>
                <w:sz w:val="20"/>
                <w:szCs w:val="20"/>
                <w:color w:val="auto"/>
              </w:rPr>
            </w:pPr>
            <w:r>
              <w:rPr>
                <w:rFonts w:ascii="Arial" w:cs="Arial" w:eastAsia="Arial" w:hAnsi="Arial"/>
                <w:sz w:val="19"/>
                <w:szCs w:val="19"/>
                <w:color w:val="auto"/>
              </w:rPr>
              <w:t>1.7</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65"/>
              <w:spacing w:after="0"/>
              <w:rPr>
                <w:sz w:val="20"/>
                <w:szCs w:val="20"/>
                <w:color w:val="auto"/>
              </w:rPr>
            </w:pPr>
            <w:r>
              <w:rPr>
                <w:rFonts w:ascii="Arial" w:cs="Arial" w:eastAsia="Arial" w:hAnsi="Arial"/>
                <w:sz w:val="19"/>
                <w:szCs w:val="19"/>
                <w:color w:val="auto"/>
              </w:rPr>
              <w:t>1.8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185"/>
              <w:spacing w:after="0"/>
              <w:rPr>
                <w:sz w:val="20"/>
                <w:szCs w:val="20"/>
                <w:color w:val="auto"/>
              </w:rPr>
            </w:pPr>
            <w:r>
              <w:rPr>
                <w:rFonts w:ascii="Arial" w:cs="Arial" w:eastAsia="Arial" w:hAnsi="Arial"/>
                <w:sz w:val="19"/>
                <w:szCs w:val="19"/>
                <w:color w:val="auto"/>
              </w:rPr>
              <w:t>.9</w:t>
            </w:r>
          </w:p>
        </w:tc>
      </w:tr>
      <w:tr>
        <w:trPr>
          <w:trHeight w:val="270"/>
        </w:trPr>
        <w:tc>
          <w:tcPr>
            <w:tcW w:w="460" w:type="dxa"/>
            <w:vAlign w:val="bottom"/>
          </w:tcPr>
          <w:p>
            <w:pPr>
              <w:spacing w:after="0"/>
              <w:rPr>
                <w:sz w:val="23"/>
                <w:szCs w:val="23"/>
                <w:color w:val="auto"/>
              </w:rPr>
            </w:pPr>
          </w:p>
        </w:tc>
        <w:tc>
          <w:tcPr>
            <w:tcW w:w="7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Manufacturing incentives</w:t>
            </w:r>
          </w:p>
        </w:tc>
        <w:tc>
          <w:tcPr>
            <w:tcW w:w="1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(1.0 )</w:t>
            </w:r>
          </w:p>
        </w:tc>
        <w:tc>
          <w:tcPr>
            <w:tcW w:w="1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(.7 )</w:t>
            </w: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(.8 )</w:t>
            </w:r>
          </w:p>
        </w:tc>
      </w:tr>
      <w:tr>
        <w:trPr>
          <w:trHeight w:val="270"/>
        </w:trPr>
        <w:tc>
          <w:tcPr>
            <w:tcW w:w="460" w:type="dxa"/>
            <w:vAlign w:val="bottom"/>
          </w:tcPr>
          <w:p>
            <w:pPr>
              <w:spacing w:after="0"/>
              <w:rPr>
                <w:sz w:val="23"/>
                <w:szCs w:val="23"/>
                <w:color w:val="auto"/>
              </w:rPr>
            </w:pPr>
          </w:p>
        </w:tc>
        <w:tc>
          <w:tcPr>
            <w:tcW w:w="7300" w:type="dxa"/>
            <w:vAlign w:val="bottom"/>
            <w:gridSpan w:val="2"/>
          </w:tcPr>
          <w:p>
            <w:pPr>
              <w:ind w:left="360"/>
              <w:spacing w:after="0"/>
              <w:rPr>
                <w:sz w:val="20"/>
                <w:szCs w:val="20"/>
                <w:color w:val="auto"/>
              </w:rPr>
            </w:pPr>
            <w:r>
              <w:rPr>
                <w:rFonts w:ascii="Arial" w:cs="Arial" w:eastAsia="Arial" w:hAnsi="Arial"/>
                <w:sz w:val="19"/>
                <w:szCs w:val="19"/>
                <w:color w:val="auto"/>
              </w:rPr>
              <w:t>ESOP dividend tax benefit</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(.8 )</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65"/>
              <w:spacing w:after="0"/>
              <w:rPr>
                <w:sz w:val="20"/>
                <w:szCs w:val="20"/>
                <w:color w:val="auto"/>
              </w:rPr>
            </w:pPr>
            <w:r>
              <w:rPr>
                <w:rFonts w:ascii="Arial" w:cs="Arial" w:eastAsia="Arial" w:hAnsi="Arial"/>
                <w:sz w:val="19"/>
                <w:szCs w:val="19"/>
                <w:color w:val="auto"/>
              </w:rPr>
              <w:t>(.5 )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85"/>
              <w:spacing w:after="0"/>
              <w:rPr>
                <w:sz w:val="20"/>
                <w:szCs w:val="20"/>
                <w:color w:val="auto"/>
              </w:rPr>
            </w:pPr>
            <w:r>
              <w:rPr>
                <w:rFonts w:ascii="Arial" w:cs="Arial" w:eastAsia="Arial" w:hAnsi="Arial"/>
                <w:sz w:val="19"/>
                <w:szCs w:val="19"/>
                <w:color w:val="auto"/>
              </w:rPr>
              <w:t>(.5 )</w:t>
            </w:r>
          </w:p>
        </w:tc>
      </w:tr>
      <w:tr>
        <w:trPr>
          <w:trHeight w:val="270"/>
        </w:trPr>
        <w:tc>
          <w:tcPr>
            <w:tcW w:w="460" w:type="dxa"/>
            <w:vAlign w:val="bottom"/>
          </w:tcPr>
          <w:p>
            <w:pPr>
              <w:spacing w:after="0"/>
              <w:rPr>
                <w:sz w:val="23"/>
                <w:szCs w:val="23"/>
                <w:color w:val="auto"/>
              </w:rPr>
            </w:pPr>
          </w:p>
        </w:tc>
        <w:tc>
          <w:tcPr>
            <w:tcW w:w="7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Tax credits</w:t>
            </w:r>
          </w:p>
        </w:tc>
        <w:tc>
          <w:tcPr>
            <w:tcW w:w="1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(1.2 )</w:t>
            </w:r>
          </w:p>
        </w:tc>
        <w:tc>
          <w:tcPr>
            <w:tcW w:w="1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(1.0 )</w:t>
            </w: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(.6 )</w:t>
            </w:r>
          </w:p>
        </w:tc>
      </w:tr>
      <w:tr>
        <w:trPr>
          <w:trHeight w:val="270"/>
        </w:trPr>
        <w:tc>
          <w:tcPr>
            <w:tcW w:w="460" w:type="dxa"/>
            <w:vAlign w:val="bottom"/>
          </w:tcPr>
          <w:p>
            <w:pPr>
              <w:spacing w:after="0"/>
              <w:rPr>
                <w:sz w:val="23"/>
                <w:szCs w:val="23"/>
                <w:color w:val="auto"/>
              </w:rPr>
            </w:pPr>
          </w:p>
        </w:tc>
        <w:tc>
          <w:tcPr>
            <w:tcW w:w="7300" w:type="dxa"/>
            <w:vAlign w:val="bottom"/>
            <w:gridSpan w:val="2"/>
          </w:tcPr>
          <w:p>
            <w:pPr>
              <w:ind w:left="360"/>
              <w:spacing w:after="0"/>
              <w:rPr>
                <w:sz w:val="20"/>
                <w:szCs w:val="20"/>
                <w:color w:val="auto"/>
              </w:rPr>
            </w:pPr>
            <w:r>
              <w:rPr>
                <w:rFonts w:ascii="Arial" w:cs="Arial" w:eastAsia="Arial" w:hAnsi="Arial"/>
                <w:sz w:val="19"/>
                <w:szCs w:val="19"/>
                <w:color w:val="auto"/>
              </w:rPr>
              <w:t>Audit settlements</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(.5 )</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65"/>
              <w:spacing w:after="0"/>
              <w:rPr>
                <w:sz w:val="20"/>
                <w:szCs w:val="20"/>
                <w:color w:val="auto"/>
              </w:rPr>
            </w:pPr>
            <w:r>
              <w:rPr>
                <w:rFonts w:ascii="Arial" w:cs="Arial" w:eastAsia="Arial" w:hAnsi="Arial"/>
                <w:sz w:val="19"/>
                <w:szCs w:val="19"/>
                <w:color w:val="auto"/>
              </w:rPr>
              <w:t>(1.5 )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gridSpan w:val="5"/>
          </w:tcPr>
          <w:p>
            <w:pPr>
              <w:jc w:val="right"/>
              <w:ind w:right="85"/>
              <w:spacing w:after="0"/>
              <w:rPr>
                <w:sz w:val="20"/>
                <w:szCs w:val="20"/>
                <w:color w:val="auto"/>
              </w:rPr>
            </w:pPr>
            <w:r>
              <w:rPr>
                <w:rFonts w:ascii="Arial" w:cs="Arial" w:eastAsia="Arial" w:hAnsi="Arial"/>
                <w:sz w:val="19"/>
                <w:szCs w:val="19"/>
                <w:color w:val="auto"/>
              </w:rPr>
              <w:t>(2.9 )</w:t>
            </w:r>
          </w:p>
        </w:tc>
      </w:tr>
      <w:tr>
        <w:trPr>
          <w:trHeight w:val="270"/>
        </w:trPr>
        <w:tc>
          <w:tcPr>
            <w:tcW w:w="460" w:type="dxa"/>
            <w:vAlign w:val="bottom"/>
          </w:tcPr>
          <w:p>
            <w:pPr>
              <w:spacing w:after="0"/>
              <w:rPr>
                <w:sz w:val="23"/>
                <w:szCs w:val="23"/>
                <w:color w:val="auto"/>
              </w:rPr>
            </w:pPr>
          </w:p>
        </w:tc>
        <w:tc>
          <w:tcPr>
            <w:tcW w:w="7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All other items—net</w:t>
            </w:r>
          </w:p>
        </w:tc>
        <w:tc>
          <w:tcPr>
            <w:tcW w:w="18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(.5 )</w:t>
            </w:r>
          </w:p>
        </w:tc>
        <w:tc>
          <w:tcPr>
            <w:tcW w:w="12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(.2 )</w:t>
            </w: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85"/>
              <w:spacing w:after="0"/>
              <w:rPr>
                <w:sz w:val="20"/>
                <w:szCs w:val="20"/>
                <w:color w:val="auto"/>
              </w:rPr>
            </w:pPr>
            <w:r>
              <w:rPr>
                <w:rFonts w:ascii="Arial" w:cs="Arial" w:eastAsia="Arial" w:hAnsi="Arial"/>
                <w:sz w:val="19"/>
                <w:szCs w:val="19"/>
                <w:color w:val="auto"/>
              </w:rPr>
              <w:t>(.1 )</w:t>
            </w:r>
          </w:p>
        </w:tc>
      </w:tr>
      <w:tr>
        <w:trPr>
          <w:trHeight w:val="304"/>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9"/>
                <w:szCs w:val="19"/>
                <w:color w:val="auto"/>
              </w:rPr>
              <w:t>26.5 %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w w:val="94"/>
              </w:rPr>
              <w:t>26.4 %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Arial" w:cs="Arial" w:eastAsia="Arial" w:hAnsi="Arial"/>
                <w:sz w:val="19"/>
                <w:szCs w:val="19"/>
                <w:color w:val="auto"/>
              </w:rPr>
              <w:t>26.3 %</w:t>
            </w: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4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Net of changes in valuation allowance.</w:t>
      </w:r>
    </w:p>
    <w:p>
      <w:pPr>
        <w:spacing w:after="0" w:line="106" w:lineRule="exact"/>
        <w:rPr>
          <w:sz w:val="20"/>
          <w:szCs w:val="20"/>
          <w:color w:val="auto"/>
        </w:rPr>
      </w:pPr>
    </w:p>
    <w:p>
      <w:pPr>
        <w:jc w:val="both"/>
        <w:ind w:right="40" w:firstLine="357"/>
        <w:spacing w:after="0" w:line="245" w:lineRule="auto"/>
        <w:rPr>
          <w:sz w:val="20"/>
          <w:szCs w:val="20"/>
          <w:color w:val="auto"/>
        </w:rPr>
      </w:pPr>
      <w:r>
        <w:rPr>
          <w:rFonts w:ascii="Arial" w:cs="Arial" w:eastAsia="Arial" w:hAnsi="Arial"/>
          <w:sz w:val="19"/>
          <w:szCs w:val="19"/>
          <w:color w:val="auto"/>
        </w:rPr>
        <w:t>The effective tax rate increased by 0.1 of a percentage point in 2009 compared with 2008 due principally to a decreased impact from the settlement of audits, partially offset by increased benefits from (i) U.S. manufacturing incentives, (ii) U.S. tax credits and (iii) employee stock ownership plan (ESOP) dividends.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tax assets (liabilities)</w:t>
      </w:r>
    </w:p>
    <w:p>
      <w:pPr>
        <w:spacing w:after="0" w:line="13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Deferred income taxes represent the future tax effects of transactions which are reported in different periods for tax and financial reporting purposes. The tax effects of temporary differences and tax carryforwards which give rise to future income tax benefits and payables are as follows:</w:t>
      </w:r>
    </w:p>
    <w:p>
      <w:pPr>
        <w:sectPr>
          <w:pgSz w:w="11900" w:h="16838" w:orient="portrait"/>
          <w:cols w:equalWidth="0" w:num="1">
            <w:col w:w="11360"/>
          </w:cols>
          <w:pgMar w:left="240" w:top="106" w:right="299" w:bottom="1440" w:gutter="0" w:footer="0" w:header="0"/>
        </w:sectPr>
      </w:pP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6" w:right="29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09"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2008</w:t>
            </w:r>
          </w:p>
        </w:tc>
      </w:tr>
      <w:tr>
        <w:trPr>
          <w:trHeight w:val="264"/>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Property, plant and equipment basis differences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(888 )</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(605 )</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Postretirement benefits other than pensions and post employment benefits</w:t>
            </w:r>
          </w:p>
        </w:tc>
        <w:tc>
          <w:tcPr>
            <w:tcW w:w="2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9"/>
                <w:szCs w:val="19"/>
                <w:color w:val="auto"/>
              </w:rPr>
              <w:t>785</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65"/>
              <w:spacing w:after="0"/>
              <w:rPr>
                <w:sz w:val="20"/>
                <w:szCs w:val="20"/>
                <w:color w:val="auto"/>
              </w:rPr>
            </w:pPr>
            <w:r>
              <w:rPr>
                <w:rFonts w:ascii="Arial" w:cs="Arial" w:eastAsia="Arial" w:hAnsi="Arial"/>
                <w:sz w:val="19"/>
                <w:szCs w:val="19"/>
                <w:color w:val="auto"/>
              </w:rPr>
              <w:t>876</w:t>
            </w:r>
          </w:p>
        </w:tc>
      </w:tr>
      <w:tr>
        <w:trPr>
          <w:trHeight w:val="270"/>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Investment and other asset basis differences</w:t>
            </w: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(758 )</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(598 )</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Other accrued items</w:t>
            </w:r>
          </w:p>
        </w:tc>
        <w:tc>
          <w:tcPr>
            <w:tcW w:w="2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9"/>
                <w:szCs w:val="19"/>
                <w:color w:val="auto"/>
              </w:rPr>
              <w:t>3,035</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65"/>
              <w:spacing w:after="0"/>
              <w:rPr>
                <w:sz w:val="20"/>
                <w:szCs w:val="20"/>
                <w:color w:val="auto"/>
              </w:rPr>
            </w:pPr>
            <w:r>
              <w:rPr>
                <w:rFonts w:ascii="Arial" w:cs="Arial" w:eastAsia="Arial" w:hAnsi="Arial"/>
                <w:sz w:val="19"/>
                <w:szCs w:val="19"/>
                <w:color w:val="auto"/>
              </w:rPr>
              <w:t>2,477</w:t>
            </w:r>
          </w:p>
        </w:tc>
      </w:tr>
      <w:tr>
        <w:trPr>
          <w:trHeight w:val="270"/>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operating and capital losses</w:t>
            </w: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818</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740</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Tax credits</w:t>
            </w:r>
          </w:p>
        </w:tc>
        <w:tc>
          <w:tcPr>
            <w:tcW w:w="2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9"/>
                <w:szCs w:val="19"/>
                <w:color w:val="auto"/>
              </w:rPr>
              <w:t>137</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65"/>
              <w:spacing w:after="0"/>
              <w:rPr>
                <w:sz w:val="20"/>
                <w:szCs w:val="20"/>
                <w:color w:val="auto"/>
              </w:rPr>
            </w:pPr>
            <w:r>
              <w:rPr>
                <w:rFonts w:ascii="Arial" w:cs="Arial" w:eastAsia="Arial" w:hAnsi="Arial"/>
                <w:sz w:val="19"/>
                <w:szCs w:val="19"/>
                <w:color w:val="auto"/>
              </w:rPr>
              <w:t>87</w:t>
            </w:r>
          </w:p>
        </w:tc>
      </w:tr>
      <w:tr>
        <w:trPr>
          <w:trHeight w:val="270"/>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Undistributed earnings of subsidiaries</w:t>
            </w: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(40 )</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(40 )</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All other items—net</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(61 )</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(175 )</w:t>
            </w:r>
          </w:p>
        </w:tc>
      </w:tr>
      <w:tr>
        <w:trPr>
          <w:trHeight w:val="34"/>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3,028</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2,762</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Valuation allowance</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(578 )</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(445 )</w:t>
            </w:r>
          </w:p>
        </w:tc>
      </w:tr>
      <w:tr>
        <w:trPr>
          <w:trHeight w:val="34"/>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28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2,450</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2,317</w:t>
            </w:r>
          </w:p>
        </w:tc>
      </w:tr>
      <w:tr>
        <w:trPr>
          <w:trHeight w:val="20"/>
        </w:trPr>
        <w:tc>
          <w:tcPr>
            <w:tcW w:w="8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There were $1 million of U.S. federal tax net operating losses available for carryforward at December 31, 2009 which were generated by certain subsidiaries prior to their acquisition and have expiration dates through 2024. The use of pre-acquisition operating losses is subject to limitations imposed by the Internal Revenue Code. We do not anticipate that these limitations will affect utilization of the carryforwards prior to their expiration. The Company has state tax net operating loss carryforwards of $2.8 billion at December 31, 2009 with varying expiration dates through 2024. We also have foreign net operating and capital losses of $2.8 billion which are available to reduce future income tax payments in several countries, subject to varying expiration rules.</w:t>
      </w:r>
    </w:p>
    <w:p>
      <w:pPr>
        <w:spacing w:after="0" w:line="94" w:lineRule="exact"/>
        <w:rPr>
          <w:sz w:val="20"/>
          <w:szCs w:val="20"/>
          <w:color w:val="auto"/>
        </w:rPr>
      </w:pPr>
    </w:p>
    <w:p>
      <w:pPr>
        <w:ind w:right="180" w:firstLine="357"/>
        <w:spacing w:after="0" w:line="253" w:lineRule="auto"/>
        <w:rPr>
          <w:sz w:val="20"/>
          <w:szCs w:val="20"/>
          <w:color w:val="auto"/>
        </w:rPr>
      </w:pPr>
      <w:r>
        <w:rPr>
          <w:rFonts w:ascii="Arial" w:cs="Arial" w:eastAsia="Arial" w:hAnsi="Arial"/>
          <w:sz w:val="19"/>
          <w:szCs w:val="19"/>
          <w:color w:val="auto"/>
        </w:rPr>
        <w:t>We have state tax credit carryforwards of $58 million at December 31, 2009, including carryforwards of $32 million with various expiration dates through 2024 and tax credits of $26 million which are not subject to expiration.</w:t>
      </w:r>
    </w:p>
    <w:p>
      <w:pPr>
        <w:spacing w:after="0" w:line="8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valuation allowance against deferred tax assets increased by $133 million in 2009 and decreased by $45 million and $26 million in 2008 and 2007, respectively. The 2009 increase in the valuation allowance was primarily due to increased foreign net operating losses related to Germany, Luxembourg, and the Netherlands. The 2008 decrease in the valuation allowance was primarily due to a decrease in the valuation allowance related to federal and state capital loss carryforwards partially offset by increased foreign net operating losses. The 2007 decrease in the valuation allowance was primarily due to a decrease in valuation allowances related to state and foreign net operating losses partially offset by a valuation allowance against U.S. capital losses.</w:t>
      </w:r>
    </w:p>
    <w:p>
      <w:pPr>
        <w:spacing w:after="0" w:line="94"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Federal income taxes have not been provided on undistributed earnings of the majority of our international subsidiaries as it is our intention to reinvest these earnings into the respective subsidiaries. At December 31, 2009 Honeywell has not provided for U.S. federal income and foreign withholding taxes on approximately $5.1 billion of such earnings of our non-U.S. operations. It is not practicable to estimate the amount of tax that might be payable if some or all of such earnings were to be repatriated, and foreign tax credits would be available to reduce or eliminate the resulting U.S. income tax liability.</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had $720 million, $ 671 million and $666 million of unrecognized tax benefits as of December 31, 2009, 2008, and 2007 respectively. If recognized, $720 million would be recorded as a component of income tax expense as of December 31, 2009. For the years ended December 31, 2009 and 2008, the Company increased its unrecognized tax benefits by $49 million and $5 million, respectively, due to additional reserves for various international and U.S. tax audit matters, partially offset by adjustments related to our ongoing assessments of the likelihood and amount of potential outcomes of current and future examinations, the expiration of various statute of limitations, and settlements with tax authorities. The following table summarizes the activity related to our unrecognized tax benefits: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680" w:type="dxa"/>
            <w:vAlign w:val="bottom"/>
          </w:tcPr>
          <w:p>
            <w:pPr>
              <w:spacing w:after="0"/>
              <w:rPr>
                <w:sz w:val="17"/>
                <w:szCs w:val="17"/>
                <w:color w:val="auto"/>
              </w:rPr>
            </w:pPr>
          </w:p>
        </w:tc>
        <w:tc>
          <w:tcPr>
            <w:tcW w:w="720" w:type="dxa"/>
            <w:vAlign w:val="bottom"/>
          </w:tcPr>
          <w:p>
            <w:pPr>
              <w:jc w:val="right"/>
              <w:ind w:right="85"/>
              <w:spacing w:after="0"/>
              <w:rPr>
                <w:sz w:val="20"/>
                <w:szCs w:val="20"/>
                <w:color w:val="auto"/>
              </w:rPr>
            </w:pPr>
            <w:r>
              <w:rPr>
                <w:rFonts w:ascii="Arial" w:cs="Arial" w:eastAsia="Arial" w:hAnsi="Arial"/>
                <w:sz w:val="16"/>
                <w:szCs w:val="16"/>
                <w:b w:val="1"/>
                <w:bCs w:val="1"/>
                <w:color w:val="auto"/>
              </w:rPr>
              <w:t>2009</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145"/>
              <w:spacing w:after="0"/>
              <w:rPr>
                <w:sz w:val="20"/>
                <w:szCs w:val="20"/>
                <w:color w:val="auto"/>
              </w:rPr>
            </w:pPr>
            <w:r>
              <w:rPr>
                <w:rFonts w:ascii="Arial" w:cs="Arial" w:eastAsia="Arial" w:hAnsi="Arial"/>
                <w:sz w:val="16"/>
                <w:szCs w:val="16"/>
                <w:b w:val="1"/>
                <w:bCs w:val="1"/>
                <w:color w:val="auto"/>
              </w:rPr>
              <w:t>2007</w:t>
            </w:r>
          </w:p>
        </w:tc>
      </w:tr>
      <w:tr>
        <w:trPr>
          <w:trHeight w:val="237"/>
        </w:trPr>
        <w:tc>
          <w:tcPr>
            <w:tcW w:w="7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 in unrecognized tax benefits:</w:t>
            </w:r>
          </w:p>
        </w:tc>
        <w:tc>
          <w:tcPr>
            <w:tcW w:w="72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72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spacing w:after="0"/>
              <w:rPr>
                <w:sz w:val="20"/>
                <w:szCs w:val="20"/>
                <w:color w:val="auto"/>
              </w:rPr>
            </w:pPr>
          </w:p>
        </w:tc>
      </w:tr>
      <w:tr>
        <w:trPr>
          <w:trHeight w:val="459"/>
        </w:trPr>
        <w:tc>
          <w:tcPr>
            <w:tcW w:w="7680" w:type="dxa"/>
            <w:vAlign w:val="bottom"/>
          </w:tcPr>
          <w:p>
            <w:pPr>
              <w:ind w:left="360"/>
              <w:spacing w:after="0"/>
              <w:rPr>
                <w:sz w:val="20"/>
                <w:szCs w:val="20"/>
                <w:color w:val="auto"/>
              </w:rPr>
            </w:pPr>
            <w:r>
              <w:rPr>
                <w:rFonts w:ascii="Arial" w:cs="Arial" w:eastAsia="Arial" w:hAnsi="Arial"/>
                <w:sz w:val="19"/>
                <w:szCs w:val="19"/>
                <w:color w:val="auto"/>
              </w:rPr>
              <w:t>Balance at beginning of year</w:t>
            </w:r>
          </w:p>
        </w:tc>
        <w:tc>
          <w:tcPr>
            <w:tcW w:w="720" w:type="dxa"/>
            <w:vAlign w:val="bottom"/>
          </w:tcPr>
          <w:p>
            <w:pPr>
              <w:jc w:val="right"/>
              <w:ind w:right="45"/>
              <w:spacing w:after="0"/>
              <w:rPr>
                <w:sz w:val="20"/>
                <w:szCs w:val="20"/>
                <w:color w:val="auto"/>
              </w:rPr>
            </w:pPr>
            <w:r>
              <w:rPr>
                <w:rFonts w:ascii="Arial" w:cs="Arial" w:eastAsia="Arial" w:hAnsi="Arial"/>
                <w:sz w:val="19"/>
                <w:szCs w:val="19"/>
                <w:color w:val="auto"/>
              </w:rPr>
              <w:t>$ 671</w:t>
            </w:r>
          </w:p>
        </w:tc>
        <w:tc>
          <w:tcPr>
            <w:tcW w:w="1000" w:type="dxa"/>
            <w:vAlign w:val="bottom"/>
            <w:gridSpan w:val="2"/>
          </w:tcPr>
          <w:p>
            <w:pPr>
              <w:jc w:val="right"/>
              <w:ind w:right="160"/>
              <w:spacing w:after="0"/>
              <w:rPr>
                <w:sz w:val="20"/>
                <w:szCs w:val="20"/>
                <w:color w:val="auto"/>
              </w:rPr>
            </w:pPr>
            <w:r>
              <w:rPr>
                <w:rFonts w:ascii="Arial" w:cs="Arial" w:eastAsia="Arial" w:hAnsi="Arial"/>
                <w:sz w:val="19"/>
                <w:szCs w:val="19"/>
                <w:color w:val="auto"/>
              </w:rPr>
              <w:t>$ 666</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65"/>
              <w:spacing w:after="0"/>
              <w:rPr>
                <w:sz w:val="20"/>
                <w:szCs w:val="20"/>
                <w:color w:val="auto"/>
              </w:rPr>
            </w:pPr>
            <w:r>
              <w:rPr>
                <w:rFonts w:ascii="Arial" w:cs="Arial" w:eastAsia="Arial" w:hAnsi="Arial"/>
                <w:sz w:val="19"/>
                <w:szCs w:val="19"/>
                <w:color w:val="auto"/>
              </w:rPr>
              <w:t>744</w:t>
            </w:r>
          </w:p>
        </w:tc>
      </w:tr>
      <w:tr>
        <w:trPr>
          <w:trHeight w:val="270"/>
        </w:trPr>
        <w:tc>
          <w:tcPr>
            <w:tcW w:w="76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Gross increases related to current period tax positions</w:t>
            </w:r>
          </w:p>
        </w:tc>
        <w:tc>
          <w:tcPr>
            <w:tcW w:w="72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86</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81</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68</w:t>
            </w:r>
          </w:p>
        </w:tc>
      </w:tr>
      <w:tr>
        <w:trPr>
          <w:trHeight w:val="270"/>
        </w:trPr>
        <w:tc>
          <w:tcPr>
            <w:tcW w:w="7680" w:type="dxa"/>
            <w:vAlign w:val="bottom"/>
          </w:tcPr>
          <w:p>
            <w:pPr>
              <w:ind w:left="360"/>
              <w:spacing w:after="0"/>
              <w:rPr>
                <w:sz w:val="20"/>
                <w:szCs w:val="20"/>
                <w:color w:val="auto"/>
              </w:rPr>
            </w:pPr>
            <w:r>
              <w:rPr>
                <w:rFonts w:ascii="Arial" w:cs="Arial" w:eastAsia="Arial" w:hAnsi="Arial"/>
                <w:sz w:val="19"/>
                <w:szCs w:val="19"/>
                <w:color w:val="auto"/>
              </w:rPr>
              <w:t>Gross increases related to prior periods tax positions</w:t>
            </w:r>
          </w:p>
        </w:tc>
        <w:tc>
          <w:tcPr>
            <w:tcW w:w="720" w:type="dxa"/>
            <w:vAlign w:val="bottom"/>
          </w:tcPr>
          <w:p>
            <w:pPr>
              <w:jc w:val="right"/>
              <w:ind w:right="45"/>
              <w:spacing w:after="0"/>
              <w:rPr>
                <w:sz w:val="20"/>
                <w:szCs w:val="20"/>
                <w:color w:val="auto"/>
              </w:rPr>
            </w:pPr>
            <w:r>
              <w:rPr>
                <w:rFonts w:ascii="Arial" w:cs="Arial" w:eastAsia="Arial" w:hAnsi="Arial"/>
                <w:sz w:val="19"/>
                <w:szCs w:val="19"/>
                <w:color w:val="auto"/>
              </w:rPr>
              <w:t>86</w:t>
            </w:r>
          </w:p>
        </w:tc>
        <w:tc>
          <w:tcPr>
            <w:tcW w:w="1000" w:type="dxa"/>
            <w:vAlign w:val="bottom"/>
            <w:gridSpan w:val="2"/>
          </w:tcPr>
          <w:p>
            <w:pPr>
              <w:jc w:val="right"/>
              <w:ind w:right="160"/>
              <w:spacing w:after="0"/>
              <w:rPr>
                <w:sz w:val="20"/>
                <w:szCs w:val="20"/>
                <w:color w:val="auto"/>
              </w:rPr>
            </w:pPr>
            <w:r>
              <w:rPr>
                <w:rFonts w:ascii="Arial" w:cs="Arial" w:eastAsia="Arial" w:hAnsi="Arial"/>
                <w:sz w:val="19"/>
                <w:szCs w:val="19"/>
                <w:color w:val="auto"/>
              </w:rPr>
              <w:t>106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65"/>
              <w:spacing w:after="0"/>
              <w:rPr>
                <w:sz w:val="20"/>
                <w:szCs w:val="20"/>
                <w:color w:val="auto"/>
              </w:rPr>
            </w:pPr>
            <w:r>
              <w:rPr>
                <w:rFonts w:ascii="Arial" w:cs="Arial" w:eastAsia="Arial" w:hAnsi="Arial"/>
                <w:sz w:val="19"/>
                <w:szCs w:val="19"/>
                <w:color w:val="auto"/>
              </w:rPr>
              <w:t>100</w:t>
            </w:r>
          </w:p>
        </w:tc>
      </w:tr>
      <w:tr>
        <w:trPr>
          <w:trHeight w:val="270"/>
        </w:trPr>
        <w:tc>
          <w:tcPr>
            <w:tcW w:w="76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Gross decreases related to prior periods tax positions</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(77 )</w:t>
            </w:r>
          </w:p>
        </w:tc>
        <w:tc>
          <w:tcPr>
            <w:tcW w:w="10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(54 )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(167 )</w:t>
            </w:r>
          </w:p>
        </w:tc>
      </w:tr>
      <w:tr>
        <w:trPr>
          <w:trHeight w:val="270"/>
        </w:trPr>
        <w:tc>
          <w:tcPr>
            <w:tcW w:w="7680" w:type="dxa"/>
            <w:vAlign w:val="bottom"/>
          </w:tcPr>
          <w:p>
            <w:pPr>
              <w:ind w:left="360"/>
              <w:spacing w:after="0"/>
              <w:rPr>
                <w:sz w:val="20"/>
                <w:szCs w:val="20"/>
                <w:color w:val="auto"/>
              </w:rPr>
            </w:pPr>
            <w:r>
              <w:rPr>
                <w:rFonts w:ascii="Arial" w:cs="Arial" w:eastAsia="Arial" w:hAnsi="Arial"/>
                <w:sz w:val="19"/>
                <w:szCs w:val="19"/>
                <w:color w:val="auto"/>
              </w:rPr>
              <w:t>Decrease related to settlements with tax authorities</w:t>
            </w:r>
          </w:p>
        </w:tc>
        <w:tc>
          <w:tcPr>
            <w:tcW w:w="720" w:type="dxa"/>
            <w:vAlign w:val="bottom"/>
          </w:tcPr>
          <w:p>
            <w:pPr>
              <w:jc w:val="right"/>
              <w:spacing w:after="0"/>
              <w:rPr>
                <w:sz w:val="20"/>
                <w:szCs w:val="20"/>
                <w:color w:val="auto"/>
              </w:rPr>
            </w:pPr>
            <w:r>
              <w:rPr>
                <w:rFonts w:ascii="Arial" w:cs="Arial" w:eastAsia="Arial" w:hAnsi="Arial"/>
                <w:sz w:val="19"/>
                <w:szCs w:val="19"/>
                <w:color w:val="auto"/>
              </w:rPr>
              <w:t>(44 )</w:t>
            </w:r>
          </w:p>
        </w:tc>
        <w:tc>
          <w:tcPr>
            <w:tcW w:w="1000" w:type="dxa"/>
            <w:vAlign w:val="bottom"/>
            <w:gridSpan w:val="2"/>
          </w:tcPr>
          <w:p>
            <w:pPr>
              <w:jc w:val="right"/>
              <w:ind w:right="60"/>
              <w:spacing w:after="0"/>
              <w:rPr>
                <w:sz w:val="20"/>
                <w:szCs w:val="20"/>
                <w:color w:val="auto"/>
              </w:rPr>
            </w:pPr>
            <w:r>
              <w:rPr>
                <w:rFonts w:ascii="Arial" w:cs="Arial" w:eastAsia="Arial" w:hAnsi="Arial"/>
                <w:sz w:val="19"/>
                <w:szCs w:val="19"/>
                <w:color w:val="auto"/>
              </w:rPr>
              <w:t>(42 )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(101 )</w:t>
            </w:r>
          </w:p>
        </w:tc>
      </w:tr>
      <w:tr>
        <w:trPr>
          <w:trHeight w:val="270"/>
        </w:trPr>
        <w:tc>
          <w:tcPr>
            <w:tcW w:w="76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Expiration of the statute of limitations for the assessment of taxes</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10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(64 )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w:t>
            </w:r>
          </w:p>
        </w:tc>
      </w:tr>
      <w:tr>
        <w:trPr>
          <w:trHeight w:val="270"/>
        </w:trPr>
        <w:tc>
          <w:tcPr>
            <w:tcW w:w="7680" w:type="dxa"/>
            <w:vAlign w:val="bottom"/>
          </w:tcPr>
          <w:p>
            <w:pPr>
              <w:ind w:left="360"/>
              <w:spacing w:after="0"/>
              <w:rPr>
                <w:sz w:val="20"/>
                <w:szCs w:val="20"/>
                <w:color w:val="auto"/>
              </w:rPr>
            </w:pPr>
            <w:r>
              <w:rPr>
                <w:rFonts w:ascii="Arial" w:cs="Arial" w:eastAsia="Arial" w:hAnsi="Arial"/>
                <w:sz w:val="19"/>
                <w:szCs w:val="19"/>
                <w:color w:val="auto"/>
              </w:rPr>
              <w:t>Foreign currency translation</w:t>
            </w:r>
          </w:p>
        </w:tc>
        <w:tc>
          <w:tcPr>
            <w:tcW w:w="720" w:type="dxa"/>
            <w:vAlign w:val="bottom"/>
          </w:tcPr>
          <w:p>
            <w:pPr>
              <w:jc w:val="right"/>
              <w:ind w:right="45"/>
              <w:spacing w:after="0"/>
              <w:rPr>
                <w:sz w:val="20"/>
                <w:szCs w:val="20"/>
                <w:color w:val="auto"/>
              </w:rPr>
            </w:pPr>
            <w:r>
              <w:rPr>
                <w:rFonts w:ascii="Arial" w:cs="Arial" w:eastAsia="Arial" w:hAnsi="Arial"/>
                <w:sz w:val="19"/>
                <w:szCs w:val="19"/>
                <w:color w:val="auto"/>
              </w:rPr>
              <w:t>6</w:t>
            </w:r>
          </w:p>
        </w:tc>
        <w:tc>
          <w:tcPr>
            <w:tcW w:w="1000" w:type="dxa"/>
            <w:vAlign w:val="bottom"/>
            <w:gridSpan w:val="2"/>
          </w:tcPr>
          <w:p>
            <w:pPr>
              <w:jc w:val="right"/>
              <w:ind w:right="60"/>
              <w:spacing w:after="0"/>
              <w:rPr>
                <w:sz w:val="20"/>
                <w:szCs w:val="20"/>
                <w:color w:val="auto"/>
              </w:rPr>
            </w:pPr>
            <w:r>
              <w:rPr>
                <w:rFonts w:ascii="Arial" w:cs="Arial" w:eastAsia="Arial" w:hAnsi="Arial"/>
                <w:sz w:val="19"/>
                <w:szCs w:val="19"/>
                <w:color w:val="auto"/>
              </w:rPr>
              <w:t>(22 )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65"/>
              <w:spacing w:after="0"/>
              <w:rPr>
                <w:sz w:val="20"/>
                <w:szCs w:val="20"/>
                <w:color w:val="auto"/>
              </w:rPr>
            </w:pPr>
            <w:r>
              <w:rPr>
                <w:rFonts w:ascii="Arial" w:cs="Arial" w:eastAsia="Arial" w:hAnsi="Arial"/>
                <w:sz w:val="19"/>
                <w:szCs w:val="19"/>
                <w:color w:val="auto"/>
              </w:rPr>
              <w:t>22</w:t>
            </w:r>
          </w:p>
        </w:tc>
      </w:tr>
      <w:tr>
        <w:trPr>
          <w:trHeight w:val="34"/>
        </w:trPr>
        <w:tc>
          <w:tcPr>
            <w:tcW w:w="76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r>
      <w:tr>
        <w:trPr>
          <w:trHeight w:val="270"/>
        </w:trPr>
        <w:tc>
          <w:tcPr>
            <w:tcW w:w="7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end of year</w:t>
            </w:r>
          </w:p>
        </w:tc>
        <w:tc>
          <w:tcPr>
            <w:tcW w:w="72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$ 720</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$ 671</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666</w:t>
            </w:r>
          </w:p>
        </w:tc>
      </w:tr>
      <w:tr>
        <w:trPr>
          <w:trHeight w:val="20"/>
        </w:trPr>
        <w:tc>
          <w:tcPr>
            <w:tcW w:w="7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740" w:firstLine="357"/>
        <w:spacing w:after="0" w:line="253" w:lineRule="auto"/>
        <w:rPr>
          <w:sz w:val="20"/>
          <w:szCs w:val="20"/>
          <w:color w:val="auto"/>
        </w:rPr>
      </w:pPr>
      <w:r>
        <w:rPr>
          <w:rFonts w:ascii="Arial" w:cs="Arial" w:eastAsia="Arial" w:hAnsi="Arial"/>
          <w:sz w:val="19"/>
          <w:szCs w:val="19"/>
          <w:color w:val="auto"/>
        </w:rPr>
        <w:t>In many cases our uncertain tax positions are related to tax years that remain subject to examination by the relevant tax authorities. The following table summarizes these open tax years by major jurisdiction as of December 31, 2009: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6"/>
                <w:szCs w:val="16"/>
                <w:b w:val="1"/>
                <w:bCs w:val="1"/>
                <w:color w:val="auto"/>
                <w:w w:val="96"/>
              </w:rPr>
              <w:t>Open Tax Year</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68"/>
        </w:trPr>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jc w:val="center"/>
              <w:ind w:left="55"/>
              <w:spacing w:after="0" w:line="168" w:lineRule="exact"/>
              <w:rPr>
                <w:sz w:val="20"/>
                <w:szCs w:val="20"/>
                <w:color w:val="auto"/>
              </w:rPr>
            </w:pPr>
            <w:r>
              <w:rPr>
                <w:rFonts w:ascii="Arial" w:cs="Arial" w:eastAsia="Arial" w:hAnsi="Arial"/>
                <w:sz w:val="16"/>
                <w:szCs w:val="16"/>
                <w:b w:val="1"/>
                <w:bCs w:val="1"/>
                <w:color w:val="auto"/>
                <w:w w:val="98"/>
              </w:rPr>
              <w:t>Examination in</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3"/>
          </w:tcPr>
          <w:p>
            <w:pPr>
              <w:jc w:val="right"/>
              <w:ind w:right="183"/>
              <w:spacing w:after="0" w:line="168" w:lineRule="exact"/>
              <w:rPr>
                <w:sz w:val="20"/>
                <w:szCs w:val="20"/>
                <w:color w:val="auto"/>
              </w:rPr>
            </w:pPr>
            <w:r>
              <w:rPr>
                <w:rFonts w:ascii="Arial" w:cs="Arial" w:eastAsia="Arial" w:hAnsi="Arial"/>
                <w:sz w:val="16"/>
                <w:szCs w:val="16"/>
                <w:b w:val="1"/>
                <w:bCs w:val="1"/>
                <w:color w:val="auto"/>
              </w:rPr>
              <w:t>Examination not yet</w:t>
            </w:r>
          </w:p>
        </w:tc>
      </w:tr>
      <w:tr>
        <w:trPr>
          <w:trHeight w:val="204"/>
        </w:trPr>
        <w:tc>
          <w:tcPr>
            <w:tcW w:w="460" w:type="dxa"/>
            <w:vAlign w:val="bottom"/>
          </w:tcPr>
          <w:p>
            <w:pPr>
              <w:spacing w:after="0"/>
              <w:rPr>
                <w:sz w:val="17"/>
                <w:szCs w:val="17"/>
                <w:color w:val="auto"/>
              </w:rPr>
            </w:pPr>
          </w:p>
        </w:tc>
        <w:tc>
          <w:tcPr>
            <w:tcW w:w="6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Jurisdiction</w:t>
            </w:r>
          </w:p>
        </w:tc>
        <w:tc>
          <w:tcPr>
            <w:tcW w:w="300" w:type="dxa"/>
            <w:vAlign w:val="bottom"/>
          </w:tcPr>
          <w:p>
            <w:pPr>
              <w:spacing w:after="0"/>
              <w:rPr>
                <w:sz w:val="17"/>
                <w:szCs w:val="17"/>
                <w:color w:val="auto"/>
              </w:rPr>
            </w:pPr>
          </w:p>
        </w:tc>
        <w:tc>
          <w:tcPr>
            <w:tcW w:w="142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6"/>
                <w:szCs w:val="16"/>
                <w:b w:val="1"/>
                <w:bCs w:val="1"/>
                <w:color w:val="auto"/>
                <w:w w:val="99"/>
              </w:rPr>
              <w:t>progress</w:t>
            </w:r>
          </w:p>
        </w:tc>
        <w:tc>
          <w:tcPr>
            <w:tcW w:w="1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6"/>
                <w:szCs w:val="16"/>
                <w:b w:val="1"/>
                <w:bCs w:val="1"/>
                <w:color w:val="auto"/>
              </w:rPr>
              <w:t>initiated</w:t>
            </w:r>
          </w:p>
        </w:tc>
      </w:tr>
      <w:tr>
        <w:trPr>
          <w:trHeight w:val="264"/>
        </w:trPr>
        <w:tc>
          <w:tcPr>
            <w:tcW w:w="460" w:type="dxa"/>
            <w:vAlign w:val="bottom"/>
          </w:tcPr>
          <w:p>
            <w:pPr>
              <w:spacing w:after="0"/>
              <w:rPr>
                <w:sz w:val="22"/>
                <w:szCs w:val="22"/>
                <w:color w:val="auto"/>
              </w:rPr>
            </w:pPr>
          </w:p>
        </w:tc>
        <w:tc>
          <w:tcPr>
            <w:tcW w:w="6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United States(1)</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1998</w:t>
            </w:r>
          </w:p>
        </w:tc>
        <w:tc>
          <w:tcPr>
            <w:tcW w:w="3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2007</w:t>
            </w:r>
          </w:p>
        </w:tc>
        <w:tc>
          <w:tcPr>
            <w:tcW w:w="13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2005</w:t>
            </w:r>
          </w:p>
        </w:tc>
        <w:tc>
          <w:tcPr>
            <w:tcW w:w="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900" w:type="dxa"/>
            <w:vAlign w:val="bottom"/>
            <w:shd w:val="clear" w:color="auto" w:fill="E5FFFF"/>
          </w:tcPr>
          <w:p>
            <w:pPr>
              <w:jc w:val="right"/>
              <w:ind w:right="303"/>
              <w:spacing w:after="0"/>
              <w:rPr>
                <w:sz w:val="20"/>
                <w:szCs w:val="20"/>
                <w:color w:val="auto"/>
              </w:rPr>
            </w:pPr>
            <w:r>
              <w:rPr>
                <w:rFonts w:ascii="Arial" w:cs="Arial" w:eastAsia="Arial" w:hAnsi="Arial"/>
                <w:sz w:val="19"/>
                <w:szCs w:val="19"/>
                <w:color w:val="auto"/>
              </w:rPr>
              <w:t>2008</w:t>
            </w:r>
          </w:p>
        </w:tc>
      </w:tr>
      <w:tr>
        <w:trPr>
          <w:trHeight w:val="270"/>
        </w:trPr>
        <w:tc>
          <w:tcPr>
            <w:tcW w:w="460" w:type="dxa"/>
            <w:vAlign w:val="bottom"/>
          </w:tcPr>
          <w:p>
            <w:pPr>
              <w:spacing w:after="0"/>
              <w:rPr>
                <w:sz w:val="23"/>
                <w:szCs w:val="23"/>
                <w:color w:val="auto"/>
              </w:rPr>
            </w:pPr>
          </w:p>
        </w:tc>
        <w:tc>
          <w:tcPr>
            <w:tcW w:w="6280" w:type="dxa"/>
            <w:vAlign w:val="bottom"/>
            <w:gridSpan w:val="2"/>
          </w:tcPr>
          <w:p>
            <w:pPr>
              <w:ind w:left="20"/>
              <w:spacing w:after="0"/>
              <w:rPr>
                <w:sz w:val="20"/>
                <w:szCs w:val="20"/>
                <w:color w:val="auto"/>
              </w:rPr>
            </w:pPr>
            <w:r>
              <w:rPr>
                <w:rFonts w:ascii="Arial" w:cs="Arial" w:eastAsia="Arial" w:hAnsi="Arial"/>
                <w:sz w:val="19"/>
                <w:szCs w:val="19"/>
                <w:color w:val="auto"/>
              </w:rPr>
              <w:t>United Kingdom</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2002</w:t>
            </w:r>
          </w:p>
        </w:tc>
        <w:tc>
          <w:tcPr>
            <w:tcW w:w="36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9"/>
              </w:rPr>
              <w:t>2007</w:t>
            </w:r>
          </w:p>
        </w:tc>
        <w:tc>
          <w:tcPr>
            <w:tcW w:w="1340" w:type="dxa"/>
            <w:vAlign w:val="bottom"/>
            <w:gridSpan w:val="3"/>
          </w:tcPr>
          <w:p>
            <w:pPr>
              <w:jc w:val="right"/>
              <w:ind w:right="1"/>
              <w:spacing w:after="0"/>
              <w:rPr>
                <w:sz w:val="20"/>
                <w:szCs w:val="20"/>
                <w:color w:val="auto"/>
              </w:rPr>
            </w:pPr>
            <w:r>
              <w:rPr>
                <w:rFonts w:ascii="Arial" w:cs="Arial" w:eastAsia="Arial" w:hAnsi="Arial"/>
                <w:sz w:val="19"/>
                <w:szCs w:val="19"/>
                <w:color w:val="auto"/>
              </w:rPr>
              <w:t>2008</w:t>
            </w:r>
          </w:p>
        </w:tc>
        <w:tc>
          <w:tcPr>
            <w:tcW w:w="26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900" w:type="dxa"/>
            <w:vAlign w:val="bottom"/>
          </w:tcPr>
          <w:p>
            <w:pPr>
              <w:jc w:val="right"/>
              <w:ind w:right="303"/>
              <w:spacing w:after="0"/>
              <w:rPr>
                <w:sz w:val="20"/>
                <w:szCs w:val="20"/>
                <w:color w:val="auto"/>
              </w:rPr>
            </w:pPr>
            <w:r>
              <w:rPr>
                <w:rFonts w:ascii="Arial" w:cs="Arial" w:eastAsia="Arial" w:hAnsi="Arial"/>
                <w:sz w:val="19"/>
                <w:szCs w:val="19"/>
                <w:color w:val="auto"/>
              </w:rPr>
              <w:t>2009</w:t>
            </w:r>
          </w:p>
        </w:tc>
      </w:tr>
      <w:tr>
        <w:trPr>
          <w:trHeight w:val="270"/>
        </w:trPr>
        <w:tc>
          <w:tcPr>
            <w:tcW w:w="460" w:type="dxa"/>
            <w:vAlign w:val="bottom"/>
          </w:tcPr>
          <w:p>
            <w:pPr>
              <w:spacing w:after="0"/>
              <w:rPr>
                <w:sz w:val="23"/>
                <w:szCs w:val="23"/>
                <w:color w:val="auto"/>
              </w:rPr>
            </w:pPr>
          </w:p>
        </w:tc>
        <w:tc>
          <w:tcPr>
            <w:tcW w:w="6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Canada(1)</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2004</w:t>
            </w:r>
          </w:p>
        </w:tc>
        <w:tc>
          <w:tcPr>
            <w:tcW w:w="3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2008</w:t>
            </w:r>
          </w:p>
        </w:tc>
        <w:tc>
          <w:tcPr>
            <w:tcW w:w="2500" w:type="dxa"/>
            <w:vAlign w:val="bottom"/>
            <w:gridSpan w:val="5"/>
            <w:shd w:val="clear" w:color="auto" w:fill="E5FFFF"/>
          </w:tcPr>
          <w:p>
            <w:pPr>
              <w:jc w:val="center"/>
              <w:ind w:left="345"/>
              <w:spacing w:after="0"/>
              <w:rPr>
                <w:sz w:val="20"/>
                <w:szCs w:val="20"/>
                <w:color w:val="auto"/>
              </w:rPr>
            </w:pPr>
            <w:r>
              <w:rPr>
                <w:rFonts w:ascii="Arial" w:cs="Arial" w:eastAsia="Arial" w:hAnsi="Arial"/>
                <w:sz w:val="19"/>
                <w:szCs w:val="19"/>
                <w:color w:val="auto"/>
                <w:w w:val="99"/>
              </w:rPr>
              <w:t>2009</w:t>
            </w:r>
          </w:p>
        </w:tc>
      </w:tr>
      <w:tr>
        <w:trPr>
          <w:trHeight w:val="270"/>
        </w:trPr>
        <w:tc>
          <w:tcPr>
            <w:tcW w:w="460" w:type="dxa"/>
            <w:vAlign w:val="bottom"/>
          </w:tcPr>
          <w:p>
            <w:pPr>
              <w:spacing w:after="0"/>
              <w:rPr>
                <w:sz w:val="23"/>
                <w:szCs w:val="23"/>
                <w:color w:val="auto"/>
              </w:rPr>
            </w:pPr>
          </w:p>
        </w:tc>
        <w:tc>
          <w:tcPr>
            <w:tcW w:w="6280" w:type="dxa"/>
            <w:vAlign w:val="bottom"/>
            <w:gridSpan w:val="2"/>
          </w:tcPr>
          <w:p>
            <w:pPr>
              <w:ind w:left="20"/>
              <w:spacing w:after="0"/>
              <w:rPr>
                <w:sz w:val="20"/>
                <w:szCs w:val="20"/>
                <w:color w:val="auto"/>
              </w:rPr>
            </w:pPr>
            <w:r>
              <w:rPr>
                <w:rFonts w:ascii="Arial" w:cs="Arial" w:eastAsia="Arial" w:hAnsi="Arial"/>
                <w:sz w:val="19"/>
                <w:szCs w:val="19"/>
                <w:color w:val="auto"/>
              </w:rPr>
              <w:t>Germany(1)</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2004</w:t>
            </w:r>
          </w:p>
        </w:tc>
        <w:tc>
          <w:tcPr>
            <w:tcW w:w="36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9"/>
              </w:rPr>
              <w:t>2008</w:t>
            </w:r>
          </w:p>
        </w:tc>
        <w:tc>
          <w:tcPr>
            <w:tcW w:w="2500" w:type="dxa"/>
            <w:vAlign w:val="bottom"/>
            <w:gridSpan w:val="5"/>
          </w:tcPr>
          <w:p>
            <w:pPr>
              <w:jc w:val="center"/>
              <w:ind w:left="345"/>
              <w:spacing w:after="0"/>
              <w:rPr>
                <w:sz w:val="20"/>
                <w:szCs w:val="20"/>
                <w:color w:val="auto"/>
              </w:rPr>
            </w:pPr>
            <w:r>
              <w:rPr>
                <w:rFonts w:ascii="Arial" w:cs="Arial" w:eastAsia="Arial" w:hAnsi="Arial"/>
                <w:sz w:val="19"/>
                <w:szCs w:val="19"/>
                <w:color w:val="auto"/>
                <w:w w:val="99"/>
              </w:rPr>
              <w:t>2009</w:t>
            </w:r>
          </w:p>
        </w:tc>
      </w:tr>
      <w:tr>
        <w:trPr>
          <w:trHeight w:val="270"/>
        </w:trPr>
        <w:tc>
          <w:tcPr>
            <w:tcW w:w="460" w:type="dxa"/>
            <w:vAlign w:val="bottom"/>
          </w:tcPr>
          <w:p>
            <w:pPr>
              <w:spacing w:after="0"/>
              <w:rPr>
                <w:sz w:val="23"/>
                <w:szCs w:val="23"/>
                <w:color w:val="auto"/>
              </w:rPr>
            </w:pPr>
          </w:p>
        </w:tc>
        <w:tc>
          <w:tcPr>
            <w:tcW w:w="6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France</w:t>
            </w:r>
          </w:p>
        </w:tc>
        <w:tc>
          <w:tcPr>
            <w:tcW w:w="30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36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c>
          <w:tcPr>
            <w:tcW w:w="460" w:type="dxa"/>
            <w:vAlign w:val="bottom"/>
            <w:shd w:val="clear" w:color="auto" w:fill="E5FFFF"/>
          </w:tcPr>
          <w:p>
            <w:pPr>
              <w:spacing w:after="0"/>
              <w:rPr>
                <w:sz w:val="23"/>
                <w:szCs w:val="23"/>
                <w:color w:val="auto"/>
              </w:rPr>
            </w:pPr>
          </w:p>
        </w:tc>
        <w:tc>
          <w:tcPr>
            <w:tcW w:w="13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2000</w:t>
            </w:r>
          </w:p>
        </w:tc>
        <w:tc>
          <w:tcPr>
            <w:tcW w:w="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900" w:type="dxa"/>
            <w:vAlign w:val="bottom"/>
            <w:shd w:val="clear" w:color="auto" w:fill="E5FFFF"/>
          </w:tcPr>
          <w:p>
            <w:pPr>
              <w:jc w:val="right"/>
              <w:ind w:right="303"/>
              <w:spacing w:after="0"/>
              <w:rPr>
                <w:sz w:val="20"/>
                <w:szCs w:val="20"/>
                <w:color w:val="auto"/>
              </w:rPr>
            </w:pPr>
            <w:r>
              <w:rPr>
                <w:rFonts w:ascii="Arial" w:cs="Arial" w:eastAsia="Arial" w:hAnsi="Arial"/>
                <w:sz w:val="19"/>
                <w:szCs w:val="19"/>
                <w:color w:val="auto"/>
              </w:rPr>
              <w:t>2009</w:t>
            </w:r>
          </w:p>
        </w:tc>
      </w:tr>
      <w:tr>
        <w:trPr>
          <w:trHeight w:val="270"/>
        </w:trPr>
        <w:tc>
          <w:tcPr>
            <w:tcW w:w="460" w:type="dxa"/>
            <w:vAlign w:val="bottom"/>
          </w:tcPr>
          <w:p>
            <w:pPr>
              <w:spacing w:after="0"/>
              <w:rPr>
                <w:sz w:val="23"/>
                <w:szCs w:val="23"/>
                <w:color w:val="auto"/>
              </w:rPr>
            </w:pPr>
          </w:p>
        </w:tc>
        <w:tc>
          <w:tcPr>
            <w:tcW w:w="6280" w:type="dxa"/>
            <w:vAlign w:val="bottom"/>
            <w:gridSpan w:val="2"/>
          </w:tcPr>
          <w:p>
            <w:pPr>
              <w:ind w:left="20"/>
              <w:spacing w:after="0"/>
              <w:rPr>
                <w:sz w:val="20"/>
                <w:szCs w:val="20"/>
                <w:color w:val="auto"/>
              </w:rPr>
            </w:pPr>
            <w:r>
              <w:rPr>
                <w:rFonts w:ascii="Arial" w:cs="Arial" w:eastAsia="Arial" w:hAnsi="Arial"/>
                <w:sz w:val="19"/>
                <w:szCs w:val="19"/>
                <w:color w:val="auto"/>
              </w:rPr>
              <w:t>Netherlands</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Arial" w:cs="Arial" w:eastAsia="Arial" w:hAnsi="Arial"/>
                <w:sz w:val="19"/>
                <w:szCs w:val="19"/>
                <w:color w:val="auto"/>
              </w:rPr>
              <w:t>N/A</w:t>
            </w:r>
          </w:p>
        </w:tc>
        <w:tc>
          <w:tcPr>
            <w:tcW w:w="460" w:type="dxa"/>
            <w:vAlign w:val="bottom"/>
          </w:tcPr>
          <w:p>
            <w:pPr>
              <w:spacing w:after="0"/>
              <w:rPr>
                <w:sz w:val="23"/>
                <w:szCs w:val="23"/>
                <w:color w:val="auto"/>
              </w:rPr>
            </w:pPr>
          </w:p>
        </w:tc>
        <w:tc>
          <w:tcPr>
            <w:tcW w:w="1340" w:type="dxa"/>
            <w:vAlign w:val="bottom"/>
            <w:gridSpan w:val="3"/>
          </w:tcPr>
          <w:p>
            <w:pPr>
              <w:jc w:val="right"/>
              <w:ind w:right="1"/>
              <w:spacing w:after="0"/>
              <w:rPr>
                <w:sz w:val="20"/>
                <w:szCs w:val="20"/>
                <w:color w:val="auto"/>
              </w:rPr>
            </w:pPr>
            <w:r>
              <w:rPr>
                <w:rFonts w:ascii="Arial" w:cs="Arial" w:eastAsia="Arial" w:hAnsi="Arial"/>
                <w:sz w:val="19"/>
                <w:szCs w:val="19"/>
                <w:color w:val="auto"/>
              </w:rPr>
              <w:t>2007</w:t>
            </w:r>
          </w:p>
        </w:tc>
        <w:tc>
          <w:tcPr>
            <w:tcW w:w="26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900" w:type="dxa"/>
            <w:vAlign w:val="bottom"/>
          </w:tcPr>
          <w:p>
            <w:pPr>
              <w:jc w:val="right"/>
              <w:ind w:right="303"/>
              <w:spacing w:after="0"/>
              <w:rPr>
                <w:sz w:val="20"/>
                <w:szCs w:val="20"/>
                <w:color w:val="auto"/>
              </w:rPr>
            </w:pPr>
            <w:r>
              <w:rPr>
                <w:rFonts w:ascii="Arial" w:cs="Arial" w:eastAsia="Arial" w:hAnsi="Arial"/>
                <w:sz w:val="19"/>
                <w:szCs w:val="19"/>
                <w:color w:val="auto"/>
              </w:rPr>
              <w:t>2009</w:t>
            </w:r>
          </w:p>
        </w:tc>
      </w:tr>
      <w:tr>
        <w:trPr>
          <w:trHeight w:val="270"/>
        </w:trPr>
        <w:tc>
          <w:tcPr>
            <w:tcW w:w="460" w:type="dxa"/>
            <w:vAlign w:val="bottom"/>
          </w:tcPr>
          <w:p>
            <w:pPr>
              <w:spacing w:after="0"/>
              <w:rPr>
                <w:sz w:val="23"/>
                <w:szCs w:val="23"/>
                <w:color w:val="auto"/>
              </w:rPr>
            </w:pPr>
          </w:p>
        </w:tc>
        <w:tc>
          <w:tcPr>
            <w:tcW w:w="6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Australia</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2005</w:t>
            </w:r>
          </w:p>
        </w:tc>
        <w:tc>
          <w:tcPr>
            <w:tcW w:w="3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2007</w:t>
            </w:r>
          </w:p>
        </w:tc>
        <w:tc>
          <w:tcPr>
            <w:tcW w:w="13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2008</w:t>
            </w:r>
          </w:p>
        </w:tc>
        <w:tc>
          <w:tcPr>
            <w:tcW w:w="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900" w:type="dxa"/>
            <w:vAlign w:val="bottom"/>
            <w:shd w:val="clear" w:color="auto" w:fill="E5FFFF"/>
          </w:tcPr>
          <w:p>
            <w:pPr>
              <w:jc w:val="right"/>
              <w:ind w:right="303"/>
              <w:spacing w:after="0"/>
              <w:rPr>
                <w:sz w:val="20"/>
                <w:szCs w:val="20"/>
                <w:color w:val="auto"/>
              </w:rPr>
            </w:pPr>
            <w:r>
              <w:rPr>
                <w:rFonts w:ascii="Arial" w:cs="Arial" w:eastAsia="Arial" w:hAnsi="Arial"/>
                <w:sz w:val="19"/>
                <w:szCs w:val="19"/>
                <w:color w:val="auto"/>
              </w:rPr>
              <w:t>2009</w:t>
            </w:r>
          </w:p>
        </w:tc>
      </w:tr>
      <w:tr>
        <w:trPr>
          <w:trHeight w:val="270"/>
        </w:trPr>
        <w:tc>
          <w:tcPr>
            <w:tcW w:w="460" w:type="dxa"/>
            <w:vAlign w:val="bottom"/>
          </w:tcPr>
          <w:p>
            <w:pPr>
              <w:spacing w:after="0"/>
              <w:rPr>
                <w:sz w:val="23"/>
                <w:szCs w:val="23"/>
                <w:color w:val="auto"/>
              </w:rPr>
            </w:pPr>
          </w:p>
        </w:tc>
        <w:tc>
          <w:tcPr>
            <w:tcW w:w="6280" w:type="dxa"/>
            <w:vAlign w:val="bottom"/>
            <w:gridSpan w:val="2"/>
          </w:tcPr>
          <w:p>
            <w:pPr>
              <w:ind w:left="20"/>
              <w:spacing w:after="0"/>
              <w:rPr>
                <w:sz w:val="20"/>
                <w:szCs w:val="20"/>
                <w:color w:val="auto"/>
              </w:rPr>
            </w:pPr>
            <w:r>
              <w:rPr>
                <w:rFonts w:ascii="Arial" w:cs="Arial" w:eastAsia="Arial" w:hAnsi="Arial"/>
                <w:sz w:val="19"/>
                <w:szCs w:val="19"/>
                <w:color w:val="auto"/>
              </w:rPr>
              <w:t>China</w:t>
            </w:r>
          </w:p>
        </w:tc>
        <w:tc>
          <w:tcPr>
            <w:tcW w:w="300" w:type="dxa"/>
            <w:vAlign w:val="bottom"/>
          </w:tcPr>
          <w:p>
            <w:pPr>
              <w:spacing w:after="0"/>
              <w:rPr>
                <w:sz w:val="23"/>
                <w:szCs w:val="23"/>
                <w:color w:val="auto"/>
              </w:rPr>
            </w:pPr>
          </w:p>
        </w:tc>
        <w:tc>
          <w:tcPr>
            <w:tcW w:w="1420" w:type="dxa"/>
            <w:vAlign w:val="bottom"/>
            <w:gridSpan w:val="3"/>
          </w:tcPr>
          <w:p>
            <w:pPr>
              <w:jc w:val="center"/>
              <w:ind w:left="35"/>
              <w:spacing w:after="0"/>
              <w:rPr>
                <w:sz w:val="20"/>
                <w:szCs w:val="20"/>
                <w:color w:val="auto"/>
              </w:rPr>
            </w:pPr>
            <w:r>
              <w:rPr>
                <w:rFonts w:ascii="Arial" w:cs="Arial" w:eastAsia="Arial" w:hAnsi="Arial"/>
                <w:sz w:val="19"/>
                <w:szCs w:val="19"/>
                <w:color w:val="auto"/>
              </w:rPr>
              <w:t>2007–2008</w:t>
            </w:r>
          </w:p>
        </w:tc>
        <w:tc>
          <w:tcPr>
            <w:tcW w:w="2500" w:type="dxa"/>
            <w:vAlign w:val="bottom"/>
            <w:gridSpan w:val="5"/>
          </w:tcPr>
          <w:p>
            <w:pPr>
              <w:jc w:val="center"/>
              <w:ind w:left="345"/>
              <w:spacing w:after="0"/>
              <w:rPr>
                <w:sz w:val="20"/>
                <w:szCs w:val="20"/>
                <w:color w:val="auto"/>
              </w:rPr>
            </w:pPr>
            <w:r>
              <w:rPr>
                <w:rFonts w:ascii="Arial" w:cs="Arial" w:eastAsia="Arial" w:hAnsi="Arial"/>
                <w:sz w:val="19"/>
                <w:szCs w:val="19"/>
                <w:color w:val="auto"/>
                <w:w w:val="99"/>
              </w:rPr>
              <w:t>2009</w:t>
            </w:r>
          </w:p>
        </w:tc>
      </w:tr>
      <w:tr>
        <w:trPr>
          <w:trHeight w:val="270"/>
        </w:trPr>
        <w:tc>
          <w:tcPr>
            <w:tcW w:w="460" w:type="dxa"/>
            <w:vAlign w:val="bottom"/>
          </w:tcPr>
          <w:p>
            <w:pPr>
              <w:spacing w:after="0"/>
              <w:rPr>
                <w:sz w:val="23"/>
                <w:szCs w:val="23"/>
                <w:color w:val="auto"/>
              </w:rPr>
            </w:pPr>
          </w:p>
        </w:tc>
        <w:tc>
          <w:tcPr>
            <w:tcW w:w="6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India</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1999</w:t>
            </w:r>
          </w:p>
        </w:tc>
        <w:tc>
          <w:tcPr>
            <w:tcW w:w="3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2007</w:t>
            </w:r>
          </w:p>
        </w:tc>
        <w:tc>
          <w:tcPr>
            <w:tcW w:w="13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2008</w:t>
            </w:r>
          </w:p>
        </w:tc>
        <w:tc>
          <w:tcPr>
            <w:tcW w:w="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900" w:type="dxa"/>
            <w:vAlign w:val="bottom"/>
            <w:shd w:val="clear" w:color="auto" w:fill="E5FFFF"/>
          </w:tcPr>
          <w:p>
            <w:pPr>
              <w:jc w:val="right"/>
              <w:ind w:right="303"/>
              <w:spacing w:after="0"/>
              <w:rPr>
                <w:sz w:val="20"/>
                <w:szCs w:val="20"/>
                <w:color w:val="auto"/>
              </w:rPr>
            </w:pPr>
            <w:r>
              <w:rPr>
                <w:rFonts w:ascii="Arial" w:cs="Arial" w:eastAsia="Arial" w:hAnsi="Arial"/>
                <w:sz w:val="19"/>
                <w:szCs w:val="19"/>
                <w:color w:val="auto"/>
              </w:rPr>
              <w:t>2009</w:t>
            </w:r>
          </w:p>
        </w:tc>
      </w:tr>
      <w:tr>
        <w:trPr>
          <w:trHeight w:val="226"/>
        </w:trPr>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includes federal as well as state, provincial or similar local jurisdictions, as applicable</w:t>
      </w:r>
    </w:p>
    <w:p>
      <w:pPr>
        <w:spacing w:after="0" w:line="106"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Based on the outcome of these examinations, or as a result of the expiration of statute of limitations for specific jurisdictions, it is reasonably possible that the related unrecognized tax benefits for tax positions taken regarding previously filed tax returns will materially change from those recorded as liabilities for uncertain tax positions in our financial statements. In addition, the outcome of these examinations may impact the valuation of certain deferred tax assets (such as net operating losses) in future periods. Based on the number of tax years currently under audit by the relevant U.S federal, state and foreign tax authorities, the Company anticipates that several of these audits may be finalized in the foreseeable future. However, based on the status of these examinations, the protocol of finalizing audits by the relevant taxing authorities, and the possibility that the Company might challenge certain audit findings (which could include formal legal proceedings) at this time it is not possible to estimate the impact of any amount of such changes, if any, to previously recorded uncertain tax positions.</w:t>
      </w:r>
    </w:p>
    <w:p>
      <w:pPr>
        <w:spacing w:after="0" w:line="95" w:lineRule="exact"/>
        <w:rPr>
          <w:sz w:val="20"/>
          <w:szCs w:val="20"/>
          <w:color w:val="auto"/>
        </w:rPr>
      </w:pPr>
    </w:p>
    <w:p>
      <w:pPr>
        <w:ind w:right="160" w:firstLine="357"/>
        <w:spacing w:after="0"/>
        <w:rPr>
          <w:sz w:val="20"/>
          <w:szCs w:val="20"/>
          <w:color w:val="auto"/>
        </w:rPr>
      </w:pPr>
      <w:r>
        <w:rPr>
          <w:rFonts w:ascii="Arial" w:cs="Arial" w:eastAsia="Arial" w:hAnsi="Arial"/>
          <w:sz w:val="19"/>
          <w:szCs w:val="19"/>
          <w:color w:val="auto"/>
        </w:rPr>
        <w:t>Unrecognized tax benefits for the above listed examinations in progress were $261 million, $249 million and $199 million, as of December 31, 2009, 2008, and 2007, respectively. These increases are primarily due to an increase in tax examinations and fewer settlements during the year. Estimated interest and penalties related to the underpayment of income taxes are classified as a component of Tax Expense in the Consolidated Statement of Operations and totaled $13 million, $19 million and $20 million for the years ended December 31, 2009, 2008, and 2007 respectively. Accrued interest and penalties were $150 million, $137 million and $118 million, as of December 31, 2009, 2008, and 2007, respectively.</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6" w:right="299" w:bottom="1440" w:gutter="0" w:footer="0" w:header="0"/>
        </w:sectPr>
      </w:pPr>
    </w:p>
    <w:bookmarkStart w:id="73" w:name="page74"/>
    <w:bookmarkEnd w:id="7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7—Earnings (Loss) Per Share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the computations of basic and diluted earnings (loss) per share: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Basic</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2007</w:t>
            </w:r>
          </w:p>
        </w:tc>
      </w:tr>
      <w:tr>
        <w:trPr>
          <w:trHeight w:val="264"/>
        </w:trPr>
        <w:tc>
          <w:tcPr>
            <w:tcW w:w="6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 attributable to Honeywell</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2,153</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2,792</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2,444</w:t>
            </w:r>
          </w:p>
        </w:tc>
      </w:tr>
      <w:tr>
        <w:trPr>
          <w:trHeight w:val="270"/>
        </w:trPr>
        <w:tc>
          <w:tcPr>
            <w:tcW w:w="6020" w:type="dxa"/>
            <w:vAlign w:val="bottom"/>
          </w:tcPr>
          <w:p>
            <w:pPr>
              <w:ind w:left="20"/>
              <w:spacing w:after="0"/>
              <w:rPr>
                <w:sz w:val="20"/>
                <w:szCs w:val="20"/>
                <w:color w:val="auto"/>
              </w:rPr>
            </w:pPr>
            <w:r>
              <w:rPr>
                <w:rFonts w:ascii="Arial" w:cs="Arial" w:eastAsia="Arial" w:hAnsi="Arial"/>
                <w:sz w:val="19"/>
                <w:szCs w:val="19"/>
                <w:color w:val="auto"/>
              </w:rPr>
              <w:t>Weighted average number of common shares outstanding</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752,620,148</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736,763,174</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764,543,613</w:t>
            </w:r>
          </w:p>
        </w:tc>
      </w:tr>
      <w:tr>
        <w:trPr>
          <w:trHeight w:val="34"/>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share of common stock</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2.86</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3.79</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3.20</w:t>
            </w: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Assuming Dilution</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2007</w:t>
            </w:r>
          </w:p>
        </w:tc>
      </w:tr>
      <w:tr>
        <w:trPr>
          <w:trHeight w:val="264"/>
        </w:trPr>
        <w:tc>
          <w:tcPr>
            <w:tcW w:w="6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 attributable to Honeywell</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2,153</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2,792</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2,444</w:t>
            </w:r>
          </w:p>
        </w:tc>
      </w:tr>
      <w:tr>
        <w:trPr>
          <w:trHeight w:val="20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Average Shares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
        </w:trPr>
        <w:tc>
          <w:tcPr>
            <w:tcW w:w="6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6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Weighted average number of common shares outstanding</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752,620,148</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736,763,174</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764,543,613</w:t>
            </w:r>
          </w:p>
        </w:tc>
      </w:tr>
      <w:tr>
        <w:trPr>
          <w:trHeight w:val="270"/>
        </w:trPr>
        <w:tc>
          <w:tcPr>
            <w:tcW w:w="6020" w:type="dxa"/>
            <w:vAlign w:val="bottom"/>
          </w:tcPr>
          <w:p>
            <w:pPr>
              <w:ind w:left="20"/>
              <w:spacing w:after="0"/>
              <w:rPr>
                <w:sz w:val="20"/>
                <w:szCs w:val="20"/>
                <w:color w:val="auto"/>
              </w:rPr>
            </w:pPr>
            <w:r>
              <w:rPr>
                <w:rFonts w:ascii="Arial" w:cs="Arial" w:eastAsia="Arial" w:hAnsi="Arial"/>
                <w:sz w:val="19"/>
                <w:szCs w:val="19"/>
                <w:color w:val="auto"/>
              </w:rPr>
              <w:t>Dilutive securities issuable in connection with stock plans</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7"/>
              <w:spacing w:after="0"/>
              <w:rPr>
                <w:sz w:val="20"/>
                <w:szCs w:val="20"/>
                <w:color w:val="auto"/>
              </w:rPr>
            </w:pPr>
            <w:r>
              <w:rPr>
                <w:rFonts w:ascii="Arial" w:cs="Arial" w:eastAsia="Arial" w:hAnsi="Arial"/>
                <w:sz w:val="19"/>
                <w:szCs w:val="19"/>
                <w:color w:val="auto"/>
              </w:rPr>
              <w:t>3,100,413</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7"/>
              <w:spacing w:after="0"/>
              <w:rPr>
                <w:sz w:val="20"/>
                <w:szCs w:val="20"/>
                <w:color w:val="auto"/>
              </w:rPr>
            </w:pPr>
            <w:r>
              <w:rPr>
                <w:rFonts w:ascii="Arial" w:cs="Arial" w:eastAsia="Arial" w:hAnsi="Arial"/>
                <w:sz w:val="19"/>
                <w:szCs w:val="19"/>
                <w:color w:val="auto"/>
              </w:rPr>
              <w:t>6,767,253</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7"/>
              <w:spacing w:after="0"/>
              <w:rPr>
                <w:sz w:val="20"/>
                <w:szCs w:val="20"/>
                <w:color w:val="auto"/>
              </w:rPr>
            </w:pPr>
            <w:r>
              <w:rPr>
                <w:rFonts w:ascii="Arial" w:cs="Arial" w:eastAsia="Arial" w:hAnsi="Arial"/>
                <w:sz w:val="19"/>
                <w:szCs w:val="19"/>
                <w:color w:val="auto"/>
              </w:rPr>
              <w:t>9,683,868</w:t>
            </w:r>
          </w:p>
        </w:tc>
      </w:tr>
      <w:tr>
        <w:trPr>
          <w:trHeight w:val="270"/>
        </w:trPr>
        <w:tc>
          <w:tcPr>
            <w:tcW w:w="6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weighted average number of common shares outstanding</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126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755,720,561</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126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743,530,427</w:t>
            </w:r>
          </w:p>
        </w:tc>
        <w:tc>
          <w:tcPr>
            <w:tcW w:w="28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126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774,227,481</w:t>
            </w:r>
          </w:p>
        </w:tc>
      </w:tr>
      <w:tr>
        <w:trPr>
          <w:trHeight w:val="304"/>
        </w:trPr>
        <w:tc>
          <w:tcPr>
            <w:tcW w:w="6020" w:type="dxa"/>
            <w:vAlign w:val="bottom"/>
          </w:tcPr>
          <w:p>
            <w:pPr>
              <w:ind w:left="20"/>
              <w:spacing w:after="0"/>
              <w:rPr>
                <w:sz w:val="20"/>
                <w:szCs w:val="20"/>
                <w:color w:val="auto"/>
              </w:rPr>
            </w:pPr>
            <w:r>
              <w:rPr>
                <w:rFonts w:ascii="Arial" w:cs="Arial" w:eastAsia="Arial" w:hAnsi="Arial"/>
                <w:sz w:val="19"/>
                <w:szCs w:val="19"/>
                <w:color w:val="auto"/>
              </w:rPr>
              <w:t>Earnings (loss) per share of common stock</w:t>
            </w:r>
          </w:p>
        </w:tc>
        <w:tc>
          <w:tcPr>
            <w:tcW w:w="5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7"/>
              <w:spacing w:after="0"/>
              <w:rPr>
                <w:sz w:val="20"/>
                <w:szCs w:val="20"/>
                <w:color w:val="auto"/>
              </w:rPr>
            </w:pPr>
            <w:r>
              <w:rPr>
                <w:rFonts w:ascii="Arial" w:cs="Arial" w:eastAsia="Arial" w:hAnsi="Arial"/>
                <w:sz w:val="19"/>
                <w:szCs w:val="19"/>
                <w:color w:val="auto"/>
              </w:rPr>
              <w:t>2.85</w:t>
            </w:r>
          </w:p>
        </w:tc>
        <w:tc>
          <w:tcPr>
            <w:tcW w:w="5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7"/>
              <w:spacing w:after="0"/>
              <w:rPr>
                <w:sz w:val="20"/>
                <w:szCs w:val="20"/>
                <w:color w:val="auto"/>
              </w:rPr>
            </w:pPr>
            <w:r>
              <w:rPr>
                <w:rFonts w:ascii="Arial" w:cs="Arial" w:eastAsia="Arial" w:hAnsi="Arial"/>
                <w:sz w:val="19"/>
                <w:szCs w:val="19"/>
                <w:color w:val="auto"/>
              </w:rPr>
              <w:t>3.76</w:t>
            </w:r>
          </w:p>
        </w:tc>
        <w:tc>
          <w:tcPr>
            <w:tcW w:w="5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7"/>
              <w:spacing w:after="0"/>
              <w:rPr>
                <w:sz w:val="20"/>
                <w:szCs w:val="20"/>
                <w:color w:val="auto"/>
              </w:rPr>
            </w:pPr>
            <w:r>
              <w:rPr>
                <w:rFonts w:ascii="Arial" w:cs="Arial" w:eastAsia="Arial" w:hAnsi="Arial"/>
                <w:sz w:val="19"/>
                <w:szCs w:val="19"/>
                <w:color w:val="auto"/>
              </w:rPr>
              <w:t>3.16</w:t>
            </w: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The diluted earnings per share calculation excludes the effect of stock options when the options’ exercise prices exceed the average market price of the common shares during the period. In 2009, 2008 and 2007, the number of stock options not included in the computation were 33,962,053, 17,825,720 and 8,599,620, respectively. These stock options were outstanding at the end of each of the respective years.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8—Accounts, Notes and Other Receivables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2008</w:t>
            </w:r>
          </w:p>
        </w:tc>
      </w:tr>
      <w:tr>
        <w:trPr>
          <w:trHeight w:val="264"/>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Trade</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6,183</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5,893</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Other</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color w:val="auto"/>
              </w:rPr>
              <w:t>326</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422</w:t>
            </w:r>
          </w:p>
        </w:tc>
      </w:tr>
      <w:tr>
        <w:trPr>
          <w:trHeight w:val="34"/>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6,509</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6,315</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Less—Allowance for doubtful accounts</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(235 )</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(186 )</w:t>
            </w:r>
          </w:p>
        </w:tc>
      </w:tr>
      <w:tr>
        <w:trPr>
          <w:trHeight w:val="34"/>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28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6,274</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6,129</w:t>
            </w:r>
          </w:p>
        </w:tc>
      </w:tr>
      <w:tr>
        <w:trPr>
          <w:trHeight w:val="20"/>
        </w:trPr>
        <w:tc>
          <w:tcPr>
            <w:tcW w:w="8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200" w:firstLine="357"/>
        <w:spacing w:after="0" w:line="245" w:lineRule="auto"/>
        <w:rPr>
          <w:sz w:val="20"/>
          <w:szCs w:val="20"/>
          <w:color w:val="auto"/>
        </w:rPr>
      </w:pPr>
      <w:r>
        <w:rPr>
          <w:rFonts w:ascii="Arial" w:cs="Arial" w:eastAsia="Arial" w:hAnsi="Arial"/>
          <w:sz w:val="19"/>
          <w:szCs w:val="19"/>
          <w:color w:val="auto"/>
        </w:rPr>
        <w:t>Trade Accounts Receivable includes $1,167 and $1,195 million of unbilled balances under long-term contracts as of December 31, 2009 and 2008, respectively. These amounts are billed in accordance with the terms of the customer contracts to which they relate.</w:t>
      </w:r>
    </w:p>
    <w:p>
      <w:pPr>
        <w:spacing w:after="0" w:line="87" w:lineRule="exact"/>
        <w:rPr>
          <w:sz w:val="20"/>
          <w:szCs w:val="20"/>
          <w:color w:val="auto"/>
        </w:rPr>
      </w:pPr>
    </w:p>
    <w:p>
      <w:pPr>
        <w:ind w:right="100" w:firstLine="357"/>
        <w:spacing w:after="0" w:line="239" w:lineRule="auto"/>
        <w:rPr>
          <w:sz w:val="20"/>
          <w:szCs w:val="20"/>
          <w:color w:val="auto"/>
        </w:rPr>
      </w:pPr>
      <w:r>
        <w:rPr>
          <w:rFonts w:ascii="Arial" w:cs="Arial" w:eastAsia="Arial" w:hAnsi="Arial"/>
          <w:sz w:val="19"/>
          <w:szCs w:val="19"/>
          <w:color w:val="auto"/>
        </w:rPr>
        <w:t>We sell interests in designated pools of trade accounts receivables to third parties. The sold receivables ($500 million at December 31, 2008) were over-collateralized and we retained a subordinated interest in the pool of receivables representing that over-collateralization as well as an undivided interest in the balance of the receivables pools. The over-collateralization provides credit support to the purchasers of the receivable interest by limiting their losses in the event that a portion of the receivables sold becomes uncollectible. In April 2009, we modified the terms of the trade accounts receivable program to permit the repurchase of receivables from the third parties at our discretion. This modification provides additional flexibility in the management of the receivable portfolio and also requires the receivables in the program to remain on the Company balance sheet. As a result, $500 million of program receivables were reflected as Accounts, notes and other receivables with a corresponding amount recorded as Short-term borrowings in the Consolidated Balance Sheet. These short-term borrowings were repaid as of December 31, 2009. This modification also results 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1000"/>
        <w:spacing w:after="0" w:line="253" w:lineRule="auto"/>
        <w:rPr>
          <w:sz w:val="20"/>
          <w:szCs w:val="20"/>
          <w:color w:val="auto"/>
        </w:rPr>
      </w:pPr>
      <w:r>
        <w:rPr>
          <w:rFonts w:ascii="Arial" w:cs="Arial" w:eastAsia="Arial" w:hAnsi="Arial"/>
          <w:sz w:val="19"/>
          <w:szCs w:val="19"/>
          <w:color w:val="auto"/>
        </w:rPr>
        <w:t>program costs being recognized as Interest and other financial charges in the Consolidated Statement of Operations on a prospective basis.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9—Inventories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2008</w:t>
            </w:r>
          </w:p>
        </w:tc>
      </w:tr>
      <w:tr>
        <w:trPr>
          <w:trHeight w:val="264"/>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Raw materials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1,291</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1,644</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Work in process</w:t>
            </w:r>
          </w:p>
        </w:tc>
        <w:tc>
          <w:tcPr>
            <w:tcW w:w="240" w:type="dxa"/>
            <w:vAlign w:val="bottom"/>
          </w:tcPr>
          <w:p>
            <w:pPr>
              <w:spacing w:after="0"/>
              <w:rPr>
                <w:sz w:val="23"/>
                <w:szCs w:val="23"/>
                <w:color w:val="auto"/>
              </w:rPr>
            </w:pP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832</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65"/>
              <w:spacing w:after="0"/>
              <w:rPr>
                <w:sz w:val="20"/>
                <w:szCs w:val="20"/>
                <w:color w:val="auto"/>
              </w:rPr>
            </w:pPr>
            <w:r>
              <w:rPr>
                <w:rFonts w:ascii="Arial" w:cs="Arial" w:eastAsia="Arial" w:hAnsi="Arial"/>
                <w:sz w:val="19"/>
                <w:szCs w:val="19"/>
                <w:color w:val="auto"/>
              </w:rPr>
              <w:t>952</w:t>
            </w:r>
          </w:p>
        </w:tc>
      </w:tr>
      <w:tr>
        <w:trPr>
          <w:trHeight w:val="270"/>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Finished products</w:t>
            </w:r>
          </w:p>
        </w:tc>
        <w:tc>
          <w:tcPr>
            <w:tcW w:w="24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7"/>
              <w:spacing w:after="0"/>
              <w:rPr>
                <w:sz w:val="20"/>
                <w:szCs w:val="20"/>
                <w:color w:val="auto"/>
              </w:rPr>
            </w:pPr>
            <w:r>
              <w:rPr>
                <w:rFonts w:ascii="Arial" w:cs="Arial" w:eastAsia="Arial" w:hAnsi="Arial"/>
                <w:sz w:val="19"/>
                <w:szCs w:val="19"/>
                <w:color w:val="auto"/>
              </w:rPr>
              <w:t>1,484</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1,415</w:t>
            </w:r>
          </w:p>
        </w:tc>
      </w:tr>
      <w:tr>
        <w:trPr>
          <w:trHeight w:val="304"/>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3,607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65"/>
              <w:spacing w:after="0"/>
              <w:rPr>
                <w:sz w:val="20"/>
                <w:szCs w:val="20"/>
                <w:color w:val="auto"/>
              </w:rPr>
            </w:pPr>
            <w:r>
              <w:rPr>
                <w:rFonts w:ascii="Arial" w:cs="Arial" w:eastAsia="Arial" w:hAnsi="Arial"/>
                <w:sz w:val="19"/>
                <w:szCs w:val="19"/>
                <w:color w:val="auto"/>
              </w:rPr>
              <w:t>4,011</w:t>
            </w:r>
          </w:p>
        </w:tc>
      </w:tr>
      <w:tr>
        <w:trPr>
          <w:trHeight w:val="243"/>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w:t>
            </w:r>
          </w:p>
        </w:tc>
        <w:tc>
          <w:tcPr>
            <w:tcW w:w="2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Progress payments</w:t>
            </w:r>
          </w:p>
        </w:tc>
        <w:tc>
          <w:tcPr>
            <w:tcW w:w="240" w:type="dxa"/>
            <w:vAlign w:val="bottom"/>
          </w:tcPr>
          <w:p>
            <w:pPr>
              <w:spacing w:after="0"/>
              <w:rPr>
                <w:sz w:val="23"/>
                <w:szCs w:val="23"/>
                <w:color w:val="auto"/>
              </w:rPr>
            </w:pP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(3 )</w:t>
            </w:r>
          </w:p>
        </w:tc>
      </w:tr>
      <w:tr>
        <w:trPr>
          <w:trHeight w:val="270"/>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Reduction to LIFO cost basis</w:t>
            </w:r>
          </w:p>
        </w:tc>
        <w:tc>
          <w:tcPr>
            <w:tcW w:w="24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(161 )</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(160 )</w:t>
            </w:r>
          </w:p>
        </w:tc>
      </w:tr>
      <w:tr>
        <w:trPr>
          <w:trHeight w:val="304"/>
        </w:trPr>
        <w:tc>
          <w:tcPr>
            <w:tcW w:w="8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3,446</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65"/>
              <w:spacing w:after="0"/>
              <w:rPr>
                <w:sz w:val="20"/>
                <w:szCs w:val="20"/>
                <w:color w:val="auto"/>
              </w:rPr>
            </w:pPr>
            <w:r>
              <w:rPr>
                <w:rFonts w:ascii="Arial" w:cs="Arial" w:eastAsia="Arial" w:hAnsi="Arial"/>
                <w:sz w:val="19"/>
                <w:szCs w:val="19"/>
                <w:color w:val="auto"/>
              </w:rPr>
              <w:t>3,848</w:t>
            </w:r>
          </w:p>
        </w:tc>
      </w:tr>
      <w:tr>
        <w:trPr>
          <w:trHeight w:val="20"/>
        </w:trPr>
        <w:tc>
          <w:tcPr>
            <w:tcW w:w="8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340" w:firstLine="357"/>
        <w:spacing w:after="0" w:line="245" w:lineRule="auto"/>
        <w:rPr>
          <w:sz w:val="20"/>
          <w:szCs w:val="20"/>
          <w:color w:val="auto"/>
        </w:rPr>
      </w:pPr>
      <w:r>
        <w:rPr>
          <w:rFonts w:ascii="Arial" w:cs="Arial" w:eastAsia="Arial" w:hAnsi="Arial"/>
          <w:sz w:val="19"/>
          <w:szCs w:val="19"/>
          <w:color w:val="auto"/>
        </w:rPr>
        <w:t>Inventories valued at LIFO amounted to $ 211 and $269 million at December 31, 2009 and 2008, respectively. Had such LIFO inventories been valued at current costs, their carrying values would have been approximately $161 and $160 million higher at December 31, 2009 and 2008, respectively.</w:t>
      </w:r>
    </w:p>
    <w:p>
      <w:pPr>
        <w:spacing w:after="0" w:line="87" w:lineRule="exact"/>
        <w:rPr>
          <w:sz w:val="20"/>
          <w:szCs w:val="20"/>
          <w:color w:val="auto"/>
        </w:rPr>
      </w:pPr>
    </w:p>
    <w:p>
      <w:pPr>
        <w:ind w:right="360" w:firstLine="357"/>
        <w:spacing w:after="0" w:line="242" w:lineRule="auto"/>
        <w:rPr>
          <w:sz w:val="20"/>
          <w:szCs w:val="20"/>
          <w:color w:val="auto"/>
        </w:rPr>
      </w:pPr>
      <w:r>
        <w:rPr>
          <w:rFonts w:ascii="Arial" w:cs="Arial" w:eastAsia="Arial" w:hAnsi="Arial"/>
          <w:sz w:val="19"/>
          <w:szCs w:val="19"/>
          <w:color w:val="auto"/>
        </w:rPr>
        <w:t>During the year ended December 31, 2009, the quantity of inventory valued using the last-in, first-out (LIFO) method in our Specialty Materials segment declined. This reduction resulted in a liquidation of LIFO inventory quantities carried at lower costs prevailing in prior years as compared with the cost of 2009 purchases, the effect of which decreased cost of products sold by $12 million during the year ended December 31, 2009.</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10—Investments and Long-Term Receivables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8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6"/>
                <w:szCs w:val="16"/>
                <w:b w:val="1"/>
                <w:bCs w:val="1"/>
                <w:color w:val="auto"/>
                <w:w w:val="95"/>
              </w:rPr>
              <w:t>2009</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2008</w:t>
            </w:r>
          </w:p>
        </w:tc>
      </w:tr>
      <w:tr>
        <w:trPr>
          <w:trHeight w:val="264"/>
        </w:trPr>
        <w:tc>
          <w:tcPr>
            <w:tcW w:w="876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Investments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262</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27"/>
              <w:spacing w:after="0"/>
              <w:rPr>
                <w:sz w:val="20"/>
                <w:szCs w:val="20"/>
                <w:color w:val="auto"/>
              </w:rPr>
            </w:pPr>
            <w:r>
              <w:rPr>
                <w:rFonts w:ascii="Arial" w:cs="Arial" w:eastAsia="Arial" w:hAnsi="Arial"/>
                <w:sz w:val="19"/>
                <w:szCs w:val="19"/>
                <w:color w:val="auto"/>
              </w:rPr>
              <w:t>153</w:t>
            </w:r>
          </w:p>
        </w:tc>
      </w:tr>
      <w:tr>
        <w:trPr>
          <w:trHeight w:val="270"/>
        </w:trPr>
        <w:tc>
          <w:tcPr>
            <w:tcW w:w="8760" w:type="dxa"/>
            <w:vAlign w:val="bottom"/>
          </w:tcPr>
          <w:p>
            <w:pPr>
              <w:ind w:left="20"/>
              <w:spacing w:after="0"/>
              <w:rPr>
                <w:sz w:val="20"/>
                <w:szCs w:val="20"/>
                <w:color w:val="auto"/>
              </w:rPr>
            </w:pPr>
            <w:r>
              <w:rPr>
                <w:rFonts w:ascii="Arial" w:cs="Arial" w:eastAsia="Arial" w:hAnsi="Arial"/>
                <w:sz w:val="19"/>
                <w:szCs w:val="19"/>
                <w:color w:val="auto"/>
              </w:rPr>
              <w:t>Long-term trade and other receivables</w:t>
            </w: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175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27"/>
              <w:spacing w:after="0"/>
              <w:rPr>
                <w:sz w:val="20"/>
                <w:szCs w:val="20"/>
                <w:color w:val="auto"/>
              </w:rPr>
            </w:pPr>
            <w:r>
              <w:rPr>
                <w:rFonts w:ascii="Arial" w:cs="Arial" w:eastAsia="Arial" w:hAnsi="Arial"/>
                <w:sz w:val="19"/>
                <w:szCs w:val="19"/>
                <w:color w:val="auto"/>
              </w:rPr>
              <w:t>209</w:t>
            </w:r>
          </w:p>
        </w:tc>
      </w:tr>
      <w:tr>
        <w:trPr>
          <w:trHeight w:val="270"/>
        </w:trPr>
        <w:tc>
          <w:tcPr>
            <w:tcW w:w="876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Long-term financing receivables</w:t>
            </w:r>
          </w:p>
        </w:tc>
        <w:tc>
          <w:tcPr>
            <w:tcW w:w="160" w:type="dxa"/>
            <w:vAlign w:val="bottom"/>
            <w:tcBorders>
              <w:bottom w:val="single" w:sz="8" w:color="auto"/>
            </w:tcBorders>
            <w:shd w:val="clear" w:color="auto" w:fill="E5FFFF"/>
          </w:tcPr>
          <w:p>
            <w:pPr>
              <w:spacing w:after="0"/>
              <w:rPr>
                <w:sz w:val="23"/>
                <w:szCs w:val="23"/>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142</w:t>
            </w:r>
          </w:p>
        </w:tc>
        <w:tc>
          <w:tcPr>
            <w:tcW w:w="3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9"/>
                <w:szCs w:val="19"/>
                <w:color w:val="auto"/>
              </w:rPr>
              <w:t>308</w:t>
            </w:r>
          </w:p>
        </w:tc>
      </w:tr>
      <w:tr>
        <w:trPr>
          <w:trHeight w:val="304"/>
        </w:trPr>
        <w:tc>
          <w:tcPr>
            <w:tcW w:w="87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579</w:t>
            </w:r>
          </w:p>
        </w:tc>
        <w:tc>
          <w:tcPr>
            <w:tcW w:w="5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27"/>
              <w:spacing w:after="0"/>
              <w:rPr>
                <w:sz w:val="20"/>
                <w:szCs w:val="20"/>
                <w:color w:val="auto"/>
              </w:rPr>
            </w:pPr>
            <w:r>
              <w:rPr>
                <w:rFonts w:ascii="Arial" w:cs="Arial" w:eastAsia="Arial" w:hAnsi="Arial"/>
                <w:sz w:val="19"/>
                <w:szCs w:val="19"/>
                <w:color w:val="auto"/>
              </w:rPr>
              <w:t>670</w:t>
            </w:r>
          </w:p>
        </w:tc>
      </w:tr>
      <w:tr>
        <w:trPr>
          <w:trHeight w:val="20"/>
        </w:trPr>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right="480" w:firstLine="357"/>
        <w:spacing w:after="0" w:line="245" w:lineRule="auto"/>
        <w:rPr>
          <w:sz w:val="20"/>
          <w:szCs w:val="20"/>
          <w:color w:val="auto"/>
        </w:rPr>
      </w:pPr>
      <w:r>
        <w:rPr>
          <w:rFonts w:ascii="Arial" w:cs="Arial" w:eastAsia="Arial" w:hAnsi="Arial"/>
          <w:sz w:val="19"/>
          <w:szCs w:val="19"/>
          <w:color w:val="auto"/>
        </w:rPr>
        <w:t>Long-Term Trade and Other Receivables includes $27 and $36 million of unbilled balances under long-term contracts as of December 31, 2009 and 2008, respectively. These amounts are billed in accordance with the terms of the customer contracts to which they relate.</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11—Property, Plant and Equipment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2008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Land and improvements</w:t>
            </w:r>
          </w:p>
        </w:tc>
        <w:tc>
          <w:tcPr>
            <w:tcW w:w="3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513</w:t>
            </w: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475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Machinery and equipment</w:t>
            </w:r>
          </w:p>
        </w:tc>
        <w:tc>
          <w:tcPr>
            <w:tcW w:w="3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7"/>
              <w:spacing w:after="0"/>
              <w:rPr>
                <w:sz w:val="20"/>
                <w:szCs w:val="20"/>
                <w:color w:val="auto"/>
              </w:rPr>
            </w:pPr>
            <w:r>
              <w:rPr>
                <w:rFonts w:ascii="Arial" w:cs="Arial" w:eastAsia="Arial" w:hAnsi="Arial"/>
                <w:sz w:val="19"/>
                <w:szCs w:val="19"/>
                <w:color w:val="auto"/>
              </w:rPr>
              <w:t>9,982</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5"/>
              <w:spacing w:after="0"/>
              <w:rPr>
                <w:sz w:val="20"/>
                <w:szCs w:val="20"/>
                <w:color w:val="auto"/>
              </w:rPr>
            </w:pPr>
            <w:r>
              <w:rPr>
                <w:rFonts w:ascii="Arial" w:cs="Arial" w:eastAsia="Arial" w:hAnsi="Arial"/>
                <w:sz w:val="19"/>
                <w:szCs w:val="19"/>
                <w:color w:val="auto"/>
              </w:rPr>
              <w:t>10,075</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Buildings and improvements</w:t>
            </w:r>
          </w:p>
        </w:tc>
        <w:tc>
          <w:tcPr>
            <w:tcW w:w="3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2,621</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2,429</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Construction in progress</w:t>
            </w:r>
          </w:p>
        </w:tc>
        <w:tc>
          <w:tcPr>
            <w:tcW w:w="3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color w:val="auto"/>
              </w:rPr>
              <w:t>405</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407</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4740" w:type="dxa"/>
            <w:vAlign w:val="bottom"/>
            <w:shd w:val="clear" w:color="auto" w:fill="E5FFFF"/>
          </w:tcPr>
          <w:p>
            <w:pPr>
              <w:spacing w:after="0"/>
              <w:rPr>
                <w:sz w:val="23"/>
                <w:szCs w:val="23"/>
                <w:color w:val="auto"/>
              </w:rPr>
            </w:pPr>
          </w:p>
        </w:tc>
        <w:tc>
          <w:tcPr>
            <w:tcW w:w="3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13,521</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13,386</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Less—Accumulated depreciation and amortization</w:t>
            </w:r>
          </w:p>
        </w:tc>
        <w:tc>
          <w:tcPr>
            <w:tcW w:w="3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(8,674 )</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(8,452 )</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4740" w:type="dxa"/>
            <w:vAlign w:val="bottom"/>
            <w:shd w:val="clear" w:color="auto" w:fill="E5FFFF"/>
          </w:tcPr>
          <w:p>
            <w:pPr>
              <w:spacing w:after="0"/>
              <w:rPr>
                <w:sz w:val="23"/>
                <w:szCs w:val="23"/>
                <w:color w:val="auto"/>
              </w:rPr>
            </w:pPr>
          </w:p>
        </w:tc>
        <w:tc>
          <w:tcPr>
            <w:tcW w:w="35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4,847</w:t>
            </w: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4,934</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300" w:type="dxa"/>
            <w:vAlign w:val="bottom"/>
            <w:vMerge w:val="restart"/>
          </w:tcPr>
          <w:p>
            <w:pPr>
              <w:jc w:val="right"/>
              <w:ind w:right="2583"/>
              <w:spacing w:after="0"/>
              <w:rPr>
                <w:sz w:val="20"/>
                <w:szCs w:val="20"/>
                <w:color w:val="auto"/>
              </w:rPr>
            </w:pPr>
            <w:r>
              <w:rPr>
                <w:rFonts w:ascii="Arial" w:cs="Arial" w:eastAsia="Arial" w:hAnsi="Arial"/>
                <w:sz w:val="19"/>
                <w:szCs w:val="19"/>
                <w:color w:val="auto"/>
              </w:rPr>
              <w:t>71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Depreciation expense was $707, $702 and $675 million in 2009, 2008 and 2007,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12—Goodwill and Other Intangibles—Net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change in the carrying amount of goodwill for the years ended December 31, 2009 and 2008 by segment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105"/>
              <w:spacing w:after="0"/>
              <w:rPr>
                <w:sz w:val="20"/>
                <w:szCs w:val="20"/>
                <w:color w:val="auto"/>
              </w:rPr>
            </w:pPr>
            <w:r>
              <w:rPr>
                <w:rFonts w:ascii="Arial" w:cs="Arial" w:eastAsia="Arial" w:hAnsi="Arial"/>
                <w:sz w:val="16"/>
                <w:szCs w:val="16"/>
                <w:b w:val="1"/>
                <w:bCs w:val="1"/>
                <w:color w:val="auto"/>
              </w:rPr>
              <w:t>Currency</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6"/>
        </w:trPr>
        <w:tc>
          <w:tcPr>
            <w:tcW w:w="4200" w:type="dxa"/>
            <w:vAlign w:val="bottom"/>
          </w:tcPr>
          <w:p>
            <w:pPr>
              <w:spacing w:after="0"/>
              <w:rPr>
                <w:sz w:val="15"/>
                <w:szCs w:val="15"/>
                <w:color w:val="auto"/>
              </w:rPr>
            </w:pPr>
          </w:p>
        </w:tc>
        <w:tc>
          <w:tcPr>
            <w:tcW w:w="12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5"/>
              <w:spacing w:after="0" w:line="176" w:lineRule="exact"/>
              <w:rPr>
                <w:sz w:val="20"/>
                <w:szCs w:val="20"/>
                <w:color w:val="auto"/>
              </w:rPr>
            </w:pPr>
            <w:r>
              <w:rPr>
                <w:rFonts w:ascii="Arial" w:cs="Arial" w:eastAsia="Arial" w:hAnsi="Arial"/>
                <w:sz w:val="16"/>
                <w:szCs w:val="16"/>
                <w:b w:val="1"/>
                <w:bCs w:val="1"/>
                <w:color w:val="auto"/>
              </w:rPr>
              <w:t>Translation</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December 31,</w:t>
            </w:r>
          </w:p>
        </w:tc>
      </w:tr>
      <w:tr>
        <w:trPr>
          <w:trHeight w:val="204"/>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26"/>
              <w:spacing w:after="0"/>
              <w:rPr>
                <w:sz w:val="20"/>
                <w:szCs w:val="20"/>
                <w:color w:val="auto"/>
              </w:rPr>
            </w:pPr>
            <w:r>
              <w:rPr>
                <w:rFonts w:ascii="Arial" w:cs="Arial" w:eastAsia="Arial" w:hAnsi="Arial"/>
                <w:sz w:val="16"/>
                <w:szCs w:val="16"/>
                <w:b w:val="1"/>
                <w:bCs w:val="1"/>
                <w:color w:val="auto"/>
              </w:rPr>
              <w:t>2008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Acquisitions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Divestitures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Adjustment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46"/>
              <w:spacing w:after="0"/>
              <w:rPr>
                <w:sz w:val="20"/>
                <w:szCs w:val="20"/>
                <w:color w:val="auto"/>
              </w:rPr>
            </w:pPr>
            <w:r>
              <w:rPr>
                <w:rFonts w:ascii="Arial" w:cs="Arial" w:eastAsia="Arial" w:hAnsi="Arial"/>
                <w:sz w:val="16"/>
                <w:szCs w:val="16"/>
                <w:b w:val="1"/>
                <w:bCs w:val="1"/>
                <w:color w:val="auto"/>
              </w:rPr>
              <w:t>2009</w:t>
            </w:r>
          </w:p>
        </w:tc>
      </w:tr>
      <w:tr>
        <w:trPr>
          <w:trHeight w:val="264"/>
        </w:trPr>
        <w:tc>
          <w:tcPr>
            <w:tcW w:w="42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Aerospace</w:t>
            </w:r>
          </w:p>
        </w:tc>
        <w:tc>
          <w:tcPr>
            <w:tcW w:w="32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1,882</w:t>
            </w:r>
          </w:p>
        </w:tc>
        <w:tc>
          <w:tcPr>
            <w:tcW w:w="680" w:type="dxa"/>
            <w:vAlign w:val="bottom"/>
            <w:gridSpan w:val="4"/>
            <w:shd w:val="clear" w:color="auto" w:fill="E5FFFF"/>
          </w:tcPr>
          <w:p>
            <w:pPr>
              <w:jc w:val="right"/>
              <w:ind w:right="121"/>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w:t>
            </w:r>
          </w:p>
        </w:tc>
        <w:tc>
          <w:tcPr>
            <w:tcW w:w="720" w:type="dxa"/>
            <w:vAlign w:val="bottom"/>
            <w:gridSpan w:val="4"/>
            <w:shd w:val="clear" w:color="auto" w:fill="E5FFFF"/>
          </w:tcPr>
          <w:p>
            <w:pPr>
              <w:jc w:val="right"/>
              <w:ind w:right="161"/>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183"/>
              <w:spacing w:after="0"/>
              <w:rPr>
                <w:sz w:val="20"/>
                <w:szCs w:val="20"/>
                <w:color w:val="auto"/>
              </w:rPr>
            </w:pPr>
            <w:r>
              <w:rPr>
                <w:rFonts w:ascii="Arial" w:cs="Arial" w:eastAsia="Arial" w:hAnsi="Arial"/>
                <w:sz w:val="19"/>
                <w:szCs w:val="19"/>
                <w:color w:val="auto"/>
              </w:rPr>
              <w:t>—</w:t>
            </w:r>
          </w:p>
        </w:tc>
        <w:tc>
          <w:tcPr>
            <w:tcW w:w="500" w:type="dxa"/>
            <w:vAlign w:val="bottom"/>
            <w:gridSpan w:val="4"/>
            <w:shd w:val="clear" w:color="auto" w:fill="E5FFFF"/>
          </w:tcPr>
          <w:p>
            <w:pPr>
              <w:ind w:left="380"/>
              <w:spacing w:after="0"/>
              <w:rPr>
                <w:sz w:val="20"/>
                <w:szCs w:val="20"/>
                <w:color w:val="auto"/>
              </w:rPr>
            </w:pPr>
            <w:r>
              <w:rPr>
                <w:rFonts w:ascii="Arial" w:cs="Arial" w:eastAsia="Arial" w:hAnsi="Arial"/>
                <w:sz w:val="19"/>
                <w:szCs w:val="19"/>
                <w:color w:val="auto"/>
                <w:w w:val="94"/>
              </w:rPr>
              <w:t>$</w:t>
            </w:r>
          </w:p>
        </w:tc>
        <w:tc>
          <w:tcPr>
            <w:tcW w:w="8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9</w:t>
            </w:r>
          </w:p>
        </w:tc>
        <w:tc>
          <w:tcPr>
            <w:tcW w:w="660" w:type="dxa"/>
            <w:vAlign w:val="bottom"/>
            <w:gridSpan w:val="4"/>
            <w:shd w:val="clear" w:color="auto" w:fill="E5FFFF"/>
          </w:tcPr>
          <w:p>
            <w:pPr>
              <w:jc w:val="right"/>
              <w:ind w:right="101"/>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1,891</w:t>
            </w:r>
          </w:p>
        </w:tc>
      </w:tr>
      <w:tr>
        <w:trPr>
          <w:trHeight w:val="270"/>
        </w:trPr>
        <w:tc>
          <w:tcPr>
            <w:tcW w:w="4200" w:type="dxa"/>
            <w:vAlign w:val="bottom"/>
          </w:tcPr>
          <w:p>
            <w:pPr>
              <w:ind w:left="20"/>
              <w:spacing w:after="0"/>
              <w:rPr>
                <w:sz w:val="20"/>
                <w:szCs w:val="20"/>
                <w:color w:val="auto"/>
              </w:rPr>
            </w:pPr>
            <w:r>
              <w:rPr>
                <w:rFonts w:ascii="Arial" w:cs="Arial" w:eastAsia="Arial" w:hAnsi="Arial"/>
                <w:sz w:val="19"/>
                <w:szCs w:val="19"/>
                <w:color w:val="auto"/>
              </w:rPr>
              <w:t>Automation and Control Solutions</w:t>
            </w:r>
          </w:p>
        </w:tc>
        <w:tc>
          <w:tcPr>
            <w:tcW w:w="32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9"/>
                <w:szCs w:val="19"/>
                <w:color w:val="auto"/>
              </w:rPr>
              <w:t>6,638</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9"/>
                <w:szCs w:val="19"/>
                <w:color w:val="auto"/>
              </w:rPr>
              <w:t>253</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9"/>
                <w:szCs w:val="19"/>
                <w:color w:val="auto"/>
              </w:rPr>
              <w:t>(1 )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85"/>
              <w:spacing w:after="0"/>
              <w:rPr>
                <w:sz w:val="20"/>
                <w:szCs w:val="20"/>
                <w:color w:val="auto"/>
              </w:rPr>
            </w:pPr>
            <w:r>
              <w:rPr>
                <w:rFonts w:ascii="Arial" w:cs="Arial" w:eastAsia="Arial" w:hAnsi="Arial"/>
                <w:sz w:val="19"/>
                <w:szCs w:val="19"/>
                <w:color w:val="auto"/>
              </w:rPr>
              <w:t>28</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6"/>
              <w:spacing w:after="0"/>
              <w:rPr>
                <w:sz w:val="20"/>
                <w:szCs w:val="20"/>
                <w:color w:val="auto"/>
              </w:rPr>
            </w:pPr>
            <w:r>
              <w:rPr>
                <w:rFonts w:ascii="Arial" w:cs="Arial" w:eastAsia="Arial" w:hAnsi="Arial"/>
                <w:sz w:val="19"/>
                <w:szCs w:val="19"/>
                <w:color w:val="auto"/>
              </w:rPr>
              <w:t>6,918</w:t>
            </w:r>
          </w:p>
        </w:tc>
      </w:tr>
      <w:tr>
        <w:trPr>
          <w:trHeight w:val="270"/>
        </w:trPr>
        <w:tc>
          <w:tcPr>
            <w:tcW w:w="42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Specialty Materials</w:t>
            </w: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1,151</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10</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3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83"/>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3</w:t>
            </w:r>
          </w:p>
        </w:tc>
        <w:tc>
          <w:tcPr>
            <w:tcW w:w="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1,164</w:t>
            </w:r>
          </w:p>
        </w:tc>
      </w:tr>
      <w:tr>
        <w:trPr>
          <w:trHeight w:val="270"/>
        </w:trPr>
        <w:tc>
          <w:tcPr>
            <w:tcW w:w="4200" w:type="dxa"/>
            <w:vAlign w:val="bottom"/>
          </w:tcPr>
          <w:p>
            <w:pPr>
              <w:ind w:left="20"/>
              <w:spacing w:after="0"/>
              <w:rPr>
                <w:sz w:val="20"/>
                <w:szCs w:val="20"/>
                <w:color w:val="auto"/>
              </w:rPr>
            </w:pPr>
            <w:r>
              <w:rPr>
                <w:rFonts w:ascii="Arial" w:cs="Arial" w:eastAsia="Arial" w:hAnsi="Arial"/>
                <w:sz w:val="19"/>
                <w:szCs w:val="19"/>
                <w:color w:val="auto"/>
              </w:rPr>
              <w:t>Transportation Systems</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514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7</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521</w:t>
            </w:r>
          </w:p>
        </w:tc>
      </w:tr>
      <w:tr>
        <w:trPr>
          <w:trHeight w:val="34"/>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00" w:type="dxa"/>
            <w:vAlign w:val="bottom"/>
            <w:shd w:val="clear" w:color="auto" w:fill="E5FFFF"/>
          </w:tcPr>
          <w:p>
            <w:pPr>
              <w:spacing w:after="0"/>
              <w:rPr>
                <w:sz w:val="23"/>
                <w:szCs w:val="23"/>
                <w:color w:val="auto"/>
              </w:rPr>
            </w:pPr>
          </w:p>
        </w:tc>
        <w:tc>
          <w:tcPr>
            <w:tcW w:w="32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10,185</w:t>
            </w:r>
          </w:p>
        </w:tc>
        <w:tc>
          <w:tcPr>
            <w:tcW w:w="680" w:type="dxa"/>
            <w:vAlign w:val="bottom"/>
            <w:gridSpan w:val="4"/>
            <w:shd w:val="clear" w:color="auto" w:fill="E5FFFF"/>
          </w:tcPr>
          <w:p>
            <w:pPr>
              <w:jc w:val="right"/>
              <w:ind w:right="121"/>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263</w:t>
            </w:r>
          </w:p>
        </w:tc>
        <w:tc>
          <w:tcPr>
            <w:tcW w:w="720" w:type="dxa"/>
            <w:vAlign w:val="bottom"/>
            <w:gridSpan w:val="4"/>
            <w:shd w:val="clear" w:color="auto" w:fill="E5FFFF"/>
          </w:tcPr>
          <w:p>
            <w:pPr>
              <w:jc w:val="right"/>
              <w:ind w:right="161"/>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(1 )</w:t>
            </w:r>
          </w:p>
        </w:tc>
        <w:tc>
          <w:tcPr>
            <w:tcW w:w="500" w:type="dxa"/>
            <w:vAlign w:val="bottom"/>
            <w:gridSpan w:val="4"/>
            <w:shd w:val="clear" w:color="auto" w:fill="E5FFFF"/>
          </w:tcPr>
          <w:p>
            <w:pPr>
              <w:ind w:left="380"/>
              <w:spacing w:after="0"/>
              <w:rPr>
                <w:sz w:val="20"/>
                <w:szCs w:val="20"/>
                <w:color w:val="auto"/>
              </w:rPr>
            </w:pPr>
            <w:r>
              <w:rPr>
                <w:rFonts w:ascii="Arial" w:cs="Arial" w:eastAsia="Arial" w:hAnsi="Arial"/>
                <w:sz w:val="19"/>
                <w:szCs w:val="19"/>
                <w:color w:val="auto"/>
                <w:w w:val="94"/>
              </w:rPr>
              <w:t>$</w:t>
            </w:r>
          </w:p>
        </w:tc>
        <w:tc>
          <w:tcPr>
            <w:tcW w:w="8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47</w:t>
            </w:r>
          </w:p>
        </w:tc>
        <w:tc>
          <w:tcPr>
            <w:tcW w:w="660" w:type="dxa"/>
            <w:vAlign w:val="bottom"/>
            <w:gridSpan w:val="4"/>
            <w:shd w:val="clear" w:color="auto" w:fill="E5FFFF"/>
          </w:tcPr>
          <w:p>
            <w:pPr>
              <w:jc w:val="right"/>
              <w:ind w:right="101"/>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10,494</w:t>
            </w:r>
          </w:p>
        </w:tc>
      </w:tr>
      <w:tr>
        <w:trPr>
          <w:trHeight w:val="20"/>
        </w:trPr>
        <w:tc>
          <w:tcPr>
            <w:tcW w:w="4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center"/>
              <w:ind w:right="45"/>
              <w:spacing w:after="0"/>
              <w:rPr>
                <w:sz w:val="20"/>
                <w:szCs w:val="20"/>
                <w:color w:val="auto"/>
              </w:rPr>
            </w:pPr>
            <w:r>
              <w:rPr>
                <w:rFonts w:ascii="Arial" w:cs="Arial" w:eastAsia="Arial" w:hAnsi="Arial"/>
                <w:sz w:val="16"/>
                <w:szCs w:val="16"/>
                <w:b w:val="1"/>
                <w:bCs w:val="1"/>
                <w:color w:val="auto"/>
                <w:w w:val="99"/>
              </w:rPr>
              <w:t>Currency</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76"/>
        </w:trPr>
        <w:tc>
          <w:tcPr>
            <w:tcW w:w="4200" w:type="dxa"/>
            <w:vAlign w:val="bottom"/>
          </w:tcPr>
          <w:p>
            <w:pPr>
              <w:spacing w:after="0"/>
              <w:rPr>
                <w:sz w:val="15"/>
                <w:szCs w:val="15"/>
                <w:color w:val="auto"/>
              </w:rPr>
            </w:pPr>
          </w:p>
        </w:tc>
        <w:tc>
          <w:tcPr>
            <w:tcW w:w="12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Translation</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December 31,</w:t>
            </w:r>
          </w:p>
        </w:tc>
      </w:tr>
      <w:tr>
        <w:trPr>
          <w:trHeight w:val="204"/>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6"/>
              <w:spacing w:after="0"/>
              <w:rPr>
                <w:sz w:val="20"/>
                <w:szCs w:val="20"/>
                <w:color w:val="auto"/>
              </w:rPr>
            </w:pPr>
            <w:r>
              <w:rPr>
                <w:rFonts w:ascii="Arial" w:cs="Arial" w:eastAsia="Arial" w:hAnsi="Arial"/>
                <w:sz w:val="16"/>
                <w:szCs w:val="16"/>
                <w:b w:val="1"/>
                <w:bCs w:val="1"/>
                <w:color w:val="auto"/>
              </w:rPr>
              <w:t>2007</w:t>
            </w: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Acquisitions</w:t>
            </w:r>
          </w:p>
        </w:tc>
        <w:tc>
          <w:tcPr>
            <w:tcW w:w="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Divestitures</w:t>
            </w:r>
          </w:p>
        </w:tc>
        <w:tc>
          <w:tcPr>
            <w:tcW w:w="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Adjustment</w:t>
            </w:r>
          </w:p>
        </w:tc>
        <w:tc>
          <w:tcPr>
            <w:tcW w:w="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26"/>
              <w:spacing w:after="0"/>
              <w:rPr>
                <w:sz w:val="20"/>
                <w:szCs w:val="20"/>
                <w:color w:val="auto"/>
              </w:rPr>
            </w:pPr>
            <w:r>
              <w:rPr>
                <w:rFonts w:ascii="Arial" w:cs="Arial" w:eastAsia="Arial" w:hAnsi="Arial"/>
                <w:sz w:val="16"/>
                <w:szCs w:val="16"/>
                <w:b w:val="1"/>
                <w:bCs w:val="1"/>
                <w:color w:val="auto"/>
                <w:w w:val="95"/>
              </w:rPr>
              <w:t>2008</w:t>
            </w:r>
          </w:p>
        </w:tc>
      </w:tr>
      <w:tr>
        <w:trPr>
          <w:trHeight w:val="264"/>
        </w:trPr>
        <w:tc>
          <w:tcPr>
            <w:tcW w:w="42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Aerospace</w:t>
            </w:r>
          </w:p>
        </w:tc>
        <w:tc>
          <w:tcPr>
            <w:tcW w:w="32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1,939</w:t>
            </w:r>
          </w:p>
        </w:tc>
        <w:tc>
          <w:tcPr>
            <w:tcW w:w="680" w:type="dxa"/>
            <w:vAlign w:val="bottom"/>
            <w:gridSpan w:val="4"/>
            <w:shd w:val="clear" w:color="auto" w:fill="E5FFFF"/>
          </w:tcPr>
          <w:p>
            <w:pPr>
              <w:jc w:val="right"/>
              <w:ind w:right="121"/>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60</w:t>
            </w:r>
          </w:p>
        </w:tc>
        <w:tc>
          <w:tcPr>
            <w:tcW w:w="720" w:type="dxa"/>
            <w:vAlign w:val="bottom"/>
            <w:gridSpan w:val="4"/>
            <w:shd w:val="clear" w:color="auto" w:fill="E5FFFF"/>
          </w:tcPr>
          <w:p>
            <w:pPr>
              <w:ind w:left="40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(72 )</w:t>
            </w:r>
          </w:p>
        </w:tc>
        <w:tc>
          <w:tcPr>
            <w:tcW w:w="500" w:type="dxa"/>
            <w:vAlign w:val="bottom"/>
            <w:gridSpan w:val="4"/>
            <w:shd w:val="clear" w:color="auto" w:fill="E5FFFF"/>
          </w:tcPr>
          <w:p>
            <w:pPr>
              <w:ind w:left="380"/>
              <w:spacing w:after="0"/>
              <w:rPr>
                <w:sz w:val="20"/>
                <w:szCs w:val="20"/>
                <w:color w:val="auto"/>
              </w:rPr>
            </w:pPr>
            <w:r>
              <w:rPr>
                <w:rFonts w:ascii="Arial" w:cs="Arial" w:eastAsia="Arial" w:hAnsi="Arial"/>
                <w:sz w:val="19"/>
                <w:szCs w:val="19"/>
                <w:color w:val="auto"/>
                <w:w w:val="94"/>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(45 )</w:t>
            </w:r>
          </w:p>
        </w:tc>
        <w:tc>
          <w:tcPr>
            <w:tcW w:w="660" w:type="dxa"/>
            <w:vAlign w:val="bottom"/>
            <w:gridSpan w:val="4"/>
            <w:shd w:val="clear" w:color="auto" w:fill="E5FFFF"/>
          </w:tcPr>
          <w:p>
            <w:pPr>
              <w:jc w:val="right"/>
              <w:ind w:right="81"/>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1,882</w:t>
            </w:r>
          </w:p>
        </w:tc>
      </w:tr>
      <w:tr>
        <w:trPr>
          <w:trHeight w:val="270"/>
        </w:trPr>
        <w:tc>
          <w:tcPr>
            <w:tcW w:w="4200" w:type="dxa"/>
            <w:vAlign w:val="bottom"/>
          </w:tcPr>
          <w:p>
            <w:pPr>
              <w:ind w:left="20"/>
              <w:spacing w:after="0"/>
              <w:rPr>
                <w:sz w:val="20"/>
                <w:szCs w:val="20"/>
                <w:color w:val="auto"/>
              </w:rPr>
            </w:pPr>
            <w:r>
              <w:rPr>
                <w:rFonts w:ascii="Arial" w:cs="Arial" w:eastAsia="Arial" w:hAnsi="Arial"/>
                <w:sz w:val="19"/>
                <w:szCs w:val="19"/>
                <w:color w:val="auto"/>
              </w:rPr>
              <w:t>Automation and Control Solutions</w:t>
            </w:r>
          </w:p>
        </w:tc>
        <w:tc>
          <w:tcPr>
            <w:tcW w:w="32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9"/>
                <w:szCs w:val="19"/>
                <w:color w:val="auto"/>
              </w:rPr>
              <w:t>5,529</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19"/>
                <w:szCs w:val="19"/>
                <w:color w:val="auto"/>
              </w:rPr>
              <w:t>1,149</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(40 )</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6"/>
              <w:spacing w:after="0"/>
              <w:rPr>
                <w:sz w:val="20"/>
                <w:szCs w:val="20"/>
                <w:color w:val="auto"/>
              </w:rPr>
            </w:pPr>
            <w:r>
              <w:rPr>
                <w:rFonts w:ascii="Arial" w:cs="Arial" w:eastAsia="Arial" w:hAnsi="Arial"/>
                <w:sz w:val="19"/>
                <w:szCs w:val="19"/>
                <w:color w:val="auto"/>
              </w:rPr>
              <w:t>6,638</w:t>
            </w:r>
          </w:p>
        </w:tc>
      </w:tr>
      <w:tr>
        <w:trPr>
          <w:trHeight w:val="270"/>
        </w:trPr>
        <w:tc>
          <w:tcPr>
            <w:tcW w:w="42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Specialty Materials</w:t>
            </w: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1,156</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3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(5 )</w:t>
            </w:r>
          </w:p>
        </w:tc>
        <w:tc>
          <w:tcPr>
            <w:tcW w:w="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1,151</w:t>
            </w:r>
          </w:p>
        </w:tc>
      </w:tr>
      <w:tr>
        <w:trPr>
          <w:trHeight w:val="270"/>
        </w:trPr>
        <w:tc>
          <w:tcPr>
            <w:tcW w:w="4200" w:type="dxa"/>
            <w:vAlign w:val="bottom"/>
          </w:tcPr>
          <w:p>
            <w:pPr>
              <w:ind w:left="20"/>
              <w:spacing w:after="0"/>
              <w:rPr>
                <w:sz w:val="20"/>
                <w:szCs w:val="20"/>
                <w:color w:val="auto"/>
              </w:rPr>
            </w:pPr>
            <w:r>
              <w:rPr>
                <w:rFonts w:ascii="Arial" w:cs="Arial" w:eastAsia="Arial" w:hAnsi="Arial"/>
                <w:sz w:val="19"/>
                <w:szCs w:val="19"/>
                <w:color w:val="auto"/>
              </w:rPr>
              <w:t>Transportation Systems</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551</w:t>
            </w:r>
          </w:p>
        </w:tc>
        <w:tc>
          <w:tcPr>
            <w:tcW w:w="2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(37 )</w:t>
            </w:r>
          </w:p>
        </w:tc>
        <w:tc>
          <w:tcPr>
            <w:tcW w:w="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514</w:t>
            </w:r>
          </w:p>
        </w:tc>
      </w:tr>
      <w:tr>
        <w:trPr>
          <w:trHeight w:val="34"/>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00" w:type="dxa"/>
            <w:vAlign w:val="bottom"/>
            <w:shd w:val="clear" w:color="auto" w:fill="E5FFFF"/>
          </w:tcPr>
          <w:p>
            <w:pPr>
              <w:spacing w:after="0"/>
              <w:rPr>
                <w:sz w:val="23"/>
                <w:szCs w:val="23"/>
                <w:color w:val="auto"/>
              </w:rPr>
            </w:pPr>
          </w:p>
        </w:tc>
        <w:tc>
          <w:tcPr>
            <w:tcW w:w="32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9,175</w:t>
            </w:r>
          </w:p>
        </w:tc>
        <w:tc>
          <w:tcPr>
            <w:tcW w:w="680" w:type="dxa"/>
            <w:vAlign w:val="bottom"/>
            <w:gridSpan w:val="4"/>
            <w:shd w:val="clear" w:color="auto" w:fill="E5FFFF"/>
          </w:tcPr>
          <w:p>
            <w:pPr>
              <w:jc w:val="right"/>
              <w:ind w:right="121"/>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1,209</w:t>
            </w:r>
          </w:p>
        </w:tc>
        <w:tc>
          <w:tcPr>
            <w:tcW w:w="720" w:type="dxa"/>
            <w:vAlign w:val="bottom"/>
            <w:gridSpan w:val="4"/>
            <w:shd w:val="clear" w:color="auto" w:fill="E5FFFF"/>
          </w:tcPr>
          <w:p>
            <w:pPr>
              <w:ind w:left="40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(72 )</w:t>
            </w:r>
          </w:p>
        </w:tc>
        <w:tc>
          <w:tcPr>
            <w:tcW w:w="500" w:type="dxa"/>
            <w:vAlign w:val="bottom"/>
            <w:gridSpan w:val="4"/>
            <w:shd w:val="clear" w:color="auto" w:fill="E5FFFF"/>
          </w:tcPr>
          <w:p>
            <w:pPr>
              <w:ind w:left="380"/>
              <w:spacing w:after="0"/>
              <w:rPr>
                <w:sz w:val="20"/>
                <w:szCs w:val="20"/>
                <w:color w:val="auto"/>
              </w:rPr>
            </w:pPr>
            <w:r>
              <w:rPr>
                <w:rFonts w:ascii="Arial" w:cs="Arial" w:eastAsia="Arial" w:hAnsi="Arial"/>
                <w:sz w:val="19"/>
                <w:szCs w:val="19"/>
                <w:color w:val="auto"/>
                <w:w w:val="94"/>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(127 )</w:t>
            </w:r>
          </w:p>
        </w:tc>
        <w:tc>
          <w:tcPr>
            <w:tcW w:w="660" w:type="dxa"/>
            <w:vAlign w:val="bottom"/>
            <w:gridSpan w:val="4"/>
            <w:shd w:val="clear" w:color="auto" w:fill="E5FFFF"/>
          </w:tcPr>
          <w:p>
            <w:pPr>
              <w:jc w:val="right"/>
              <w:ind w:right="81"/>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10,185</w:t>
            </w:r>
          </w:p>
        </w:tc>
      </w:tr>
      <w:tr>
        <w:trPr>
          <w:trHeight w:val="20"/>
        </w:trPr>
        <w:tc>
          <w:tcPr>
            <w:tcW w:w="4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Intangible assets are comprised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2009</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December 31, 2008</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68"/>
        </w:trPr>
        <w:tc>
          <w:tcPr>
            <w:tcW w:w="4160" w:type="dxa"/>
            <w:vAlign w:val="bottom"/>
          </w:tcPr>
          <w:p>
            <w:pPr>
              <w:spacing w:after="0"/>
              <w:rPr>
                <w:sz w:val="14"/>
                <w:szCs w:val="14"/>
                <w:color w:val="auto"/>
              </w:rPr>
            </w:pPr>
          </w:p>
        </w:tc>
        <w:tc>
          <w:tcPr>
            <w:tcW w:w="8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9"/>
              </w:rPr>
              <w:t>Gross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85"/>
              <w:spacing w:after="0" w:line="168" w:lineRule="exact"/>
              <w:rPr>
                <w:sz w:val="20"/>
                <w:szCs w:val="20"/>
                <w:color w:val="auto"/>
              </w:rPr>
            </w:pPr>
            <w:r>
              <w:rPr>
                <w:rFonts w:ascii="Arial" w:cs="Arial" w:eastAsia="Arial" w:hAnsi="Arial"/>
                <w:sz w:val="16"/>
                <w:szCs w:val="16"/>
                <w:b w:val="1"/>
                <w:bCs w:val="1"/>
                <w:color w:val="auto"/>
              </w:rPr>
              <w:t>Net</w:t>
            </w:r>
          </w:p>
        </w:tc>
        <w:tc>
          <w:tcPr>
            <w:tcW w:w="300" w:type="dxa"/>
            <w:vAlign w:val="bottom"/>
          </w:tcPr>
          <w:p>
            <w:pPr>
              <w:spacing w:after="0"/>
              <w:rPr>
                <w:sz w:val="14"/>
                <w:szCs w:val="14"/>
                <w:color w:val="auto"/>
              </w:rPr>
            </w:pPr>
          </w:p>
        </w:tc>
        <w:tc>
          <w:tcPr>
            <w:tcW w:w="8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9"/>
              </w:rPr>
              <w:t>Gross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125"/>
              <w:spacing w:after="0" w:line="168" w:lineRule="exact"/>
              <w:rPr>
                <w:sz w:val="20"/>
                <w:szCs w:val="20"/>
                <w:color w:val="auto"/>
              </w:rPr>
            </w:pPr>
            <w:r>
              <w:rPr>
                <w:rFonts w:ascii="Arial" w:cs="Arial" w:eastAsia="Arial" w:hAnsi="Arial"/>
                <w:sz w:val="16"/>
                <w:szCs w:val="16"/>
                <w:b w:val="1"/>
                <w:bCs w:val="1"/>
                <w:color w:val="auto"/>
              </w:rPr>
              <w:t>Net</w:t>
            </w:r>
          </w:p>
        </w:tc>
      </w:tr>
      <w:tr>
        <w:trPr>
          <w:trHeight w:val="176"/>
        </w:trPr>
        <w:tc>
          <w:tcPr>
            <w:tcW w:w="4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5"/>
                <w:szCs w:val="15"/>
                <w:color w:val="auto"/>
              </w:rPr>
            </w:pPr>
          </w:p>
        </w:tc>
        <w:tc>
          <w:tcPr>
            <w:tcW w:w="1500" w:type="dxa"/>
            <w:vAlign w:val="bottom"/>
            <w:gridSpan w:val="3"/>
          </w:tcPr>
          <w:p>
            <w:pPr>
              <w:jc w:val="center"/>
              <w:ind w:right="300"/>
              <w:spacing w:after="0" w:line="176" w:lineRule="exact"/>
              <w:rPr>
                <w:sz w:val="20"/>
                <w:szCs w:val="20"/>
                <w:color w:val="auto"/>
              </w:rPr>
            </w:pPr>
            <w:r>
              <w:rPr>
                <w:rFonts w:ascii="Arial" w:cs="Arial" w:eastAsia="Arial" w:hAnsi="Arial"/>
                <w:sz w:val="16"/>
                <w:szCs w:val="16"/>
                <w:b w:val="1"/>
                <w:bCs w:val="1"/>
                <w:color w:val="auto"/>
                <w:w w:val="99"/>
              </w:rPr>
              <w:t>Accumulated</w:t>
            </w:r>
          </w:p>
        </w:tc>
        <w:tc>
          <w:tcPr>
            <w:tcW w:w="820" w:type="dxa"/>
            <w:vAlign w:val="bottom"/>
            <w:gridSpan w:val="2"/>
          </w:tcPr>
          <w:p>
            <w:pPr>
              <w:ind w:left="80"/>
              <w:spacing w:after="0" w:line="176"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5"/>
                <w:szCs w:val="15"/>
                <w:color w:val="auto"/>
              </w:rPr>
            </w:pPr>
          </w:p>
        </w:tc>
        <w:tc>
          <w:tcPr>
            <w:tcW w:w="1540" w:type="dxa"/>
            <w:vAlign w:val="bottom"/>
            <w:gridSpan w:val="3"/>
          </w:tcPr>
          <w:p>
            <w:pPr>
              <w:ind w:left="120"/>
              <w:spacing w:after="0" w:line="176" w:lineRule="exact"/>
              <w:rPr>
                <w:sz w:val="20"/>
                <w:szCs w:val="20"/>
                <w:color w:val="auto"/>
              </w:rPr>
            </w:pPr>
            <w:r>
              <w:rPr>
                <w:rFonts w:ascii="Arial" w:cs="Arial" w:eastAsia="Arial" w:hAnsi="Arial"/>
                <w:sz w:val="16"/>
                <w:szCs w:val="16"/>
                <w:b w:val="1"/>
                <w:bCs w:val="1"/>
                <w:color w:val="auto"/>
              </w:rPr>
              <w:t>Accumulated</w:t>
            </w:r>
          </w:p>
        </w:tc>
        <w:tc>
          <w:tcPr>
            <w:tcW w:w="8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r>
      <w:tr>
        <w:trPr>
          <w:trHeight w:val="204"/>
        </w:trPr>
        <w:tc>
          <w:tcPr>
            <w:tcW w:w="4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7"/>
                <w:szCs w:val="17"/>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8"/>
              </w:rPr>
              <w:t>Amortization</w:t>
            </w: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3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7"/>
                <w:szCs w:val="17"/>
                <w:color w:val="auto"/>
              </w:rPr>
            </w:pPr>
          </w:p>
        </w:tc>
        <w:tc>
          <w:tcPr>
            <w:tcW w:w="15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Amortization</w:t>
            </w: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r>
      <w:tr>
        <w:trPr>
          <w:trHeight w:val="237"/>
        </w:trPr>
        <w:tc>
          <w:tcPr>
            <w:tcW w:w="4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Intangible assets with determinable lives:</w:t>
            </w:r>
          </w:p>
        </w:tc>
        <w:tc>
          <w:tcPr>
            <w:tcW w:w="820" w:type="dxa"/>
            <w:vAlign w:val="bottom"/>
            <w:tcBorders>
              <w:top w:val="single" w:sz="8" w:color="auto"/>
            </w:tcBorders>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20" w:type="dxa"/>
            <w:vAlign w:val="bottom"/>
            <w:tcBorders>
              <w:top w:val="single" w:sz="8" w:color="auto"/>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820" w:type="dxa"/>
            <w:vAlign w:val="bottom"/>
            <w:tcBorders>
              <w:top w:val="single" w:sz="8" w:color="auto"/>
            </w:tcBorders>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20" w:type="dxa"/>
            <w:vAlign w:val="bottom"/>
            <w:tcBorders>
              <w:top w:val="single" w:sz="8" w:color="auto"/>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640" w:type="dxa"/>
            <w:vAlign w:val="bottom"/>
            <w:tcBorders>
              <w:top w:val="single" w:sz="8" w:color="auto"/>
            </w:tcBorders>
            <w:shd w:val="clear" w:color="auto" w:fill="E5FFFF"/>
          </w:tcPr>
          <w:p>
            <w:pPr>
              <w:spacing w:after="0"/>
              <w:rPr>
                <w:sz w:val="20"/>
                <w:szCs w:val="20"/>
                <w:color w:val="auto"/>
              </w:rPr>
            </w:pPr>
          </w:p>
        </w:tc>
      </w:tr>
      <w:tr>
        <w:trPr>
          <w:trHeight w:val="270"/>
        </w:trPr>
        <w:tc>
          <w:tcPr>
            <w:tcW w:w="4160" w:type="dxa"/>
            <w:vAlign w:val="bottom"/>
          </w:tcPr>
          <w:p>
            <w:pPr>
              <w:ind w:left="380"/>
              <w:spacing w:after="0"/>
              <w:rPr>
                <w:sz w:val="20"/>
                <w:szCs w:val="20"/>
                <w:color w:val="auto"/>
              </w:rPr>
            </w:pPr>
            <w:r>
              <w:rPr>
                <w:rFonts w:ascii="Arial" w:cs="Arial" w:eastAsia="Arial" w:hAnsi="Arial"/>
                <w:sz w:val="19"/>
                <w:szCs w:val="19"/>
                <w:color w:val="auto"/>
              </w:rPr>
              <w:t>Patents and technology</w:t>
            </w: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$ 1,053</w:t>
            </w:r>
          </w:p>
        </w:tc>
        <w:tc>
          <w:tcPr>
            <w:tcW w:w="620" w:type="dxa"/>
            <w:vAlign w:val="bottom"/>
            <w:gridSpan w:val="2"/>
          </w:tcPr>
          <w:p>
            <w:pPr>
              <w:jc w:val="right"/>
              <w:ind w:right="81"/>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3"/>
              <w:spacing w:after="0"/>
              <w:rPr>
                <w:sz w:val="20"/>
                <w:szCs w:val="20"/>
                <w:color w:val="auto"/>
              </w:rPr>
            </w:pPr>
            <w:r>
              <w:rPr>
                <w:rFonts w:ascii="Arial" w:cs="Arial" w:eastAsia="Arial" w:hAnsi="Arial"/>
                <w:sz w:val="19"/>
                <w:szCs w:val="19"/>
                <w:color w:val="auto"/>
              </w:rPr>
              <w:t>(595 )</w:t>
            </w:r>
          </w:p>
        </w:tc>
        <w:tc>
          <w:tcPr>
            <w:tcW w:w="28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458</w:t>
            </w:r>
          </w:p>
        </w:tc>
        <w:tc>
          <w:tcPr>
            <w:tcW w:w="1120" w:type="dxa"/>
            <w:vAlign w:val="bottom"/>
            <w:gridSpan w:val="2"/>
          </w:tcPr>
          <w:p>
            <w:pPr>
              <w:jc w:val="right"/>
              <w:ind w:right="14"/>
              <w:spacing w:after="0"/>
              <w:rPr>
                <w:sz w:val="20"/>
                <w:szCs w:val="20"/>
                <w:color w:val="auto"/>
              </w:rPr>
            </w:pPr>
            <w:r>
              <w:rPr>
                <w:rFonts w:ascii="Arial" w:cs="Arial" w:eastAsia="Arial" w:hAnsi="Arial"/>
                <w:sz w:val="19"/>
                <w:szCs w:val="19"/>
                <w:color w:val="auto"/>
              </w:rPr>
              <w:t>$ 1,030</w:t>
            </w:r>
          </w:p>
        </w:tc>
        <w:tc>
          <w:tcPr>
            <w:tcW w:w="620" w:type="dxa"/>
            <w:vAlign w:val="bottom"/>
            <w:gridSpan w:val="2"/>
          </w:tcPr>
          <w:p>
            <w:pPr>
              <w:jc w:val="right"/>
              <w:ind w:right="81"/>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3"/>
              <w:spacing w:after="0"/>
              <w:rPr>
                <w:sz w:val="20"/>
                <w:szCs w:val="20"/>
                <w:color w:val="auto"/>
              </w:rPr>
            </w:pPr>
            <w:r>
              <w:rPr>
                <w:rFonts w:ascii="Arial" w:cs="Arial" w:eastAsia="Arial" w:hAnsi="Arial"/>
                <w:sz w:val="19"/>
                <w:szCs w:val="19"/>
                <w:color w:val="auto"/>
              </w:rPr>
              <w:t>(494 )</w:t>
            </w:r>
          </w:p>
        </w:tc>
        <w:tc>
          <w:tcPr>
            <w:tcW w:w="3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536</w:t>
            </w:r>
          </w:p>
        </w:tc>
      </w:tr>
      <w:tr>
        <w:trPr>
          <w:trHeight w:val="270"/>
        </w:trPr>
        <w:tc>
          <w:tcPr>
            <w:tcW w:w="4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Customer relationships</w:t>
            </w:r>
          </w:p>
        </w:tc>
        <w:tc>
          <w:tcPr>
            <w:tcW w:w="8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1,359</w:t>
            </w:r>
          </w:p>
        </w:tc>
        <w:tc>
          <w:tcPr>
            <w:tcW w:w="30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(282 )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1,077</w:t>
            </w:r>
          </w:p>
        </w:tc>
        <w:tc>
          <w:tcPr>
            <w:tcW w:w="1120" w:type="dxa"/>
            <w:vAlign w:val="bottom"/>
            <w:gridSpan w:val="2"/>
            <w:shd w:val="clear" w:color="auto" w:fill="E5FFFF"/>
          </w:tcPr>
          <w:p>
            <w:pPr>
              <w:jc w:val="right"/>
              <w:ind w:right="14"/>
              <w:spacing w:after="0"/>
              <w:rPr>
                <w:sz w:val="20"/>
                <w:szCs w:val="20"/>
                <w:color w:val="auto"/>
              </w:rPr>
            </w:pPr>
            <w:r>
              <w:rPr>
                <w:rFonts w:ascii="Arial" w:cs="Arial" w:eastAsia="Arial" w:hAnsi="Arial"/>
                <w:sz w:val="19"/>
                <w:szCs w:val="19"/>
                <w:color w:val="auto"/>
              </w:rPr>
              <w:t>1,250</w:t>
            </w:r>
          </w:p>
        </w:tc>
        <w:tc>
          <w:tcPr>
            <w:tcW w:w="30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(175 )</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1,075</w:t>
            </w:r>
          </w:p>
        </w:tc>
      </w:tr>
      <w:tr>
        <w:trPr>
          <w:trHeight w:val="270"/>
        </w:trPr>
        <w:tc>
          <w:tcPr>
            <w:tcW w:w="4160" w:type="dxa"/>
            <w:vAlign w:val="bottom"/>
          </w:tcPr>
          <w:p>
            <w:pPr>
              <w:ind w:left="380"/>
              <w:spacing w:after="0"/>
              <w:rPr>
                <w:sz w:val="20"/>
                <w:szCs w:val="20"/>
                <w:color w:val="auto"/>
              </w:rPr>
            </w:pPr>
            <w:r>
              <w:rPr>
                <w:rFonts w:ascii="Arial" w:cs="Arial" w:eastAsia="Arial" w:hAnsi="Arial"/>
                <w:sz w:val="19"/>
                <w:szCs w:val="19"/>
                <w:color w:val="auto"/>
              </w:rPr>
              <w:t>Trademarks</w:t>
            </w: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164</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
              <w:spacing w:after="0"/>
              <w:rPr>
                <w:sz w:val="20"/>
                <w:szCs w:val="20"/>
                <w:color w:val="auto"/>
              </w:rPr>
            </w:pPr>
            <w:r>
              <w:rPr>
                <w:rFonts w:ascii="Arial" w:cs="Arial" w:eastAsia="Arial" w:hAnsi="Arial"/>
                <w:sz w:val="19"/>
                <w:szCs w:val="19"/>
                <w:color w:val="auto"/>
              </w:rPr>
              <w:t>(62 )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102</w:t>
            </w:r>
          </w:p>
        </w:tc>
        <w:tc>
          <w:tcPr>
            <w:tcW w:w="1120" w:type="dxa"/>
            <w:vAlign w:val="bottom"/>
            <w:gridSpan w:val="2"/>
          </w:tcPr>
          <w:p>
            <w:pPr>
              <w:jc w:val="right"/>
              <w:ind w:right="14"/>
              <w:spacing w:after="0"/>
              <w:rPr>
                <w:sz w:val="20"/>
                <w:szCs w:val="20"/>
                <w:color w:val="auto"/>
              </w:rPr>
            </w:pPr>
            <w:r>
              <w:rPr>
                <w:rFonts w:ascii="Arial" w:cs="Arial" w:eastAsia="Arial" w:hAnsi="Arial"/>
                <w:sz w:val="19"/>
                <w:szCs w:val="19"/>
                <w:color w:val="auto"/>
              </w:rPr>
              <w:t>164</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
              <w:spacing w:after="0"/>
              <w:rPr>
                <w:sz w:val="20"/>
                <w:szCs w:val="20"/>
                <w:color w:val="auto"/>
              </w:rPr>
            </w:pPr>
            <w:r>
              <w:rPr>
                <w:rFonts w:ascii="Arial" w:cs="Arial" w:eastAsia="Arial" w:hAnsi="Arial"/>
                <w:sz w:val="19"/>
                <w:szCs w:val="19"/>
                <w:color w:val="auto"/>
              </w:rPr>
              <w:t>(50 )</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114</w:t>
            </w:r>
          </w:p>
        </w:tc>
      </w:tr>
      <w:tr>
        <w:trPr>
          <w:trHeight w:val="270"/>
        </w:trPr>
        <w:tc>
          <w:tcPr>
            <w:tcW w:w="4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Other</w:t>
            </w:r>
          </w:p>
        </w:tc>
        <w:tc>
          <w:tcPr>
            <w:tcW w:w="8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514</w:t>
            </w:r>
          </w:p>
        </w:tc>
        <w:tc>
          <w:tcPr>
            <w:tcW w:w="300" w:type="dxa"/>
            <w:vAlign w:val="bottom"/>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(406 )</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108</w:t>
            </w:r>
          </w:p>
        </w:tc>
        <w:tc>
          <w:tcPr>
            <w:tcW w:w="300" w:type="dxa"/>
            <w:vAlign w:val="bottom"/>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9"/>
                <w:szCs w:val="19"/>
                <w:color w:val="auto"/>
              </w:rPr>
              <w:t>501</w:t>
            </w:r>
          </w:p>
        </w:tc>
        <w:tc>
          <w:tcPr>
            <w:tcW w:w="300" w:type="dxa"/>
            <w:vAlign w:val="bottom"/>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(362 )</w:t>
            </w:r>
          </w:p>
        </w:tc>
        <w:tc>
          <w:tcPr>
            <w:tcW w:w="32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139</w:t>
            </w:r>
          </w:p>
        </w:tc>
      </w:tr>
      <w:tr>
        <w:trPr>
          <w:trHeight w:val="304"/>
        </w:trPr>
        <w:tc>
          <w:tcPr>
            <w:tcW w:w="41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3,090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9"/>
                <w:szCs w:val="19"/>
                <w:color w:val="auto"/>
              </w:rPr>
              <w:t>(1,345 )</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1,745</w:t>
            </w:r>
          </w:p>
        </w:tc>
        <w:tc>
          <w:tcPr>
            <w:tcW w:w="1120" w:type="dxa"/>
            <w:vAlign w:val="bottom"/>
            <w:gridSpan w:val="2"/>
          </w:tcPr>
          <w:p>
            <w:pPr>
              <w:jc w:val="right"/>
              <w:ind w:right="14"/>
              <w:spacing w:after="0"/>
              <w:rPr>
                <w:sz w:val="20"/>
                <w:szCs w:val="20"/>
                <w:color w:val="auto"/>
              </w:rPr>
            </w:pPr>
            <w:r>
              <w:rPr>
                <w:rFonts w:ascii="Arial" w:cs="Arial" w:eastAsia="Arial" w:hAnsi="Arial"/>
                <w:sz w:val="19"/>
                <w:szCs w:val="19"/>
                <w:color w:val="auto"/>
              </w:rPr>
              <w:t>2,945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9"/>
                <w:szCs w:val="19"/>
                <w:color w:val="auto"/>
              </w:rPr>
              <w:t>(1,081 )</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1,864</w:t>
            </w:r>
          </w:p>
        </w:tc>
      </w:tr>
      <w:tr>
        <w:trPr>
          <w:trHeight w:val="34"/>
        </w:trPr>
        <w:tc>
          <w:tcPr>
            <w:tcW w:w="41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r>
      <w:tr>
        <w:trPr>
          <w:trHeight w:val="270"/>
        </w:trPr>
        <w:tc>
          <w:tcPr>
            <w:tcW w:w="4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Trademarks with indefinite lives</w:t>
            </w:r>
          </w:p>
        </w:tc>
        <w:tc>
          <w:tcPr>
            <w:tcW w:w="8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429</w:t>
            </w:r>
          </w:p>
        </w:tc>
        <w:tc>
          <w:tcPr>
            <w:tcW w:w="300" w:type="dxa"/>
            <w:vAlign w:val="bottom"/>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ind w:right="103"/>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429</w:t>
            </w:r>
          </w:p>
        </w:tc>
        <w:tc>
          <w:tcPr>
            <w:tcW w:w="300" w:type="dxa"/>
            <w:vAlign w:val="bottom"/>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9"/>
                <w:szCs w:val="19"/>
                <w:color w:val="auto"/>
              </w:rPr>
              <w:t>403</w:t>
            </w:r>
          </w:p>
        </w:tc>
        <w:tc>
          <w:tcPr>
            <w:tcW w:w="300" w:type="dxa"/>
            <w:vAlign w:val="bottom"/>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ind w:right="83"/>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403</w:t>
            </w:r>
          </w:p>
        </w:tc>
      </w:tr>
      <w:tr>
        <w:trPr>
          <w:trHeight w:val="304"/>
        </w:trPr>
        <w:tc>
          <w:tcPr>
            <w:tcW w:w="41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$ 3,519</w:t>
            </w:r>
          </w:p>
        </w:tc>
        <w:tc>
          <w:tcPr>
            <w:tcW w:w="620" w:type="dxa"/>
            <w:vAlign w:val="bottom"/>
            <w:gridSpan w:val="2"/>
          </w:tcPr>
          <w:p>
            <w:pPr>
              <w:jc w:val="right"/>
              <w:ind w:right="81"/>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3"/>
              <w:spacing w:after="0"/>
              <w:rPr>
                <w:sz w:val="20"/>
                <w:szCs w:val="20"/>
                <w:color w:val="auto"/>
              </w:rPr>
            </w:pPr>
            <w:r>
              <w:rPr>
                <w:rFonts w:ascii="Arial" w:cs="Arial" w:eastAsia="Arial" w:hAnsi="Arial"/>
                <w:sz w:val="19"/>
                <w:szCs w:val="19"/>
                <w:color w:val="auto"/>
              </w:rPr>
              <w:t>(1,345 )</w:t>
            </w:r>
          </w:p>
        </w:tc>
        <w:tc>
          <w:tcPr>
            <w:tcW w:w="2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2,174</w:t>
            </w:r>
          </w:p>
        </w:tc>
        <w:tc>
          <w:tcPr>
            <w:tcW w:w="1120" w:type="dxa"/>
            <w:vAlign w:val="bottom"/>
            <w:gridSpan w:val="2"/>
          </w:tcPr>
          <w:p>
            <w:pPr>
              <w:jc w:val="right"/>
              <w:ind w:right="14"/>
              <w:spacing w:after="0"/>
              <w:rPr>
                <w:sz w:val="20"/>
                <w:szCs w:val="20"/>
                <w:color w:val="auto"/>
              </w:rPr>
            </w:pPr>
            <w:r>
              <w:rPr>
                <w:rFonts w:ascii="Arial" w:cs="Arial" w:eastAsia="Arial" w:hAnsi="Arial"/>
                <w:sz w:val="19"/>
                <w:szCs w:val="19"/>
                <w:color w:val="auto"/>
              </w:rPr>
              <w:t>$ 3,348</w:t>
            </w:r>
          </w:p>
        </w:tc>
        <w:tc>
          <w:tcPr>
            <w:tcW w:w="620" w:type="dxa"/>
            <w:vAlign w:val="bottom"/>
            <w:gridSpan w:val="2"/>
          </w:tcPr>
          <w:p>
            <w:pPr>
              <w:jc w:val="right"/>
              <w:ind w:right="81"/>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3"/>
              <w:spacing w:after="0"/>
              <w:rPr>
                <w:sz w:val="20"/>
                <w:szCs w:val="20"/>
                <w:color w:val="auto"/>
              </w:rPr>
            </w:pPr>
            <w:r>
              <w:rPr>
                <w:rFonts w:ascii="Arial" w:cs="Arial" w:eastAsia="Arial" w:hAnsi="Arial"/>
                <w:sz w:val="19"/>
                <w:szCs w:val="19"/>
                <w:color w:val="auto"/>
              </w:rPr>
              <w:t>(1,081 )</w:t>
            </w: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2,267</w:t>
            </w:r>
          </w:p>
        </w:tc>
      </w:tr>
      <w:tr>
        <w:trPr>
          <w:trHeight w:val="20"/>
        </w:trPr>
        <w:tc>
          <w:tcPr>
            <w:tcW w:w="4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Intangible assets amortization expense was $250, $201 and $162 million in 2009, 2008 and 2007, respectively. Estimated intangible assets amortization expense for each of the next five years approximates $245 million in 2010, $227 million in 2011, $215 million in 2012, $192 million in 2013 and $173 million in 2014.</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13—Accrued Liabilities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6"/>
          </w:tcPr>
          <w:p>
            <w:pPr>
              <w:jc w:val="right"/>
              <w:ind w:right="444"/>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2009</w:t>
            </w:r>
          </w:p>
        </w:tc>
        <w:tc>
          <w:tcPr>
            <w:tcW w:w="1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Compensation, benefit and other employee related</w:t>
            </w: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ind w:left="40"/>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1,183</w:t>
            </w:r>
          </w:p>
        </w:tc>
        <w:tc>
          <w:tcPr>
            <w:tcW w:w="50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1,478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Customer advances and deferred income</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9"/>
                <w:szCs w:val="19"/>
                <w:color w:val="auto"/>
              </w:rPr>
              <w:t>1,270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1,159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Income taxes</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455</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456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Environmental costs</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9"/>
                <w:szCs w:val="19"/>
                <w:color w:val="auto"/>
              </w:rPr>
              <w:t>314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343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Asbestos related liabilities</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654</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Product warranties and performance guarantees</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9"/>
                <w:szCs w:val="19"/>
                <w:color w:val="auto"/>
              </w:rPr>
              <w:t>382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385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Repositioning</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340</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401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Other taxes (payroll, sales, VAT etc.)</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9"/>
                <w:szCs w:val="19"/>
                <w:color w:val="auto"/>
              </w:rPr>
              <w:t>158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139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Insurance</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118</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120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Accrued interest</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9"/>
                <w:szCs w:val="19"/>
                <w:color w:val="auto"/>
              </w:rPr>
              <w:t>145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(primarily operating expenses)</w:t>
            </w:r>
          </w:p>
        </w:tc>
        <w:tc>
          <w:tcPr>
            <w:tcW w:w="2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1,134</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1,192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9"/>
                <w:szCs w:val="19"/>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9"/>
                <w:szCs w:val="19"/>
                <w:color w:val="auto"/>
              </w:rPr>
              <w:t>6,153</w:t>
            </w:r>
          </w:p>
        </w:tc>
        <w:tc>
          <w:tcPr>
            <w:tcW w:w="50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6,006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jc w:val="right"/>
              <w:ind w:right="4263"/>
              <w:spacing w:after="0"/>
              <w:rPr>
                <w:sz w:val="20"/>
                <w:szCs w:val="20"/>
                <w:color w:val="auto"/>
              </w:rPr>
            </w:pPr>
            <w:r>
              <w:rPr>
                <w:rFonts w:ascii="Arial" w:cs="Arial" w:eastAsia="Arial" w:hAnsi="Arial"/>
                <w:sz w:val="19"/>
                <w:szCs w:val="19"/>
                <w:b w:val="1"/>
                <w:bCs w:val="1"/>
                <w:color w:val="auto"/>
              </w:rPr>
              <w:t>Note 14—Long-term Debt and Credit Agreements</w:t>
            </w: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89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564"/>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Floating rate notes due 2009</w:t>
            </w:r>
          </w:p>
        </w:tc>
        <w:tc>
          <w:tcPr>
            <w:tcW w:w="2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200" w:type="dxa"/>
            <w:vAlign w:val="bottom"/>
            <w:shd w:val="clear" w:color="auto" w:fill="E5FFFF"/>
          </w:tcPr>
          <w:p>
            <w:pPr>
              <w:spacing w:after="0"/>
              <w:rPr>
                <w:sz w:val="22"/>
                <w:szCs w:val="22"/>
                <w:color w:val="auto"/>
              </w:rPr>
            </w:pPr>
          </w:p>
        </w:tc>
        <w:tc>
          <w:tcPr>
            <w:tcW w:w="660" w:type="dxa"/>
            <w:vAlign w:val="bottom"/>
            <w:gridSpan w:val="2"/>
            <w:shd w:val="clear" w:color="auto" w:fill="E5FFFF"/>
          </w:tcPr>
          <w:p>
            <w:pPr>
              <w:jc w:val="right"/>
              <w:ind w:right="280"/>
              <w:spacing w:after="0"/>
              <w:rPr>
                <w:sz w:val="20"/>
                <w:szCs w:val="20"/>
                <w:color w:val="auto"/>
              </w:rPr>
            </w:pPr>
            <w:r>
              <w:rPr>
                <w:rFonts w:ascii="Arial" w:cs="Arial" w:eastAsia="Arial" w:hAnsi="Arial"/>
                <w:sz w:val="19"/>
                <w:szCs w:val="19"/>
                <w:color w:val="auto"/>
              </w:rPr>
              <w:t>—</w:t>
            </w:r>
          </w:p>
        </w:tc>
        <w:tc>
          <w:tcPr>
            <w:tcW w:w="500" w:type="dxa"/>
            <w:vAlign w:val="bottom"/>
            <w:gridSpan w:val="3"/>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300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Floating rate notes due 2009</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500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Zero coupon bonds and money multiplier notes, 13.0%—14.26%, due 2009</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gridSpan w:val="2"/>
            <w:shd w:val="clear" w:color="auto" w:fill="E5FFFF"/>
          </w:tcPr>
          <w:p>
            <w:pPr>
              <w:jc w:val="right"/>
              <w:ind w:right="280"/>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100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Floating rate notes due 2009-2011</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193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7.50% notes due 2010</w:t>
            </w:r>
          </w:p>
        </w:tc>
        <w:tc>
          <w:tcPr>
            <w:tcW w:w="260" w:type="dxa"/>
            <w:vAlign w:val="bottom"/>
            <w:shd w:val="clear" w:color="auto" w:fill="E5FFFF"/>
          </w:tcPr>
          <w:p>
            <w:pPr>
              <w:spacing w:after="0"/>
              <w:rPr>
                <w:sz w:val="23"/>
                <w:szCs w:val="23"/>
                <w:color w:val="auto"/>
              </w:rPr>
            </w:pPr>
          </w:p>
        </w:tc>
        <w:tc>
          <w:tcPr>
            <w:tcW w:w="740" w:type="dxa"/>
            <w:vAlign w:val="bottom"/>
            <w:gridSpan w:val="2"/>
            <w:shd w:val="clear" w:color="auto" w:fill="E5FFFF"/>
          </w:tcPr>
          <w:p>
            <w:pPr>
              <w:jc w:val="right"/>
              <w:ind w:right="65"/>
              <w:spacing w:after="0"/>
              <w:rPr>
                <w:sz w:val="20"/>
                <w:szCs w:val="20"/>
                <w:color w:val="auto"/>
              </w:rPr>
            </w:pPr>
            <w:r>
              <w:rPr>
                <w:rFonts w:ascii="Arial" w:cs="Arial" w:eastAsia="Arial" w:hAnsi="Arial"/>
                <w:sz w:val="19"/>
                <w:szCs w:val="19"/>
                <w:color w:val="auto"/>
              </w:rPr>
              <w:t>1,000</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1,000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6.125% notes due 2011</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500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5.625% notes due 2012</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400</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400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4.25% notes due 2013</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600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3.875% notes due 2014</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600</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5.40% notes due 2016</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400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400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5.30% notes due 2017</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400</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400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5.30% notes due 2018</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900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900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5.00% notes due 2019</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900</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Industrial development bond obligations, floating rate maturing at various dates through 2037</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60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6.625 % debentures due 2028</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216</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216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9.065% debentures due 2033</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51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5.70% notes due 2036</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550</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550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5.70% notes due 2037</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600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(including capitalized leases), 0.62%—15.5%, maturing at various dates through 2017</w:t>
            </w:r>
          </w:p>
        </w:tc>
        <w:tc>
          <w:tcPr>
            <w:tcW w:w="260" w:type="dxa"/>
            <w:vAlign w:val="bottom"/>
            <w:tcBorders>
              <w:bottom w:val="single" w:sz="8" w:color="auto"/>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100</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84"/>
              <w:spacing w:after="0"/>
              <w:rPr>
                <w:sz w:val="20"/>
                <w:szCs w:val="20"/>
                <w:color w:val="auto"/>
              </w:rPr>
            </w:pPr>
            <w:r>
              <w:rPr>
                <w:rFonts w:ascii="Arial" w:cs="Arial" w:eastAsia="Arial" w:hAnsi="Arial"/>
                <w:sz w:val="19"/>
                <w:szCs w:val="19"/>
                <w:color w:val="auto"/>
              </w:rPr>
              <w:t>118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65"/>
              <w:spacing w:after="0"/>
              <w:rPr>
                <w:sz w:val="20"/>
                <w:szCs w:val="20"/>
                <w:color w:val="auto"/>
              </w:rPr>
            </w:pPr>
            <w:r>
              <w:rPr>
                <w:rFonts w:ascii="Arial" w:cs="Arial" w:eastAsia="Arial" w:hAnsi="Arial"/>
                <w:sz w:val="19"/>
                <w:szCs w:val="19"/>
                <w:color w:val="auto"/>
              </w:rPr>
              <w:t>7,264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6,888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Less—current portion</w:t>
            </w:r>
          </w:p>
        </w:tc>
        <w:tc>
          <w:tcPr>
            <w:tcW w:w="26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(1,018 )</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7"/>
              </w:rPr>
              <w:t>(1,023 )</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740" w:type="dxa"/>
            <w:vAlign w:val="bottom"/>
            <w:gridSpan w:val="2"/>
          </w:tcPr>
          <w:p>
            <w:pPr>
              <w:jc w:val="right"/>
              <w:ind w:right="65"/>
              <w:spacing w:after="0"/>
              <w:rPr>
                <w:sz w:val="20"/>
                <w:szCs w:val="20"/>
                <w:color w:val="auto"/>
              </w:rPr>
            </w:pPr>
            <w:r>
              <w:rPr>
                <w:rFonts w:ascii="Arial" w:cs="Arial" w:eastAsia="Arial" w:hAnsi="Arial"/>
                <w:sz w:val="19"/>
                <w:szCs w:val="19"/>
                <w:color w:val="auto"/>
              </w:rPr>
              <w:t>6,246</w:t>
            </w:r>
          </w:p>
        </w:tc>
        <w:tc>
          <w:tcPr>
            <w:tcW w:w="120" w:type="dxa"/>
            <w:vAlign w:val="bottom"/>
          </w:tcPr>
          <w:p>
            <w:pPr>
              <w:spacing w:after="0"/>
              <w:rPr>
                <w:sz w:val="24"/>
                <w:szCs w:val="24"/>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84"/>
              <w:spacing w:after="0"/>
              <w:rPr>
                <w:sz w:val="20"/>
                <w:szCs w:val="20"/>
                <w:color w:val="auto"/>
              </w:rPr>
            </w:pPr>
            <w:r>
              <w:rPr>
                <w:rFonts w:ascii="Arial" w:cs="Arial" w:eastAsia="Arial" w:hAnsi="Arial"/>
                <w:sz w:val="19"/>
                <w:szCs w:val="19"/>
                <w:color w:val="auto"/>
              </w:rPr>
              <w:t>5,865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jc w:val="right"/>
              <w:ind w:right="2983"/>
              <w:spacing w:after="0"/>
              <w:rPr>
                <w:sz w:val="20"/>
                <w:szCs w:val="20"/>
                <w:color w:val="auto"/>
              </w:rPr>
            </w:pPr>
            <w:r>
              <w:rPr>
                <w:rFonts w:ascii="Arial" w:cs="Arial" w:eastAsia="Arial" w:hAnsi="Arial"/>
                <w:sz w:val="19"/>
                <w:szCs w:val="19"/>
                <w:color w:val="auto"/>
              </w:rPr>
              <w:t>73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9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7" w:name="page78"/>
    <w:bookmarkEnd w:id="77"/>
    <w:tbl>
      <w:tblPr>
        <w:tblLayout w:type="fixed"/>
        <w:tblInd w:w="360" w:type="dxa"/>
        <w:tblCellMar>
          <w:top w:w="0" w:type="dxa"/>
          <w:left w:w="0" w:type="dxa"/>
          <w:bottom w:w="0" w:type="dxa"/>
          <w:right w:w="0" w:type="dxa"/>
        </w:tblCellMar>
      </w:tblPr>
      <w:tr>
        <w:trPr>
          <w:trHeight w:val="280"/>
        </w:trPr>
        <w:tc>
          <w:tcPr>
            <w:tcW w:w="140" w:type="dxa"/>
            <w:vAlign w:val="bottom"/>
          </w:tcPr>
          <w:p>
            <w:pPr>
              <w:spacing w:after="0"/>
              <w:rPr>
                <w:sz w:val="24"/>
                <w:szCs w:val="24"/>
                <w:color w:val="auto"/>
              </w:rPr>
            </w:pPr>
          </w:p>
        </w:tc>
        <w:tc>
          <w:tcPr>
            <w:tcW w:w="8840" w:type="dxa"/>
            <w:vAlign w:val="bottom"/>
          </w:tcPr>
          <w:p>
            <w:pPr>
              <w:jc w:val="center"/>
              <w:ind w:left="1483"/>
              <w:spacing w:after="0"/>
              <w:rPr>
                <w:sz w:val="20"/>
                <w:szCs w:val="20"/>
                <w:color w:val="auto"/>
              </w:rPr>
            </w:pPr>
            <w:r>
              <w:rPr>
                <w:rFonts w:ascii="Arial" w:cs="Arial" w:eastAsia="Arial" w:hAnsi="Arial"/>
                <w:sz w:val="23"/>
                <w:szCs w:val="23"/>
                <w:b w:val="1"/>
                <w:bCs w:val="1"/>
                <w:color w:val="auto"/>
                <w:w w:val="99"/>
              </w:rPr>
              <w:t>HONEYWELL INTERNATIONAL INC.</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5"/>
        </w:trPr>
        <w:tc>
          <w:tcPr>
            <w:tcW w:w="140" w:type="dxa"/>
            <w:vAlign w:val="bottom"/>
          </w:tcPr>
          <w:p>
            <w:pPr>
              <w:spacing w:after="0"/>
              <w:rPr>
                <w:sz w:val="19"/>
                <w:szCs w:val="19"/>
                <w:color w:val="auto"/>
              </w:rPr>
            </w:pPr>
          </w:p>
        </w:tc>
        <w:tc>
          <w:tcPr>
            <w:tcW w:w="8840" w:type="dxa"/>
            <w:vAlign w:val="bottom"/>
          </w:tcPr>
          <w:p>
            <w:pPr>
              <w:jc w:val="center"/>
              <w:ind w:left="1483"/>
              <w:spacing w:after="0"/>
              <w:rPr>
                <w:sz w:val="20"/>
                <w:szCs w:val="20"/>
                <w:color w:val="auto"/>
              </w:rPr>
            </w:pPr>
            <w:r>
              <w:rPr>
                <w:rFonts w:ascii="Arial" w:cs="Arial" w:eastAsia="Arial" w:hAnsi="Arial"/>
                <w:sz w:val="19"/>
                <w:szCs w:val="19"/>
                <w:b w:val="1"/>
                <w:bCs w:val="1"/>
                <w:color w:val="auto"/>
              </w:rPr>
              <w:t>NOTES TO FINANCIAL STATEMENTS—(Continued)</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9"/>
        </w:trPr>
        <w:tc>
          <w:tcPr>
            <w:tcW w:w="140" w:type="dxa"/>
            <w:vAlign w:val="bottom"/>
          </w:tcPr>
          <w:p>
            <w:pPr>
              <w:spacing w:after="0"/>
              <w:rPr>
                <w:sz w:val="18"/>
                <w:szCs w:val="18"/>
                <w:color w:val="auto"/>
              </w:rPr>
            </w:pPr>
          </w:p>
        </w:tc>
        <w:tc>
          <w:tcPr>
            <w:tcW w:w="8840" w:type="dxa"/>
            <w:vAlign w:val="bottom"/>
          </w:tcPr>
          <w:p>
            <w:pPr>
              <w:jc w:val="center"/>
              <w:ind w:left="1503"/>
              <w:spacing w:after="0"/>
              <w:rPr>
                <w:sz w:val="20"/>
                <w:szCs w:val="20"/>
                <w:color w:val="auto"/>
              </w:rPr>
            </w:pPr>
            <w:r>
              <w:rPr>
                <w:rFonts w:ascii="Arial" w:cs="Arial" w:eastAsia="Arial" w:hAnsi="Arial"/>
                <w:sz w:val="16"/>
                <w:szCs w:val="16"/>
                <w:b w:val="1"/>
                <w:bCs w:val="1"/>
                <w:color w:val="auto"/>
                <w:w w:val="98"/>
              </w:rPr>
              <w:t>(Dollars in millions, except per share amounts)</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31"/>
        </w:trPr>
        <w:tc>
          <w:tcPr>
            <w:tcW w:w="8980" w:type="dxa"/>
            <w:vAlign w:val="bottom"/>
            <w:gridSpan w:val="2"/>
          </w:tcPr>
          <w:p>
            <w:pPr>
              <w:spacing w:after="0"/>
              <w:rPr>
                <w:sz w:val="20"/>
                <w:szCs w:val="20"/>
                <w:color w:val="auto"/>
              </w:rPr>
            </w:pPr>
            <w:r>
              <w:rPr>
                <w:rFonts w:ascii="Arial" w:cs="Arial" w:eastAsia="Arial" w:hAnsi="Arial"/>
                <w:sz w:val="19"/>
                <w:szCs w:val="19"/>
                <w:color w:val="auto"/>
              </w:rPr>
              <w:t>The schedule of principal payments on long-term debt is as follows: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7"/>
        </w:trPr>
        <w:tc>
          <w:tcPr>
            <w:tcW w:w="14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56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At December 31,</w:t>
            </w:r>
          </w:p>
        </w:tc>
      </w:tr>
      <w:tr>
        <w:trPr>
          <w:trHeight w:val="204"/>
        </w:trPr>
        <w:tc>
          <w:tcPr>
            <w:tcW w:w="14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b w:val="1"/>
                <w:bCs w:val="1"/>
                <w:color w:val="auto"/>
              </w:rPr>
              <w:t>2009</w:t>
            </w:r>
          </w:p>
        </w:tc>
      </w:tr>
      <w:tr>
        <w:trPr>
          <w:trHeight w:val="264"/>
        </w:trPr>
        <w:tc>
          <w:tcPr>
            <w:tcW w:w="140" w:type="dxa"/>
            <w:vAlign w:val="bottom"/>
          </w:tcPr>
          <w:p>
            <w:pPr>
              <w:spacing w:after="0"/>
              <w:rPr>
                <w:sz w:val="22"/>
                <w:szCs w:val="22"/>
                <w:color w:val="auto"/>
              </w:rPr>
            </w:pPr>
          </w:p>
        </w:tc>
        <w:tc>
          <w:tcPr>
            <w:tcW w:w="8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2010</w:t>
            </w:r>
          </w:p>
        </w:tc>
        <w:tc>
          <w:tcPr>
            <w:tcW w:w="400" w:type="dxa"/>
            <w:vAlign w:val="bottom"/>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116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1,018</w:t>
            </w:r>
          </w:p>
        </w:tc>
      </w:tr>
      <w:tr>
        <w:trPr>
          <w:trHeight w:val="270"/>
        </w:trPr>
        <w:tc>
          <w:tcPr>
            <w:tcW w:w="8980" w:type="dxa"/>
            <w:vAlign w:val="bottom"/>
            <w:gridSpan w:val="2"/>
          </w:tcPr>
          <w:p>
            <w:pPr>
              <w:ind w:left="160"/>
              <w:spacing w:after="0"/>
              <w:rPr>
                <w:sz w:val="20"/>
                <w:szCs w:val="20"/>
                <w:color w:val="auto"/>
              </w:rPr>
            </w:pPr>
            <w:r>
              <w:rPr>
                <w:rFonts w:ascii="Arial" w:cs="Arial" w:eastAsia="Arial" w:hAnsi="Arial"/>
                <w:sz w:val="19"/>
                <w:szCs w:val="19"/>
                <w:color w:val="auto"/>
              </w:rPr>
              <w:t>2011</w:t>
            </w:r>
          </w:p>
        </w:tc>
        <w:tc>
          <w:tcPr>
            <w:tcW w:w="400" w:type="dxa"/>
            <w:vAlign w:val="bottom"/>
          </w:tcPr>
          <w:p>
            <w:pPr>
              <w:spacing w:after="0"/>
              <w:rPr>
                <w:sz w:val="23"/>
                <w:szCs w:val="23"/>
                <w:color w:val="auto"/>
              </w:rPr>
            </w:pPr>
          </w:p>
        </w:tc>
        <w:tc>
          <w:tcPr>
            <w:tcW w:w="1160" w:type="dxa"/>
            <w:vAlign w:val="bottom"/>
          </w:tcPr>
          <w:p>
            <w:pPr>
              <w:jc w:val="right"/>
              <w:ind w:right="145"/>
              <w:spacing w:after="0"/>
              <w:rPr>
                <w:sz w:val="20"/>
                <w:szCs w:val="20"/>
                <w:color w:val="auto"/>
              </w:rPr>
            </w:pPr>
            <w:r>
              <w:rPr>
                <w:rFonts w:ascii="Arial" w:cs="Arial" w:eastAsia="Arial" w:hAnsi="Arial"/>
                <w:sz w:val="19"/>
                <w:szCs w:val="19"/>
                <w:color w:val="auto"/>
              </w:rPr>
              <w:t>520</w:t>
            </w:r>
          </w:p>
        </w:tc>
      </w:tr>
      <w:tr>
        <w:trPr>
          <w:trHeight w:val="270"/>
        </w:trPr>
        <w:tc>
          <w:tcPr>
            <w:tcW w:w="140" w:type="dxa"/>
            <w:vAlign w:val="bottom"/>
          </w:tcPr>
          <w:p>
            <w:pPr>
              <w:spacing w:after="0"/>
              <w:rPr>
                <w:sz w:val="23"/>
                <w:szCs w:val="23"/>
                <w:color w:val="auto"/>
              </w:rPr>
            </w:pPr>
          </w:p>
        </w:tc>
        <w:tc>
          <w:tcPr>
            <w:tcW w:w="8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2012</w:t>
            </w:r>
          </w:p>
        </w:tc>
        <w:tc>
          <w:tcPr>
            <w:tcW w:w="40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406</w:t>
            </w:r>
          </w:p>
        </w:tc>
      </w:tr>
      <w:tr>
        <w:trPr>
          <w:trHeight w:val="270"/>
        </w:trPr>
        <w:tc>
          <w:tcPr>
            <w:tcW w:w="8980" w:type="dxa"/>
            <w:vAlign w:val="bottom"/>
            <w:gridSpan w:val="2"/>
          </w:tcPr>
          <w:p>
            <w:pPr>
              <w:ind w:left="160"/>
              <w:spacing w:after="0"/>
              <w:rPr>
                <w:sz w:val="20"/>
                <w:szCs w:val="20"/>
                <w:color w:val="auto"/>
              </w:rPr>
            </w:pPr>
            <w:r>
              <w:rPr>
                <w:rFonts w:ascii="Arial" w:cs="Arial" w:eastAsia="Arial" w:hAnsi="Arial"/>
                <w:sz w:val="19"/>
                <w:szCs w:val="19"/>
                <w:color w:val="auto"/>
              </w:rPr>
              <w:t>2013</w:t>
            </w:r>
          </w:p>
        </w:tc>
        <w:tc>
          <w:tcPr>
            <w:tcW w:w="400" w:type="dxa"/>
            <w:vAlign w:val="bottom"/>
          </w:tcPr>
          <w:p>
            <w:pPr>
              <w:spacing w:after="0"/>
              <w:rPr>
                <w:sz w:val="23"/>
                <w:szCs w:val="23"/>
                <w:color w:val="auto"/>
              </w:rPr>
            </w:pPr>
          </w:p>
        </w:tc>
        <w:tc>
          <w:tcPr>
            <w:tcW w:w="1160" w:type="dxa"/>
            <w:vAlign w:val="bottom"/>
          </w:tcPr>
          <w:p>
            <w:pPr>
              <w:jc w:val="right"/>
              <w:ind w:right="145"/>
              <w:spacing w:after="0"/>
              <w:rPr>
                <w:sz w:val="20"/>
                <w:szCs w:val="20"/>
                <w:color w:val="auto"/>
              </w:rPr>
            </w:pPr>
            <w:r>
              <w:rPr>
                <w:rFonts w:ascii="Arial" w:cs="Arial" w:eastAsia="Arial" w:hAnsi="Arial"/>
                <w:sz w:val="19"/>
                <w:szCs w:val="19"/>
                <w:color w:val="auto"/>
              </w:rPr>
              <w:t>605</w:t>
            </w:r>
          </w:p>
        </w:tc>
      </w:tr>
      <w:tr>
        <w:trPr>
          <w:trHeight w:val="270"/>
        </w:trPr>
        <w:tc>
          <w:tcPr>
            <w:tcW w:w="140" w:type="dxa"/>
            <w:vAlign w:val="bottom"/>
          </w:tcPr>
          <w:p>
            <w:pPr>
              <w:spacing w:after="0"/>
              <w:rPr>
                <w:sz w:val="23"/>
                <w:szCs w:val="23"/>
                <w:color w:val="auto"/>
              </w:rPr>
            </w:pPr>
          </w:p>
        </w:tc>
        <w:tc>
          <w:tcPr>
            <w:tcW w:w="8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2014</w:t>
            </w:r>
          </w:p>
        </w:tc>
        <w:tc>
          <w:tcPr>
            <w:tcW w:w="40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606</w:t>
            </w:r>
          </w:p>
        </w:tc>
      </w:tr>
      <w:tr>
        <w:trPr>
          <w:trHeight w:val="270"/>
        </w:trPr>
        <w:tc>
          <w:tcPr>
            <w:tcW w:w="140" w:type="dxa"/>
            <w:vAlign w:val="bottom"/>
          </w:tcPr>
          <w:p>
            <w:pPr>
              <w:spacing w:after="0"/>
              <w:rPr>
                <w:sz w:val="23"/>
                <w:szCs w:val="23"/>
                <w:color w:val="auto"/>
              </w:rPr>
            </w:pPr>
          </w:p>
        </w:tc>
        <w:tc>
          <w:tcPr>
            <w:tcW w:w="8840" w:type="dxa"/>
            <w:vAlign w:val="bottom"/>
          </w:tcPr>
          <w:p>
            <w:pPr>
              <w:ind w:left="20"/>
              <w:spacing w:after="0"/>
              <w:rPr>
                <w:sz w:val="20"/>
                <w:szCs w:val="20"/>
                <w:color w:val="auto"/>
              </w:rPr>
            </w:pPr>
            <w:r>
              <w:rPr>
                <w:rFonts w:ascii="Arial" w:cs="Arial" w:eastAsia="Arial" w:hAnsi="Arial"/>
                <w:sz w:val="19"/>
                <w:szCs w:val="19"/>
                <w:color w:val="auto"/>
              </w:rPr>
              <w:t>Thereafter</w:t>
            </w: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color w:val="auto"/>
              </w:rPr>
              <w:t>4,109</w:t>
            </w:r>
          </w:p>
        </w:tc>
      </w:tr>
      <w:tr>
        <w:trPr>
          <w:trHeight w:val="34"/>
        </w:trPr>
        <w:tc>
          <w:tcPr>
            <w:tcW w:w="140" w:type="dxa"/>
            <w:vAlign w:val="bottom"/>
          </w:tcPr>
          <w:p>
            <w:pPr>
              <w:spacing w:after="0"/>
              <w:rPr>
                <w:sz w:val="2"/>
                <w:szCs w:val="2"/>
                <w:color w:val="auto"/>
              </w:rPr>
            </w:pPr>
          </w:p>
        </w:tc>
        <w:tc>
          <w:tcPr>
            <w:tcW w:w="8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8840" w:type="dxa"/>
            <w:vAlign w:val="bottom"/>
            <w:shd w:val="clear" w:color="auto" w:fill="E5FFFF"/>
          </w:tcPr>
          <w:p>
            <w:pPr>
              <w:spacing w:after="0"/>
              <w:rPr>
                <w:sz w:val="23"/>
                <w:szCs w:val="23"/>
                <w:color w:val="auto"/>
              </w:rPr>
            </w:pPr>
          </w:p>
        </w:tc>
        <w:tc>
          <w:tcPr>
            <w:tcW w:w="40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7,264</w:t>
            </w:r>
          </w:p>
        </w:tc>
      </w:tr>
      <w:tr>
        <w:trPr>
          <w:trHeight w:val="270"/>
        </w:trPr>
        <w:tc>
          <w:tcPr>
            <w:tcW w:w="140" w:type="dxa"/>
            <w:vAlign w:val="bottom"/>
          </w:tcPr>
          <w:p>
            <w:pPr>
              <w:spacing w:after="0"/>
              <w:rPr>
                <w:sz w:val="23"/>
                <w:szCs w:val="23"/>
                <w:color w:val="auto"/>
              </w:rPr>
            </w:pPr>
          </w:p>
        </w:tc>
        <w:tc>
          <w:tcPr>
            <w:tcW w:w="8840" w:type="dxa"/>
            <w:vAlign w:val="bottom"/>
          </w:tcPr>
          <w:p>
            <w:pPr>
              <w:ind w:left="20"/>
              <w:spacing w:after="0"/>
              <w:rPr>
                <w:sz w:val="20"/>
                <w:szCs w:val="20"/>
                <w:color w:val="auto"/>
              </w:rPr>
            </w:pPr>
            <w:r>
              <w:rPr>
                <w:rFonts w:ascii="Arial" w:cs="Arial" w:eastAsia="Arial" w:hAnsi="Arial"/>
                <w:sz w:val="19"/>
                <w:szCs w:val="19"/>
                <w:color w:val="auto"/>
              </w:rPr>
              <w:t>Less—current portion</w:t>
            </w: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(1,018 )</w:t>
            </w:r>
          </w:p>
        </w:tc>
      </w:tr>
      <w:tr>
        <w:trPr>
          <w:trHeight w:val="34"/>
        </w:trPr>
        <w:tc>
          <w:tcPr>
            <w:tcW w:w="140" w:type="dxa"/>
            <w:vAlign w:val="bottom"/>
          </w:tcPr>
          <w:p>
            <w:pPr>
              <w:spacing w:after="0"/>
              <w:rPr>
                <w:sz w:val="2"/>
                <w:szCs w:val="2"/>
                <w:color w:val="auto"/>
              </w:rPr>
            </w:pPr>
          </w:p>
        </w:tc>
        <w:tc>
          <w:tcPr>
            <w:tcW w:w="8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8840" w:type="dxa"/>
            <w:vAlign w:val="bottom"/>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6,246</w:t>
            </w:r>
          </w:p>
        </w:tc>
      </w:tr>
      <w:tr>
        <w:trPr>
          <w:trHeight w:val="20"/>
        </w:trPr>
        <w:tc>
          <w:tcPr>
            <w:tcW w:w="1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We maintain a $2.8 billion five year committed revolving credit facility with a group of banks, arranged by Citigroup Global Markets Inc. and J.P.Morgan Securities Inc. which is in place through mid-May 2012. This credit facility contains a $700 million sub-limit for the issuance of letters of credit. The $2.8 billion credit facility is maintained for general corporate purposes, including support for the issuance of commercial paper. We had no borrowings outstanding or letters of credit issued under the credit facility at December 31, 2009.</w:t>
      </w:r>
    </w:p>
    <w:p>
      <w:pPr>
        <w:spacing w:after="0" w:line="9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The credit agreement does not restrict our ability to pay dividends and contains no financial covenants. The failure to comply with customary conditions or the occurrence of customary events default contained in the credit agreement would prevent any further borrowings and would generally require the repayment of any outstanding borrowings under the credit agreement. Such events of default include: (a) non-payment of credit agreement debt, interest or fees; (b) non-compliance with the terms of the credit agreement covenants; (c) cross-default to other debt in certain circumstances; (d) bankruptcy; and (e) defaults upon obligations under Employee Retirement Income Security Act. Additionally, each of the banks has the right to terminate its commitment to lend additional funds or issue letters of credit under the agreement if any person or group acquires beneficial ownership of 30 percent or more of our voting stock, or, during any 12-month period, individuals who were directors of Honeywell at the beginning of the period cease to constitute a majority of the Board of Directors (the Board).</w:t>
      </w:r>
    </w:p>
    <w:p>
      <w:pPr>
        <w:spacing w:after="0" w:line="95"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Loans under the credit facility are required to be repaid no later than May 14, 2012. We have agreed to pay a facility fee of 0.05 percent per annum on the aggregate commitment.</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Interest on borrowings under the credit facility would be determined, at Honeywell’s option, by (a) an auction bidding procedure;</w:t>
      </w:r>
    </w:p>
    <w:p>
      <w:pPr>
        <w:ind w:right="120" w:firstLine="8"/>
        <w:spacing w:after="0" w:line="253" w:lineRule="auto"/>
        <w:tabs>
          <w:tab w:leader="none" w:pos="291"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highest of the floating base rate publicly announced by Citibank, N.A., 0.5 percent above the average CD rate, or 0.5 percent above the Federal funds rate; or (c) the Eurocurrency rate plus 0.15 percent (applicable margin).</w:t>
      </w:r>
    </w:p>
    <w:p>
      <w:pPr>
        <w:spacing w:after="0" w:line="80" w:lineRule="exact"/>
        <w:rPr>
          <w:sz w:val="20"/>
          <w:szCs w:val="20"/>
          <w:color w:val="auto"/>
        </w:rPr>
      </w:pPr>
    </w:p>
    <w:p>
      <w:pPr>
        <w:ind w:right="420" w:firstLine="357"/>
        <w:spacing w:after="0" w:line="245" w:lineRule="auto"/>
        <w:rPr>
          <w:sz w:val="20"/>
          <w:szCs w:val="20"/>
          <w:color w:val="auto"/>
        </w:rPr>
      </w:pPr>
      <w:r>
        <w:rPr>
          <w:rFonts w:ascii="Arial" w:cs="Arial" w:eastAsia="Arial" w:hAnsi="Arial"/>
          <w:sz w:val="19"/>
          <w:szCs w:val="19"/>
          <w:color w:val="auto"/>
        </w:rPr>
        <w:t>The facility fee, the applicable margin over the Eurocurrency rate and the letter of credit issuance fee, are subject to change, based upon a grid determined by our long term debt ratings. The credit agreement is not subject to termination based upon a decrease in our debt ratings or a material adverse change.</w:t>
      </w:r>
    </w:p>
    <w:p>
      <w:pPr>
        <w:spacing w:after="0" w:line="87" w:lineRule="exact"/>
        <w:rPr>
          <w:sz w:val="20"/>
          <w:szCs w:val="20"/>
          <w:color w:val="auto"/>
        </w:rPr>
      </w:pPr>
    </w:p>
    <w:p>
      <w:pPr>
        <w:ind w:right="240" w:firstLine="357"/>
        <w:spacing w:after="0" w:line="242" w:lineRule="auto"/>
        <w:rPr>
          <w:sz w:val="20"/>
          <w:szCs w:val="20"/>
          <w:color w:val="auto"/>
        </w:rPr>
      </w:pPr>
      <w:r>
        <w:rPr>
          <w:rFonts w:ascii="Arial" w:cs="Arial" w:eastAsia="Arial" w:hAnsi="Arial"/>
          <w:sz w:val="19"/>
          <w:szCs w:val="19"/>
          <w:color w:val="auto"/>
        </w:rPr>
        <w:t>In February 2009, the Company issued $600 million 3.875% Senior Notes due 2014 and $ 900 million 5.00% Senior Notes due 2019 (collectively, the “2009 Senior Notes”). The 2009 Senior Notes are senior unsecured and unsubordinated obligations of Honeywell and rank equally with all of Honeywell’s existing and future senior unsecured debt and senior to all of Honeywell’s subordinated debt. The offering resulted in gross proceeds of $1.5 billion, offset by $12 million in discount and issuance costs.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180" w:firstLine="357"/>
        <w:spacing w:after="0" w:line="253" w:lineRule="auto"/>
        <w:rPr>
          <w:sz w:val="20"/>
          <w:szCs w:val="20"/>
          <w:color w:val="auto"/>
        </w:rPr>
      </w:pPr>
      <w:r>
        <w:rPr>
          <w:rFonts w:ascii="Arial" w:cs="Arial" w:eastAsia="Arial" w:hAnsi="Arial"/>
          <w:sz w:val="19"/>
          <w:szCs w:val="19"/>
          <w:color w:val="auto"/>
        </w:rPr>
        <w:t>In the first quarter of 2009, the Company repaid $ 493 million of its floating rate notes. In the third quarter of 2009, the Company repaid $500 million of its floating rate notes and $100 million of its zero coupon bonds and money multiplier notes.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15—Lease Commitments</w:t>
      </w:r>
    </w:p>
    <w:p>
      <w:pPr>
        <w:spacing w:after="0" w:line="130" w:lineRule="exact"/>
        <w:rPr>
          <w:sz w:val="20"/>
          <w:szCs w:val="20"/>
          <w:color w:val="auto"/>
        </w:rPr>
      </w:pPr>
    </w:p>
    <w:p>
      <w:pPr>
        <w:ind w:right="100" w:firstLine="357"/>
        <w:spacing w:after="0" w:line="253" w:lineRule="auto"/>
        <w:rPr>
          <w:sz w:val="20"/>
          <w:szCs w:val="20"/>
          <w:color w:val="auto"/>
        </w:rPr>
      </w:pPr>
      <w:r>
        <w:rPr>
          <w:rFonts w:ascii="Arial" w:cs="Arial" w:eastAsia="Arial" w:hAnsi="Arial"/>
          <w:sz w:val="19"/>
          <w:szCs w:val="19"/>
          <w:color w:val="auto"/>
        </w:rPr>
        <w:t>Future minimum lease payments under operating leases having initial or remaining noncancellable lease terms in excess of one year are as follows:</w:t>
      </w:r>
    </w:p>
    <w:p>
      <w:pPr>
        <w:spacing w:after="0" w:line="1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15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At December 31,</w:t>
            </w:r>
          </w:p>
        </w:tc>
      </w:tr>
      <w:tr>
        <w:trPr>
          <w:trHeight w:val="204"/>
        </w:trPr>
        <w:tc>
          <w:tcPr>
            <w:tcW w:w="8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b w:val="1"/>
                <w:bCs w:val="1"/>
                <w:color w:val="auto"/>
              </w:rPr>
              <w:t>2009</w:t>
            </w:r>
          </w:p>
        </w:tc>
      </w:tr>
      <w:tr>
        <w:trPr>
          <w:trHeight w:val="264"/>
        </w:trPr>
        <w:tc>
          <w:tcPr>
            <w:tcW w:w="8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2010</w:t>
            </w:r>
          </w:p>
        </w:tc>
        <w:tc>
          <w:tcPr>
            <w:tcW w:w="400" w:type="dxa"/>
            <w:vAlign w:val="bottom"/>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11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313</w:t>
            </w:r>
          </w:p>
        </w:tc>
      </w:tr>
      <w:tr>
        <w:trPr>
          <w:trHeight w:val="270"/>
        </w:trPr>
        <w:tc>
          <w:tcPr>
            <w:tcW w:w="8820" w:type="dxa"/>
            <w:vAlign w:val="bottom"/>
          </w:tcPr>
          <w:p>
            <w:pPr>
              <w:ind w:left="20"/>
              <w:spacing w:after="0"/>
              <w:rPr>
                <w:sz w:val="20"/>
                <w:szCs w:val="20"/>
                <w:color w:val="auto"/>
              </w:rPr>
            </w:pPr>
            <w:r>
              <w:rPr>
                <w:rFonts w:ascii="Arial" w:cs="Arial" w:eastAsia="Arial" w:hAnsi="Arial"/>
                <w:sz w:val="19"/>
                <w:szCs w:val="19"/>
                <w:color w:val="auto"/>
              </w:rPr>
              <w:t>2011</w:t>
            </w:r>
          </w:p>
        </w:tc>
        <w:tc>
          <w:tcPr>
            <w:tcW w:w="400" w:type="dxa"/>
            <w:vAlign w:val="bottom"/>
          </w:tcPr>
          <w:p>
            <w:pPr>
              <w:spacing w:after="0"/>
              <w:rPr>
                <w:sz w:val="23"/>
                <w:szCs w:val="23"/>
                <w:color w:val="auto"/>
              </w:rPr>
            </w:pPr>
          </w:p>
        </w:tc>
        <w:tc>
          <w:tcPr>
            <w:tcW w:w="1180" w:type="dxa"/>
            <w:vAlign w:val="bottom"/>
          </w:tcPr>
          <w:p>
            <w:pPr>
              <w:jc w:val="right"/>
              <w:ind w:right="65"/>
              <w:spacing w:after="0"/>
              <w:rPr>
                <w:sz w:val="20"/>
                <w:szCs w:val="20"/>
                <w:color w:val="auto"/>
              </w:rPr>
            </w:pPr>
            <w:r>
              <w:rPr>
                <w:rFonts w:ascii="Arial" w:cs="Arial" w:eastAsia="Arial" w:hAnsi="Arial"/>
                <w:sz w:val="19"/>
                <w:szCs w:val="19"/>
                <w:color w:val="auto"/>
              </w:rPr>
              <w:t>245</w:t>
            </w:r>
          </w:p>
        </w:tc>
      </w:tr>
      <w:tr>
        <w:trPr>
          <w:trHeight w:val="270"/>
        </w:trPr>
        <w:tc>
          <w:tcPr>
            <w:tcW w:w="8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2012</w:t>
            </w:r>
          </w:p>
        </w:tc>
        <w:tc>
          <w:tcPr>
            <w:tcW w:w="400" w:type="dxa"/>
            <w:vAlign w:val="bottom"/>
            <w:shd w:val="clear" w:color="auto" w:fill="E5FFFF"/>
          </w:tcPr>
          <w:p>
            <w:pPr>
              <w:spacing w:after="0"/>
              <w:rPr>
                <w:sz w:val="23"/>
                <w:szCs w:val="23"/>
                <w:color w:val="auto"/>
              </w:rPr>
            </w:pPr>
          </w:p>
        </w:tc>
        <w:tc>
          <w:tcPr>
            <w:tcW w:w="11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174</w:t>
            </w:r>
          </w:p>
        </w:tc>
      </w:tr>
      <w:tr>
        <w:trPr>
          <w:trHeight w:val="270"/>
        </w:trPr>
        <w:tc>
          <w:tcPr>
            <w:tcW w:w="8820" w:type="dxa"/>
            <w:vAlign w:val="bottom"/>
          </w:tcPr>
          <w:p>
            <w:pPr>
              <w:ind w:left="20"/>
              <w:spacing w:after="0"/>
              <w:rPr>
                <w:sz w:val="20"/>
                <w:szCs w:val="20"/>
                <w:color w:val="auto"/>
              </w:rPr>
            </w:pPr>
            <w:r>
              <w:rPr>
                <w:rFonts w:ascii="Arial" w:cs="Arial" w:eastAsia="Arial" w:hAnsi="Arial"/>
                <w:sz w:val="19"/>
                <w:szCs w:val="19"/>
                <w:color w:val="auto"/>
              </w:rPr>
              <w:t>2013</w:t>
            </w:r>
          </w:p>
        </w:tc>
        <w:tc>
          <w:tcPr>
            <w:tcW w:w="400" w:type="dxa"/>
            <w:vAlign w:val="bottom"/>
          </w:tcPr>
          <w:p>
            <w:pPr>
              <w:spacing w:after="0"/>
              <w:rPr>
                <w:sz w:val="23"/>
                <w:szCs w:val="23"/>
                <w:color w:val="auto"/>
              </w:rPr>
            </w:pPr>
          </w:p>
        </w:tc>
        <w:tc>
          <w:tcPr>
            <w:tcW w:w="1180" w:type="dxa"/>
            <w:vAlign w:val="bottom"/>
          </w:tcPr>
          <w:p>
            <w:pPr>
              <w:jc w:val="right"/>
              <w:ind w:right="65"/>
              <w:spacing w:after="0"/>
              <w:rPr>
                <w:sz w:val="20"/>
                <w:szCs w:val="20"/>
                <w:color w:val="auto"/>
              </w:rPr>
            </w:pPr>
            <w:r>
              <w:rPr>
                <w:rFonts w:ascii="Arial" w:cs="Arial" w:eastAsia="Arial" w:hAnsi="Arial"/>
                <w:sz w:val="19"/>
                <w:szCs w:val="19"/>
                <w:color w:val="auto"/>
              </w:rPr>
              <w:t>125</w:t>
            </w:r>
          </w:p>
        </w:tc>
      </w:tr>
      <w:tr>
        <w:trPr>
          <w:trHeight w:val="270"/>
        </w:trPr>
        <w:tc>
          <w:tcPr>
            <w:tcW w:w="8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2014</w:t>
            </w:r>
          </w:p>
        </w:tc>
        <w:tc>
          <w:tcPr>
            <w:tcW w:w="400" w:type="dxa"/>
            <w:vAlign w:val="bottom"/>
            <w:shd w:val="clear" w:color="auto" w:fill="E5FFFF"/>
          </w:tcPr>
          <w:p>
            <w:pPr>
              <w:spacing w:after="0"/>
              <w:rPr>
                <w:sz w:val="23"/>
                <w:szCs w:val="23"/>
                <w:color w:val="auto"/>
              </w:rPr>
            </w:pPr>
          </w:p>
        </w:tc>
        <w:tc>
          <w:tcPr>
            <w:tcW w:w="11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100</w:t>
            </w:r>
          </w:p>
        </w:tc>
      </w:tr>
      <w:tr>
        <w:trPr>
          <w:trHeight w:val="270"/>
        </w:trPr>
        <w:tc>
          <w:tcPr>
            <w:tcW w:w="8820" w:type="dxa"/>
            <w:vAlign w:val="bottom"/>
          </w:tcPr>
          <w:p>
            <w:pPr>
              <w:ind w:left="20"/>
              <w:spacing w:after="0"/>
              <w:rPr>
                <w:sz w:val="20"/>
                <w:szCs w:val="20"/>
                <w:color w:val="auto"/>
              </w:rPr>
            </w:pPr>
            <w:r>
              <w:rPr>
                <w:rFonts w:ascii="Arial" w:cs="Arial" w:eastAsia="Arial" w:hAnsi="Arial"/>
                <w:sz w:val="19"/>
                <w:szCs w:val="19"/>
                <w:color w:val="auto"/>
              </w:rPr>
              <w:t>Thereafter</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256</w:t>
            </w:r>
          </w:p>
        </w:tc>
      </w:tr>
      <w:tr>
        <w:trPr>
          <w:trHeight w:val="34"/>
        </w:trPr>
        <w:tc>
          <w:tcPr>
            <w:tcW w:w="8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820" w:type="dxa"/>
            <w:vAlign w:val="bottom"/>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1,213</w:t>
            </w: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00" w:firstLine="357"/>
        <w:spacing w:after="0" w:line="241" w:lineRule="auto"/>
        <w:rPr>
          <w:sz w:val="20"/>
          <w:szCs w:val="20"/>
          <w:color w:val="auto"/>
        </w:rPr>
      </w:pPr>
      <w:r>
        <w:rPr>
          <w:rFonts w:ascii="Arial" w:cs="Arial" w:eastAsia="Arial" w:hAnsi="Arial"/>
          <w:sz w:val="19"/>
          <w:szCs w:val="19"/>
          <w:color w:val="auto"/>
        </w:rPr>
        <w:t>We have entered into agreements to lease land, equipment and buildings. Principally all our operating leases have initial terms of up to 25 years, and some contain renewal options subject to customary conditions. At any time during the terms of some of our leases, we may at our option purchase the leased assets for amounts that approximate fair value. We do not expect that any of our commitments under the lease agreements will have a material adverse effect on our consolidated results of operations, financial position or liquidity.</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Rent expense was $371, $383 and $365 million in 2009, 2008 and 2007,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16—Financial Instruments and Fair Value Measures</w:t>
      </w:r>
    </w:p>
    <w:p>
      <w:pPr>
        <w:spacing w:after="0" w:line="106" w:lineRule="exact"/>
        <w:rPr>
          <w:sz w:val="20"/>
          <w:szCs w:val="20"/>
          <w:color w:val="auto"/>
        </w:rPr>
      </w:pPr>
    </w:p>
    <w:p>
      <w:pPr>
        <w:ind w:right="40" w:firstLine="357"/>
        <w:spacing w:after="0" w:line="244" w:lineRule="auto"/>
        <w:rPr>
          <w:sz w:val="20"/>
          <w:szCs w:val="20"/>
          <w:color w:val="auto"/>
        </w:rPr>
      </w:pPr>
      <w:r>
        <w:rPr>
          <w:rFonts w:ascii="Arial" w:cs="Arial" w:eastAsia="Arial" w:hAnsi="Arial"/>
          <w:sz w:val="19"/>
          <w:szCs w:val="19"/>
          <w:b w:val="1"/>
          <w:bCs w:val="1"/>
          <w:i w:val="1"/>
          <w:iCs w:val="1"/>
          <w:color w:val="auto"/>
        </w:rPr>
        <w:t>Credit and Market Risk</w:t>
      </w:r>
      <w:r>
        <w:rPr>
          <w:rFonts w:ascii="Arial" w:cs="Arial" w:eastAsia="Arial" w:hAnsi="Arial"/>
          <w:sz w:val="19"/>
          <w:szCs w:val="19"/>
          <w:color w:val="auto"/>
        </w:rPr>
        <w:t>—Financial instruments, including derivatives, expose us to counterparty credit risk for nonperformance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to market risk related to changes in interest and currency exchange rates and commodity prices.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currency exchange rates and commodity prices and restrict the use of derivative financial instruments to hedging activities.</w:t>
      </w:r>
    </w:p>
    <w:p>
      <w:pPr>
        <w:spacing w:after="0" w:line="90" w:lineRule="exact"/>
        <w:rPr>
          <w:sz w:val="20"/>
          <w:szCs w:val="20"/>
          <w:color w:val="auto"/>
        </w:rPr>
      </w:pPr>
    </w:p>
    <w:p>
      <w:pPr>
        <w:ind w:right="300" w:firstLine="357"/>
        <w:spacing w:after="0" w:line="245" w:lineRule="auto"/>
        <w:rPr>
          <w:sz w:val="20"/>
          <w:szCs w:val="20"/>
          <w:color w:val="auto"/>
        </w:rPr>
      </w:pPr>
      <w:r>
        <w:rPr>
          <w:rFonts w:ascii="Arial" w:cs="Arial" w:eastAsia="Arial" w:hAnsi="Arial"/>
          <w:sz w:val="19"/>
          <w:szCs w:val="19"/>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63"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Foreign Currency Risk Management</w:t>
      </w:r>
      <w:r>
        <w:rPr>
          <w:rFonts w:ascii="Arial" w:cs="Arial" w:eastAsia="Arial" w:hAnsi="Arial"/>
          <w:sz w:val="19"/>
          <w:szCs w:val="19"/>
          <w:color w:val="auto"/>
        </w:rPr>
        <w:t>—We conduct our business on a multinational basis in a wide variety of foreign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currencies. Our exposure to market risk for changes in foreign currency exchange rates arises from international financing activities between subsidiaries, foreign currency denominated monetary assets and liabilities and transactions arising from international trade. Our objective is to preserve the economic value of non-functional currency denominated cash flows. We attempt to hedge transaction exposures with natural offsets to the fullest extent possible and, once these opportunities have been exhausted, through foreign currency exchange forward and option contracts with third parties.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w:t>
      </w:r>
    </w:p>
    <w:p>
      <w:pPr>
        <w:spacing w:after="0" w:line="195"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We partially hedge forecasted sales and purchases, which predominantly occur in the next twelve months and are denominated in non-functional currencies, with currency forward contracts. Changes in the forecasted non-functional currency cash flows due to movements in exchange rates are substantially offset by changes in the fair value of the currency forward contracts designated as hedges. Market value gains and losses on these contracts are recognized in earnings when the hedged transaction is recognized.</w:t>
      </w:r>
    </w:p>
    <w:p>
      <w:pPr>
        <w:spacing w:after="0" w:line="91"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Open foreign currency exchange forward contracts mature predominantly in the next twelve months. At December 31, 2009 and 2008, we had contracts with notional amounts of $2,959 and $3,030 million, respectively to exchange foreign currencies, principally the U.S. dollar, Euro, British pound, Canadian dollar, Hong Kong dollar, Mexican peso, Swiss franc, Czech koruna, Chinese renminbi, Indian rupee and Singapore dollar.</w:t>
      </w:r>
    </w:p>
    <w:p>
      <w:pPr>
        <w:spacing w:after="0" w:line="67" w:lineRule="exact"/>
        <w:rPr>
          <w:sz w:val="20"/>
          <w:szCs w:val="20"/>
          <w:color w:val="auto"/>
        </w:rPr>
      </w:pPr>
    </w:p>
    <w:p>
      <w:pPr>
        <w:ind w:right="60" w:firstLine="357"/>
        <w:spacing w:after="0" w:line="244" w:lineRule="auto"/>
        <w:rPr>
          <w:sz w:val="20"/>
          <w:szCs w:val="20"/>
          <w:color w:val="auto"/>
        </w:rPr>
      </w:pPr>
      <w:r>
        <w:rPr>
          <w:rFonts w:ascii="Arial" w:cs="Arial" w:eastAsia="Arial" w:hAnsi="Arial"/>
          <w:sz w:val="19"/>
          <w:szCs w:val="19"/>
          <w:b w:val="1"/>
          <w:bCs w:val="1"/>
          <w:i w:val="1"/>
          <w:iCs w:val="1"/>
          <w:color w:val="auto"/>
        </w:rPr>
        <w:t>Commodity Price Risk Management</w:t>
      </w:r>
      <w:r>
        <w:rPr>
          <w:rFonts w:ascii="Arial" w:cs="Arial" w:eastAsia="Arial" w:hAnsi="Arial"/>
          <w:sz w:val="19"/>
          <w:szCs w:val="19"/>
          <w:color w:val="auto"/>
        </w:rPr>
        <w:t>—Our exposure to market risk for commodity prices can result in changes in our cost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production. We primarily mitigate our exposure to commodity price risk through the use of long-term, fixed-price contracts with our suppliers and formula price agreements with suppliers and customers. We also enter into forward commodity contracts with third parties designated as hedges of anticipated purchases of several commodities. Forward commodity contracts are marked-to-market, with the resulting gains and losses recognized in earnings when the hedged transaction is recognized. At December 31, 2009 and 2008, we had contracts with notional amounts of $52 and $8 million, respectively, related to forward commodity agreements, principally base metals and natural gas.</w:t>
      </w:r>
    </w:p>
    <w:p>
      <w:pPr>
        <w:spacing w:after="0" w:line="66" w:lineRule="exact"/>
        <w:rPr>
          <w:sz w:val="20"/>
          <w:szCs w:val="20"/>
          <w:color w:val="auto"/>
        </w:rPr>
      </w:pPr>
    </w:p>
    <w:p>
      <w:pPr>
        <w:ind w:right="60" w:firstLine="357"/>
        <w:spacing w:after="0" w:line="248" w:lineRule="auto"/>
        <w:rPr>
          <w:sz w:val="20"/>
          <w:szCs w:val="20"/>
          <w:color w:val="auto"/>
        </w:rPr>
      </w:pPr>
      <w:r>
        <w:rPr>
          <w:rFonts w:ascii="Arial" w:cs="Arial" w:eastAsia="Arial" w:hAnsi="Arial"/>
          <w:sz w:val="19"/>
          <w:szCs w:val="19"/>
          <w:b w:val="1"/>
          <w:bCs w:val="1"/>
          <w:i w:val="1"/>
          <w:iCs w:val="1"/>
          <w:color w:val="auto"/>
        </w:rPr>
        <w:t>Interest Rate Risk Management</w:t>
      </w:r>
      <w:r>
        <w:rPr>
          <w:rFonts w:ascii="Arial" w:cs="Arial" w:eastAsia="Arial" w:hAnsi="Arial"/>
          <w:sz w:val="19"/>
          <w:szCs w:val="19"/>
          <w:color w:val="auto"/>
        </w:rPr>
        <w:t>—We use a combination of financial instruments, including long-term, medium-term and short-term financing, variable-rate commercial paper, and interest rate swaps to manage the interest rate mix of our total debt portfolio and related overall cost of borrowing. At December 31, 2009, interest rate swap agreements designated as fair value hedges effectively changed $600 million of fixed rate debt at a rate of 3.875 percent to LIBOR based floating debt. Our interest rate swaps mature in 2014. At December 31, 2008, we had no interest rate swap agreements.</w:t>
      </w:r>
    </w:p>
    <w:p>
      <w:pPr>
        <w:spacing w:after="0" w:line="60" w:lineRule="exact"/>
        <w:rPr>
          <w:sz w:val="20"/>
          <w:szCs w:val="20"/>
          <w:color w:val="auto"/>
        </w:rPr>
      </w:pPr>
    </w:p>
    <w:p>
      <w:pPr>
        <w:jc w:val="both"/>
        <w:ind w:right="120" w:firstLine="357"/>
        <w:spacing w:after="0" w:line="258" w:lineRule="auto"/>
        <w:rPr>
          <w:sz w:val="20"/>
          <w:szCs w:val="20"/>
          <w:color w:val="auto"/>
        </w:rPr>
      </w:pPr>
      <w:r>
        <w:rPr>
          <w:rFonts w:ascii="Arial" w:cs="Arial" w:eastAsia="Arial" w:hAnsi="Arial"/>
          <w:sz w:val="19"/>
          <w:szCs w:val="19"/>
          <w:b w:val="1"/>
          <w:bCs w:val="1"/>
          <w:i w:val="1"/>
          <w:iCs w:val="1"/>
          <w:color w:val="auto"/>
        </w:rPr>
        <w:t>Fair Value of Financial Instrument</w:t>
      </w:r>
      <w:r>
        <w:rPr>
          <w:rFonts w:ascii="Arial" w:cs="Arial" w:eastAsia="Arial" w:hAnsi="Arial"/>
          <w:sz w:val="19"/>
          <w:szCs w:val="19"/>
          <w:color w:val="auto"/>
        </w:rPr>
        <w:t>—The FASB’s accounting guidance defines fair value as the price that would be received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 an asset or paid to transfer a liability in an orderly transaction between market participants at the measurement date (exit price). The FASB’s guidance classifies the inputs used to measure fair value into the following hierarchy:</w:t>
      </w:r>
    </w:p>
    <w:p>
      <w:pPr>
        <w:sectPr>
          <w:pgSz w:w="11900" w:h="16838" w:orient="portrait"/>
          <w:cols w:equalWidth="0" w:num="1">
            <w:col w:w="11420"/>
          </w:cols>
          <w:pgMar w:left="240" w:top="106" w:right="239" w:bottom="1440" w:gutter="0" w:footer="0" w:header="0"/>
        </w:sectPr>
      </w:pPr>
    </w:p>
    <w:p>
      <w:pPr>
        <w:spacing w:after="0" w:line="35" w:lineRule="exact"/>
        <w:rPr>
          <w:sz w:val="20"/>
          <w:szCs w:val="20"/>
          <w:color w:val="auto"/>
        </w:rPr>
      </w:pPr>
    </w:p>
    <w:p>
      <w:pPr>
        <w:jc w:val="center"/>
        <w:ind w:left="840"/>
        <w:spacing w:after="0"/>
        <w:rPr>
          <w:sz w:val="20"/>
          <w:szCs w:val="20"/>
          <w:color w:val="auto"/>
        </w:rPr>
      </w:pPr>
      <w:r>
        <w:rPr>
          <w:rFonts w:ascii="Arial" w:cs="Arial" w:eastAsia="Arial" w:hAnsi="Arial"/>
          <w:sz w:val="19"/>
          <w:szCs w:val="19"/>
          <w:color w:val="auto"/>
        </w:rPr>
        <w:t>Level 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Unadjusted quoted prices in active markets for identical assets or liabilities</w:t>
      </w:r>
    </w:p>
    <w:p>
      <w:pPr>
        <w:spacing w:after="0" w:line="52" w:lineRule="exact"/>
        <w:rPr>
          <w:sz w:val="20"/>
          <w:szCs w:val="20"/>
          <w:color w:val="auto"/>
        </w:rPr>
      </w:pPr>
    </w:p>
    <w:p>
      <w:pPr>
        <w:sectPr>
          <w:pgSz w:w="11900" w:h="16838" w:orient="portrait"/>
          <w:cols w:equalWidth="0" w:num="2">
            <w:col w:w="2340" w:space="720"/>
            <w:col w:w="8360"/>
          </w:cols>
          <w:pgMar w:left="240" w:top="106" w:right="239" w:bottom="1440" w:gutter="0" w:footer="0" w:header="0"/>
          <w:type w:val="continuous"/>
        </w:sectPr>
      </w:pPr>
    </w:p>
    <w:p>
      <w:pPr>
        <w:jc w:val="center"/>
        <w:ind w:left="840"/>
        <w:spacing w:after="0"/>
        <w:rPr>
          <w:sz w:val="20"/>
          <w:szCs w:val="20"/>
          <w:color w:val="auto"/>
        </w:rPr>
      </w:pPr>
      <w:r>
        <w:rPr>
          <w:rFonts w:ascii="Arial" w:cs="Arial" w:eastAsia="Arial" w:hAnsi="Arial"/>
          <w:sz w:val="19"/>
          <w:szCs w:val="19"/>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Unadjusted quoted prices in active markets for similar assets or liabilities, or</w:t>
      </w:r>
    </w:p>
    <w:p>
      <w:pPr>
        <w:spacing w:after="0" w:line="52" w:lineRule="exact"/>
        <w:rPr>
          <w:sz w:val="20"/>
          <w:szCs w:val="20"/>
          <w:color w:val="auto"/>
        </w:rPr>
      </w:pPr>
    </w:p>
    <w:p>
      <w:pPr>
        <w:sectPr>
          <w:pgSz w:w="11900" w:h="16838" w:orient="portrait"/>
          <w:cols w:equalWidth="0" w:num="2">
            <w:col w:w="2340" w:space="720"/>
            <w:col w:w="8360"/>
          </w:cols>
          <w:pgMar w:left="240" w:top="106" w:right="239" w:bottom="1440" w:gutter="0" w:footer="0" w:header="0"/>
          <w:type w:val="continuous"/>
        </w:sectPr>
      </w:pPr>
    </w:p>
    <w:p>
      <w:pPr>
        <w:ind w:left="3060" w:right="1320"/>
        <w:spacing w:after="0" w:line="252" w:lineRule="auto"/>
        <w:rPr>
          <w:sz w:val="20"/>
          <w:szCs w:val="20"/>
          <w:color w:val="auto"/>
        </w:rPr>
      </w:pPr>
      <w:r>
        <w:rPr>
          <w:rFonts w:ascii="Arial" w:cs="Arial" w:eastAsia="Arial" w:hAnsi="Arial"/>
          <w:sz w:val="19"/>
          <w:szCs w:val="19"/>
          <w:color w:val="auto"/>
        </w:rPr>
        <w:t>Unadjusted quoted prices for identical or similar assets or liabilities in markets that are not active, or</w:t>
      </w:r>
    </w:p>
    <w:p>
      <w:pPr>
        <w:ind w:left="3060"/>
        <w:spacing w:after="0"/>
        <w:rPr>
          <w:sz w:val="20"/>
          <w:szCs w:val="20"/>
          <w:color w:val="auto"/>
        </w:rPr>
      </w:pPr>
      <w:r>
        <w:rPr>
          <w:rFonts w:ascii="Arial" w:cs="Arial" w:eastAsia="Arial" w:hAnsi="Arial"/>
          <w:sz w:val="19"/>
          <w:szCs w:val="19"/>
          <w:color w:val="auto"/>
        </w:rPr>
        <w:t>Inputs other than quoted prices that are observable for the asset or liability</w:t>
      </w:r>
    </w:p>
    <w:p>
      <w:pPr>
        <w:sectPr>
          <w:pgSz w:w="11900" w:h="16838" w:orient="portrait"/>
          <w:cols w:equalWidth="0" w:num="1">
            <w:col w:w="11420"/>
          </w:cols>
          <w:pgMar w:left="240" w:top="106" w:right="239" w:bottom="1440" w:gutter="0" w:footer="0" w:header="0"/>
          <w:type w:val="continuous"/>
        </w:sectPr>
      </w:pPr>
    </w:p>
    <w:p>
      <w:pPr>
        <w:spacing w:after="0" w:line="52" w:lineRule="exact"/>
        <w:rPr>
          <w:sz w:val="20"/>
          <w:szCs w:val="20"/>
          <w:color w:val="auto"/>
        </w:rPr>
      </w:pPr>
    </w:p>
    <w:p>
      <w:pPr>
        <w:jc w:val="center"/>
        <w:ind w:left="840"/>
        <w:spacing w:after="0"/>
        <w:rPr>
          <w:sz w:val="20"/>
          <w:szCs w:val="20"/>
          <w:color w:val="auto"/>
        </w:rPr>
      </w:pPr>
      <w:r>
        <w:rPr>
          <w:rFonts w:ascii="Arial" w:cs="Arial" w:eastAsia="Arial" w:hAnsi="Arial"/>
          <w:sz w:val="19"/>
          <w:szCs w:val="19"/>
          <w:color w:val="auto"/>
        </w:rPr>
        <w:t>Level 3</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Unobservable inputs for the asset or liability</w:t>
      </w:r>
    </w:p>
    <w:p>
      <w:pPr>
        <w:spacing w:after="0" w:line="146" w:lineRule="exact"/>
        <w:rPr>
          <w:sz w:val="20"/>
          <w:szCs w:val="20"/>
          <w:color w:val="auto"/>
        </w:rPr>
      </w:pPr>
    </w:p>
    <w:p>
      <w:pPr>
        <w:sectPr>
          <w:pgSz w:w="11900" w:h="16838" w:orient="portrait"/>
          <w:cols w:equalWidth="0" w:num="2">
            <w:col w:w="2340" w:space="720"/>
            <w:col w:w="8360"/>
          </w:cols>
          <w:pgMar w:left="240" w:top="106" w:right="239" w:bottom="1440" w:gutter="0" w:footer="0" w:header="0"/>
          <w:type w:val="continuous"/>
        </w:sectPr>
      </w:pPr>
    </w:p>
    <w:p>
      <w:pPr>
        <w:ind w:right="540"/>
        <w:spacing w:after="0" w:line="245" w:lineRule="auto"/>
        <w:rPr>
          <w:sz w:val="20"/>
          <w:szCs w:val="20"/>
          <w:color w:val="auto"/>
        </w:rPr>
      </w:pPr>
      <w:r>
        <w:rPr>
          <w:rFonts w:ascii="Arial" w:cs="Arial" w:eastAsia="Arial" w:hAnsi="Arial"/>
          <w:sz w:val="19"/>
          <w:szCs w:val="19"/>
          <w:color w:val="auto"/>
        </w:rPr>
        <w:t>The Company endeavors to utilize the best available information in measuring fair value. Financial and nonfinancial assets and liabilities are classified in their entirety based on the lowest level of input that is significant to the fair value measurement. The Company has determined that our financial assets and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00"/>
        <w:spacing w:after="0" w:line="253" w:lineRule="auto"/>
        <w:rPr>
          <w:sz w:val="20"/>
          <w:szCs w:val="20"/>
          <w:color w:val="auto"/>
        </w:rPr>
      </w:pPr>
      <w:r>
        <w:rPr>
          <w:rFonts w:ascii="Arial" w:cs="Arial" w:eastAsia="Arial" w:hAnsi="Arial"/>
          <w:sz w:val="19"/>
          <w:szCs w:val="19"/>
          <w:color w:val="auto"/>
        </w:rPr>
        <w:t>liabilities are level 2 in the fair value hierarchy. The following table sets forth the Company’s financial assets and liabilities that were accounted for at fair value on a recurring basis as of December 31, 2009 and 2008:</w:t>
      </w:r>
    </w:p>
    <w:p>
      <w:pPr>
        <w:spacing w:after="0" w:line="29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95"/>
              </w:rPr>
              <w:t>2008</w:t>
            </w:r>
          </w:p>
        </w:tc>
      </w:tr>
      <w:tr>
        <w:trPr>
          <w:trHeight w:val="237"/>
        </w:trPr>
        <w:tc>
          <w:tcPr>
            <w:tcW w:w="85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Assets:</w:t>
            </w:r>
          </w:p>
        </w:tc>
        <w:tc>
          <w:tcPr>
            <w:tcW w:w="20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r>
      <w:tr>
        <w:trPr>
          <w:trHeight w:val="459"/>
        </w:trPr>
        <w:tc>
          <w:tcPr>
            <w:tcW w:w="8580" w:type="dxa"/>
            <w:vAlign w:val="bottom"/>
          </w:tcPr>
          <w:p>
            <w:pPr>
              <w:ind w:left="380"/>
              <w:spacing w:after="0"/>
              <w:rPr>
                <w:sz w:val="20"/>
                <w:szCs w:val="20"/>
                <w:color w:val="auto"/>
              </w:rPr>
            </w:pPr>
            <w:r>
              <w:rPr>
                <w:rFonts w:ascii="Arial" w:cs="Arial" w:eastAsia="Arial" w:hAnsi="Arial"/>
                <w:sz w:val="19"/>
                <w:szCs w:val="19"/>
                <w:color w:val="auto"/>
              </w:rPr>
              <w:t>Foreign currency exchange contracts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7"/>
              <w:spacing w:after="0"/>
              <w:rPr>
                <w:sz w:val="20"/>
                <w:szCs w:val="20"/>
                <w:color w:val="auto"/>
              </w:rPr>
            </w:pPr>
            <w:r>
              <w:rPr>
                <w:rFonts w:ascii="Arial" w:cs="Arial" w:eastAsia="Arial" w:hAnsi="Arial"/>
                <w:sz w:val="19"/>
                <w:szCs w:val="19"/>
                <w:color w:val="auto"/>
              </w:rPr>
              <w:t>11</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70"/>
        </w:trPr>
        <w:tc>
          <w:tcPr>
            <w:tcW w:w="8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Available for sale investments</w:t>
            </w: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141</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w:t>
            </w:r>
          </w:p>
        </w:tc>
      </w:tr>
      <w:tr>
        <w:trPr>
          <w:trHeight w:val="270"/>
        </w:trPr>
        <w:tc>
          <w:tcPr>
            <w:tcW w:w="8580" w:type="dxa"/>
            <w:vAlign w:val="bottom"/>
          </w:tcPr>
          <w:p>
            <w:pPr>
              <w:ind w:left="380"/>
              <w:spacing w:after="0"/>
              <w:rPr>
                <w:sz w:val="20"/>
                <w:szCs w:val="20"/>
                <w:color w:val="auto"/>
              </w:rPr>
            </w:pPr>
            <w:r>
              <w:rPr>
                <w:rFonts w:ascii="Arial" w:cs="Arial" w:eastAsia="Arial" w:hAnsi="Arial"/>
                <w:sz w:val="19"/>
                <w:szCs w:val="19"/>
                <w:color w:val="auto"/>
              </w:rPr>
              <w:t>Interest rate swap agreements</w:t>
            </w:r>
          </w:p>
        </w:tc>
        <w:tc>
          <w:tcPr>
            <w:tcW w:w="200" w:type="dxa"/>
            <w:vAlign w:val="bottom"/>
          </w:tcPr>
          <w:p>
            <w:pPr>
              <w:spacing w:after="0"/>
              <w:rPr>
                <w:sz w:val="23"/>
                <w:szCs w:val="23"/>
                <w:color w:val="auto"/>
              </w:rPr>
            </w:pPr>
          </w:p>
        </w:tc>
        <w:tc>
          <w:tcPr>
            <w:tcW w:w="620" w:type="dxa"/>
            <w:vAlign w:val="bottom"/>
          </w:tcPr>
          <w:p>
            <w:pPr>
              <w:jc w:val="right"/>
              <w:ind w:right="7"/>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0"/>
        </w:trPr>
        <w:tc>
          <w:tcPr>
            <w:tcW w:w="8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Forward commodity contracts</w:t>
            </w: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4</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8580" w:type="dxa"/>
            <w:vAlign w:val="bottom"/>
          </w:tcPr>
          <w:p>
            <w:pPr>
              <w:ind w:left="20"/>
              <w:spacing w:after="0"/>
              <w:rPr>
                <w:sz w:val="20"/>
                <w:szCs w:val="20"/>
                <w:color w:val="auto"/>
              </w:rPr>
            </w:pPr>
            <w:r>
              <w:rPr>
                <w:rFonts w:ascii="Arial" w:cs="Arial" w:eastAsia="Arial" w:hAnsi="Arial"/>
                <w:sz w:val="19"/>
                <w:szCs w:val="19"/>
                <w:b w:val="1"/>
                <w:bCs w:val="1"/>
                <w:color w:val="auto"/>
              </w:rPr>
              <w:t>Liabilities: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0"/>
        </w:trPr>
        <w:tc>
          <w:tcPr>
            <w:tcW w:w="8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Foreign currency exchange contracts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3</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w:t>
            </w:r>
          </w:p>
        </w:tc>
      </w:tr>
      <w:tr>
        <w:trPr>
          <w:trHeight w:val="270"/>
        </w:trPr>
        <w:tc>
          <w:tcPr>
            <w:tcW w:w="8580" w:type="dxa"/>
            <w:vAlign w:val="bottom"/>
          </w:tcPr>
          <w:p>
            <w:pPr>
              <w:ind w:left="380"/>
              <w:spacing w:after="0"/>
              <w:rPr>
                <w:sz w:val="20"/>
                <w:szCs w:val="20"/>
                <w:color w:val="auto"/>
              </w:rPr>
            </w:pPr>
            <w:r>
              <w:rPr>
                <w:rFonts w:ascii="Arial" w:cs="Arial" w:eastAsia="Arial" w:hAnsi="Arial"/>
                <w:sz w:val="19"/>
                <w:szCs w:val="19"/>
                <w:color w:val="auto"/>
              </w:rPr>
              <w:t>Interest rate swap agreements</w:t>
            </w:r>
          </w:p>
        </w:tc>
        <w:tc>
          <w:tcPr>
            <w:tcW w:w="200" w:type="dxa"/>
            <w:vAlign w:val="bottom"/>
          </w:tcPr>
          <w:p>
            <w:pPr>
              <w:spacing w:after="0"/>
              <w:rPr>
                <w:sz w:val="23"/>
                <w:szCs w:val="23"/>
                <w:color w:val="auto"/>
              </w:rPr>
            </w:pPr>
          </w:p>
        </w:tc>
        <w:tc>
          <w:tcPr>
            <w:tcW w:w="620" w:type="dxa"/>
            <w:vAlign w:val="bottom"/>
          </w:tcPr>
          <w:p>
            <w:pPr>
              <w:jc w:val="right"/>
              <w:ind w:right="7"/>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0"/>
        </w:trPr>
        <w:tc>
          <w:tcPr>
            <w:tcW w:w="8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Forward commodity contracts</w:t>
            </w: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r>
    </w:tbl>
    <w:p>
      <w:pPr>
        <w:spacing w:after="0" w:line="108" w:lineRule="exact"/>
        <w:rPr>
          <w:sz w:val="20"/>
          <w:szCs w:val="20"/>
          <w:color w:val="auto"/>
        </w:rPr>
      </w:pPr>
    </w:p>
    <w:p>
      <w:pPr>
        <w:ind w:right="160" w:firstLine="357"/>
        <w:spacing w:after="0" w:line="242" w:lineRule="auto"/>
        <w:rPr>
          <w:sz w:val="20"/>
          <w:szCs w:val="20"/>
          <w:color w:val="auto"/>
        </w:rPr>
      </w:pPr>
      <w:r>
        <w:rPr>
          <w:rFonts w:ascii="Arial" w:cs="Arial" w:eastAsia="Arial" w:hAnsi="Arial"/>
          <w:sz w:val="19"/>
          <w:szCs w:val="19"/>
          <w:color w:val="auto"/>
        </w:rPr>
        <w:t>The foreign currency exchange contracts, interest rate swap agreements, and forward commodity contracts are valued using broker quotations, or market transactions in either the listed or over-the-counter markets. As such, these derivative instruments are classified within level 2. The Company also holds investments in marketable equity securities that are designated as available for sale and are valued using market transactions in over-the-counter markets. As such, these investments are classified within level 2.</w:t>
      </w:r>
    </w:p>
    <w:p>
      <w:pPr>
        <w:spacing w:after="0" w:line="91" w:lineRule="exact"/>
        <w:rPr>
          <w:sz w:val="20"/>
          <w:szCs w:val="20"/>
          <w:color w:val="auto"/>
        </w:rPr>
      </w:pPr>
    </w:p>
    <w:p>
      <w:pPr>
        <w:jc w:val="both"/>
        <w:ind w:right="120" w:firstLine="357"/>
        <w:spacing w:after="0" w:line="245" w:lineRule="auto"/>
        <w:rPr>
          <w:sz w:val="20"/>
          <w:szCs w:val="20"/>
          <w:color w:val="auto"/>
        </w:rPr>
      </w:pPr>
      <w:r>
        <w:rPr>
          <w:rFonts w:ascii="Arial" w:cs="Arial" w:eastAsia="Arial" w:hAnsi="Arial"/>
          <w:sz w:val="19"/>
          <w:szCs w:val="19"/>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6"/>
                <w:szCs w:val="16"/>
                <w:b w:val="1"/>
                <w:bCs w:val="1"/>
                <w:color w:val="auto"/>
              </w:rPr>
              <w:t>December 31,</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50"/>
        </w:trPr>
        <w:tc>
          <w:tcPr>
            <w:tcW w:w="7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2009</w:t>
            </w:r>
          </w:p>
        </w:tc>
        <w:tc>
          <w:tcPr>
            <w:tcW w:w="6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2008</w:t>
            </w:r>
          </w:p>
        </w:tc>
        <w:tc>
          <w:tcPr>
            <w:tcW w:w="640" w:type="dxa"/>
            <w:vAlign w:val="bottom"/>
            <w:tcBorders>
              <w:bottom w:val="single" w:sz="8" w:color="auto"/>
            </w:tcBorders>
          </w:tcPr>
          <w:p>
            <w:pPr>
              <w:spacing w:after="0"/>
              <w:rPr>
                <w:sz w:val="21"/>
                <w:szCs w:val="21"/>
                <w:color w:val="auto"/>
              </w:rPr>
            </w:pPr>
          </w:p>
        </w:tc>
      </w:tr>
      <w:tr>
        <w:trPr>
          <w:trHeight w:val="168"/>
        </w:trPr>
        <w:tc>
          <w:tcPr>
            <w:tcW w:w="7280" w:type="dxa"/>
            <w:vAlign w:val="bottom"/>
          </w:tcPr>
          <w:p>
            <w:pPr>
              <w:spacing w:after="0"/>
              <w:rPr>
                <w:sz w:val="14"/>
                <w:szCs w:val="14"/>
                <w:color w:val="auto"/>
              </w:rPr>
            </w:pPr>
          </w:p>
        </w:tc>
        <w:tc>
          <w:tcPr>
            <w:tcW w:w="76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2"/>
              <w:spacing w:after="0" w:line="168" w:lineRule="exact"/>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4"/>
                <w:szCs w:val="14"/>
                <w:color w:val="auto"/>
              </w:rPr>
            </w:pPr>
          </w:p>
        </w:tc>
        <w:tc>
          <w:tcPr>
            <w:tcW w:w="76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0"/>
              <w:spacing w:after="0" w:line="168" w:lineRule="exact"/>
              <w:rPr>
                <w:sz w:val="20"/>
                <w:szCs w:val="20"/>
                <w:color w:val="auto"/>
              </w:rPr>
            </w:pPr>
            <w:r>
              <w:rPr>
                <w:rFonts w:ascii="Arial" w:cs="Arial" w:eastAsia="Arial" w:hAnsi="Arial"/>
                <w:sz w:val="16"/>
                <w:szCs w:val="16"/>
                <w:b w:val="1"/>
                <w:bCs w:val="1"/>
                <w:color w:val="auto"/>
              </w:rPr>
              <w:t>Fair</w:t>
            </w:r>
          </w:p>
        </w:tc>
      </w:tr>
      <w:tr>
        <w:trPr>
          <w:trHeight w:val="204"/>
        </w:trPr>
        <w:tc>
          <w:tcPr>
            <w:tcW w:w="7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w w:val="98"/>
              </w:rPr>
              <w:t>Value</w:t>
            </w: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w w:val="98"/>
              </w:rPr>
              <w:t>Value</w:t>
            </w:r>
          </w:p>
        </w:tc>
        <w:tc>
          <w:tcPr>
            <w:tcW w:w="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w w:val="98"/>
              </w:rPr>
              <w:t>Value</w:t>
            </w:r>
          </w:p>
        </w:tc>
      </w:tr>
      <w:tr>
        <w:trPr>
          <w:trHeight w:val="237"/>
        </w:trPr>
        <w:tc>
          <w:tcPr>
            <w:tcW w:w="72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Assets:</w:t>
            </w:r>
          </w:p>
        </w:tc>
        <w:tc>
          <w:tcPr>
            <w:tcW w:w="180" w:type="dxa"/>
            <w:vAlign w:val="bottom"/>
            <w:shd w:val="clear" w:color="auto" w:fill="E5FFFF"/>
          </w:tcPr>
          <w:p>
            <w:pPr>
              <w:spacing w:after="0"/>
              <w:rPr>
                <w:sz w:val="20"/>
                <w:szCs w:val="20"/>
                <w:color w:val="auto"/>
              </w:rPr>
            </w:pPr>
          </w:p>
        </w:tc>
        <w:tc>
          <w:tcPr>
            <w:tcW w:w="58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8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r>
      <w:tr>
        <w:trPr>
          <w:trHeight w:val="270"/>
        </w:trPr>
        <w:tc>
          <w:tcPr>
            <w:tcW w:w="7280" w:type="dxa"/>
            <w:vAlign w:val="bottom"/>
          </w:tcPr>
          <w:p>
            <w:pPr>
              <w:ind w:left="380"/>
              <w:spacing w:after="0"/>
              <w:rPr>
                <w:sz w:val="20"/>
                <w:szCs w:val="20"/>
                <w:color w:val="auto"/>
              </w:rPr>
            </w:pPr>
            <w:r>
              <w:rPr>
                <w:rFonts w:ascii="Arial" w:cs="Arial" w:eastAsia="Arial" w:hAnsi="Arial"/>
                <w:sz w:val="19"/>
                <w:szCs w:val="19"/>
                <w:color w:val="auto"/>
              </w:rPr>
              <w:t>Long-term receivables</w:t>
            </w:r>
          </w:p>
        </w:tc>
        <w:tc>
          <w:tcPr>
            <w:tcW w:w="180" w:type="dxa"/>
            <w:vAlign w:val="bottom"/>
          </w:tcPr>
          <w:p>
            <w:pPr>
              <w:ind w:left="60"/>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317</w:t>
            </w:r>
          </w:p>
        </w:tc>
        <w:tc>
          <w:tcPr>
            <w:tcW w:w="54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303</w:t>
            </w:r>
          </w:p>
        </w:tc>
        <w:tc>
          <w:tcPr>
            <w:tcW w:w="480" w:type="dxa"/>
            <w:vAlign w:val="bottom"/>
            <w:gridSpan w:val="2"/>
          </w:tcPr>
          <w:p>
            <w:pPr>
              <w:ind w:left="360"/>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517</w:t>
            </w:r>
          </w:p>
        </w:tc>
        <w:tc>
          <w:tcPr>
            <w:tcW w:w="5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10"/>
              <w:spacing w:after="0"/>
              <w:rPr>
                <w:sz w:val="20"/>
                <w:szCs w:val="20"/>
                <w:color w:val="auto"/>
              </w:rPr>
            </w:pPr>
            <w:r>
              <w:rPr>
                <w:rFonts w:ascii="Arial" w:cs="Arial" w:eastAsia="Arial" w:hAnsi="Arial"/>
                <w:sz w:val="19"/>
                <w:szCs w:val="19"/>
                <w:color w:val="auto"/>
              </w:rPr>
              <w:t>471</w:t>
            </w:r>
          </w:p>
        </w:tc>
      </w:tr>
      <w:tr>
        <w:trPr>
          <w:trHeight w:val="270"/>
        </w:trPr>
        <w:tc>
          <w:tcPr>
            <w:tcW w:w="72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Cost method marketable equity securities</w:t>
            </w: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w:t>
            </w:r>
          </w:p>
        </w:tc>
        <w:tc>
          <w:tcPr>
            <w:tcW w:w="6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18</w:t>
            </w:r>
          </w:p>
        </w:tc>
      </w:tr>
      <w:tr>
        <w:trPr>
          <w:trHeight w:val="243"/>
        </w:trPr>
        <w:tc>
          <w:tcPr>
            <w:tcW w:w="7280" w:type="dxa"/>
            <w:vAlign w:val="bottom"/>
          </w:tcPr>
          <w:p>
            <w:pPr>
              <w:ind w:left="20"/>
              <w:spacing w:after="0"/>
              <w:rPr>
                <w:sz w:val="20"/>
                <w:szCs w:val="20"/>
                <w:color w:val="auto"/>
              </w:rPr>
            </w:pPr>
            <w:r>
              <w:rPr>
                <w:rFonts w:ascii="Arial" w:cs="Arial" w:eastAsia="Arial" w:hAnsi="Arial"/>
                <w:sz w:val="19"/>
                <w:szCs w:val="19"/>
                <w:b w:val="1"/>
                <w:bCs w:val="1"/>
                <w:color w:val="auto"/>
              </w:rPr>
              <w:t>Liabilities:</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0"/>
        </w:trPr>
        <w:tc>
          <w:tcPr>
            <w:tcW w:w="72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Long-term debt and related current maturities.</w:t>
            </w:r>
          </w:p>
        </w:tc>
        <w:tc>
          <w:tcPr>
            <w:tcW w:w="180" w:type="dxa"/>
            <w:vAlign w:val="bottom"/>
            <w:shd w:val="clear" w:color="auto" w:fill="E5FFFF"/>
          </w:tcPr>
          <w:p>
            <w:pPr>
              <w:ind w:left="60"/>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7,262</w:t>
            </w:r>
          </w:p>
        </w:tc>
        <w:tc>
          <w:tcPr>
            <w:tcW w:w="54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7,677</w:t>
            </w:r>
          </w:p>
        </w:tc>
        <w:tc>
          <w:tcPr>
            <w:tcW w:w="4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6,888</w:t>
            </w: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7,082</w:t>
            </w:r>
          </w:p>
        </w:tc>
      </w:tr>
    </w:tbl>
    <w:p>
      <w:pPr>
        <w:spacing w:after="0" w:line="108"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At December 31, 2009, the Company had assets with a net book value of $ 72 million, specifically property, plant and equipment and intangible assets, which were accounted for at fair value on a nonrecurring basis. These assets were tested for impairment and based on the fair value of these assets the Company recognized losses of $28 million in 2009. The Company has determined that the fair value measurements of these nonfinancial assets are level 3 in the fair value hierarchy.</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Company holds investments in marketable equity securities that are designated as available for sale securities. The Company considers duration of the unrealized loss position, stability of the liquidity positions and financial conditions of the investees, and the Company’s intent and ability to hold these investments for a reasonable period of time sufficient for a forecasted recovery of fair value, in determining other than temporary impairments. As a result of an other-than-temporary decline in fair value of these investments, the Company recognized an impairment charge of $62 million in the second quarter of 2009 that is included in Other (Income) Expense.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The derivatives utilized for risk management purposes as detailed above are included on the Consolidated Balance Sheet and impacted the Statement of Operations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Fair value of asset derivatives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Designated as a Hedge</w:t>
            </w:r>
          </w:p>
        </w:tc>
        <w:tc>
          <w:tcPr>
            <w:tcW w:w="280" w:type="dxa"/>
            <w:vAlign w:val="bottom"/>
          </w:tcPr>
          <w:p>
            <w:pPr>
              <w:spacing w:after="0"/>
              <w:rPr>
                <w:sz w:val="21"/>
                <w:szCs w:val="21"/>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2008</w:t>
            </w:r>
          </w:p>
        </w:tc>
      </w:tr>
      <w:tr>
        <w:trPr>
          <w:trHeight w:val="264"/>
        </w:trPr>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280" w:type="dxa"/>
            <w:vAlign w:val="bottom"/>
            <w:shd w:val="clear" w:color="auto" w:fill="E5FFFF"/>
          </w:tcPr>
          <w:p>
            <w:pPr>
              <w:spacing w:after="0"/>
              <w:rPr>
                <w:sz w:val="22"/>
                <w:szCs w:val="22"/>
                <w:color w:val="auto"/>
              </w:rPr>
            </w:pPr>
          </w:p>
        </w:tc>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Accounts, notes and other receivables</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8</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2</w:t>
            </w:r>
          </w:p>
        </w:tc>
      </w:tr>
      <w:tr>
        <w:trPr>
          <w:trHeight w:val="269"/>
        </w:trPr>
        <w:tc>
          <w:tcPr>
            <w:tcW w:w="446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28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1"/>
        </w:trPr>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Commodity contracts</w:t>
            </w:r>
          </w:p>
        </w:tc>
        <w:tc>
          <w:tcPr>
            <w:tcW w:w="280" w:type="dxa"/>
            <w:vAlign w:val="bottom"/>
            <w:shd w:val="clear" w:color="auto" w:fill="E5FFFF"/>
          </w:tcPr>
          <w:p>
            <w:pPr>
              <w:spacing w:after="0"/>
              <w:rPr>
                <w:sz w:val="23"/>
                <w:szCs w:val="23"/>
                <w:color w:val="auto"/>
              </w:rPr>
            </w:pPr>
          </w:p>
        </w:tc>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Accounts, notes and other receivables</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w:t>
            </w:r>
          </w:p>
        </w:tc>
      </w:tr>
      <w:tr>
        <w:trPr>
          <w:trHeight w:val="311"/>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Not Designated as a Hedge</w:t>
            </w:r>
          </w:p>
        </w:tc>
        <w:tc>
          <w:tcPr>
            <w:tcW w:w="28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280" w:type="dxa"/>
            <w:vAlign w:val="bottom"/>
            <w:shd w:val="clear" w:color="auto" w:fill="E5FFFF"/>
          </w:tcPr>
          <w:p>
            <w:pPr>
              <w:spacing w:after="0"/>
              <w:rPr>
                <w:sz w:val="22"/>
                <w:szCs w:val="22"/>
                <w:color w:val="auto"/>
              </w:rPr>
            </w:pPr>
          </w:p>
        </w:tc>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Accounts notes and other receivables</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3</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5</w:t>
            </w:r>
          </w:p>
        </w:tc>
      </w:tr>
    </w:tbl>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Fair value of liability derivatives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Designated as a Hedge</w:t>
            </w:r>
          </w:p>
        </w:tc>
        <w:tc>
          <w:tcPr>
            <w:tcW w:w="300" w:type="dxa"/>
            <w:vAlign w:val="bottom"/>
          </w:tcPr>
          <w:p>
            <w:pPr>
              <w:spacing w:after="0"/>
              <w:rPr>
                <w:sz w:val="21"/>
                <w:szCs w:val="21"/>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2008</w:t>
            </w:r>
          </w:p>
        </w:tc>
      </w:tr>
      <w:tr>
        <w:trPr>
          <w:trHeight w:val="264"/>
        </w:trPr>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300" w:type="dxa"/>
            <w:vAlign w:val="bottom"/>
            <w:shd w:val="clear" w:color="auto" w:fill="E5FFFF"/>
          </w:tcPr>
          <w:p>
            <w:pPr>
              <w:spacing w:after="0"/>
              <w:rPr>
                <w:sz w:val="22"/>
                <w:szCs w:val="22"/>
                <w:color w:val="auto"/>
              </w:rPr>
            </w:pPr>
          </w:p>
        </w:tc>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Accrued liabilities</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19</w:t>
            </w:r>
          </w:p>
        </w:tc>
      </w:tr>
      <w:tr>
        <w:trPr>
          <w:trHeight w:val="269"/>
        </w:trPr>
        <w:tc>
          <w:tcPr>
            <w:tcW w:w="446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30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1"/>
        </w:trPr>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E5FFFF"/>
          </w:tcPr>
          <w:p>
            <w:pPr>
              <w:spacing w:after="0"/>
              <w:rPr>
                <w:sz w:val="23"/>
                <w:szCs w:val="23"/>
                <w:color w:val="auto"/>
              </w:rPr>
            </w:pPr>
          </w:p>
        </w:tc>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w:t>
            </w:r>
          </w:p>
        </w:tc>
      </w:tr>
      <w:tr>
        <w:trPr>
          <w:trHeight w:val="257"/>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Not Designated as a Hedge</w:t>
            </w:r>
          </w:p>
        </w:tc>
        <w:tc>
          <w:tcPr>
            <w:tcW w:w="300" w:type="dxa"/>
            <w:vAlign w:val="bottom"/>
          </w:tcPr>
          <w:p>
            <w:pPr>
              <w:spacing w:after="0"/>
              <w:rPr>
                <w:sz w:val="22"/>
                <w:szCs w:val="22"/>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48"/>
        </w:trPr>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70"/>
        </w:trPr>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300" w:type="dxa"/>
            <w:vAlign w:val="bottom"/>
            <w:shd w:val="clear" w:color="auto" w:fill="E5FFFF"/>
          </w:tcPr>
          <w:p>
            <w:pPr>
              <w:spacing w:after="0"/>
              <w:rPr>
                <w:sz w:val="23"/>
                <w:szCs w:val="23"/>
                <w:color w:val="auto"/>
              </w:rPr>
            </w:pPr>
          </w:p>
        </w:tc>
        <w:tc>
          <w:tcPr>
            <w:tcW w:w="4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Accrued liabilities</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14</w:t>
            </w:r>
          </w:p>
        </w:tc>
      </w:tr>
    </w:tbl>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Gains (losses) recognized in OCI consist of the following:</w:t>
      </w:r>
    </w:p>
    <w:p>
      <w:pPr>
        <w:spacing w:after="0" w:line="42" w:lineRule="exact"/>
        <w:rPr>
          <w:sz w:val="20"/>
          <w:szCs w:val="20"/>
          <w:color w:val="auto"/>
        </w:rPr>
      </w:pPr>
    </w:p>
    <w:tbl>
      <w:tblPr>
        <w:tblLayout w:type="fixed"/>
        <w:tblInd w:w="200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December 31,</w:t>
            </w:r>
          </w:p>
        </w:tc>
      </w:tr>
      <w:tr>
        <w:trPr>
          <w:trHeight w:val="20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Designated as a Cash Flow Hedge</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2009</w:t>
            </w:r>
          </w:p>
        </w:tc>
      </w:tr>
      <w:tr>
        <w:trPr>
          <w:trHeight w:val="264"/>
        </w:trPr>
        <w:tc>
          <w:tcPr>
            <w:tcW w:w="5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Foreign currency exchange contracts</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112"/>
              <w:spacing w:after="0"/>
              <w:rPr>
                <w:sz w:val="20"/>
                <w:szCs w:val="20"/>
                <w:color w:val="auto"/>
              </w:rPr>
            </w:pPr>
            <w:r>
              <w:rPr>
                <w:rFonts w:ascii="Arial" w:cs="Arial" w:eastAsia="Arial" w:hAnsi="Arial"/>
                <w:sz w:val="19"/>
                <w:szCs w:val="19"/>
                <w:color w:val="auto"/>
              </w:rPr>
              <w:t>18</w:t>
            </w:r>
          </w:p>
        </w:tc>
      </w:tr>
      <w:tr>
        <w:trPr>
          <w:trHeight w:val="274"/>
        </w:trPr>
        <w:tc>
          <w:tcPr>
            <w:tcW w:w="5700" w:type="dxa"/>
            <w:vAlign w:val="bottom"/>
          </w:tcPr>
          <w:p>
            <w:pPr>
              <w:ind w:left="20"/>
              <w:spacing w:after="0"/>
              <w:rPr>
                <w:sz w:val="20"/>
                <w:szCs w:val="20"/>
                <w:color w:val="auto"/>
              </w:rPr>
            </w:pPr>
            <w:r>
              <w:rPr>
                <w:rFonts w:ascii="Arial" w:cs="Arial" w:eastAsia="Arial" w:hAnsi="Arial"/>
                <w:sz w:val="19"/>
                <w:szCs w:val="19"/>
                <w:color w:val="auto"/>
              </w:rPr>
              <w:t>Commodity contracts</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9"/>
                <w:szCs w:val="19"/>
                <w:color w:val="auto"/>
              </w:rPr>
              <w:t>(1 )</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Gains (losses) reclassified from AOCI to income (Effective Portions) consist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December 31,</w:t>
            </w:r>
          </w:p>
        </w:tc>
      </w:tr>
      <w:tr>
        <w:trPr>
          <w:trHeight w:val="251"/>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Designated as a Cash Flow Hedge</w:t>
            </w:r>
          </w:p>
        </w:tc>
        <w:tc>
          <w:tcPr>
            <w:tcW w:w="300" w:type="dxa"/>
            <w:vAlign w:val="bottom"/>
          </w:tcPr>
          <w:p>
            <w:pPr>
              <w:spacing w:after="0"/>
              <w:rPr>
                <w:sz w:val="21"/>
                <w:szCs w:val="21"/>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Statement Location</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2009</w:t>
            </w:r>
          </w:p>
        </w:tc>
      </w:tr>
      <w:tr>
        <w:trPr>
          <w:trHeight w:val="264"/>
        </w:trPr>
        <w:tc>
          <w:tcPr>
            <w:tcW w:w="474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300" w:type="dxa"/>
            <w:vAlign w:val="bottom"/>
            <w:shd w:val="clear" w:color="auto" w:fill="E5FFFF"/>
          </w:tcPr>
          <w:p>
            <w:pPr>
              <w:spacing w:after="0"/>
              <w:rPr>
                <w:sz w:val="22"/>
                <w:szCs w:val="22"/>
                <w:color w:val="auto"/>
              </w:rPr>
            </w:pPr>
          </w:p>
        </w:tc>
        <w:tc>
          <w:tcPr>
            <w:tcW w:w="4760" w:type="dxa"/>
            <w:vAlign w:val="bottom"/>
            <w:shd w:val="clear" w:color="auto" w:fill="E5FFFF"/>
          </w:tcPr>
          <w:p>
            <w:pPr>
              <w:ind w:left="20"/>
              <w:spacing w:after="0"/>
              <w:rPr>
                <w:sz w:val="20"/>
                <w:szCs w:val="20"/>
                <w:color w:val="auto"/>
              </w:rPr>
            </w:pPr>
            <w:r>
              <w:rPr>
                <w:rFonts w:ascii="Arial" w:cs="Arial" w:eastAsia="Arial" w:hAnsi="Arial"/>
                <w:sz w:val="18"/>
                <w:szCs w:val="18"/>
                <w:color w:val="auto"/>
              </w:rPr>
              <w:t>Product sales</w:t>
            </w:r>
          </w:p>
        </w:tc>
        <w:tc>
          <w:tcPr>
            <w:tcW w:w="62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213"/>
              <w:spacing w:after="0"/>
              <w:rPr>
                <w:sz w:val="20"/>
                <w:szCs w:val="20"/>
                <w:color w:val="auto"/>
              </w:rPr>
            </w:pPr>
            <w:r>
              <w:rPr>
                <w:rFonts w:ascii="Arial" w:cs="Arial" w:eastAsia="Arial" w:hAnsi="Arial"/>
                <w:sz w:val="18"/>
                <w:szCs w:val="18"/>
                <w:color w:val="auto"/>
              </w:rPr>
              <w:t>54</w:t>
            </w:r>
          </w:p>
        </w:tc>
      </w:tr>
      <w:tr>
        <w:trPr>
          <w:trHeight w:val="269"/>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(44 )</w:t>
            </w:r>
          </w:p>
        </w:tc>
      </w:tr>
      <w:tr>
        <w:trPr>
          <w:trHeight w:val="271"/>
        </w:trPr>
        <w:tc>
          <w:tcPr>
            <w:tcW w:w="47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760" w:type="dxa"/>
            <w:vAlign w:val="bottom"/>
            <w:shd w:val="clear" w:color="auto" w:fill="E5FFFF"/>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133"/>
              <w:spacing w:after="0"/>
              <w:rPr>
                <w:sz w:val="20"/>
                <w:szCs w:val="20"/>
                <w:color w:val="auto"/>
              </w:rPr>
            </w:pPr>
            <w:r>
              <w:rPr>
                <w:rFonts w:ascii="Arial" w:cs="Arial" w:eastAsia="Arial" w:hAnsi="Arial"/>
                <w:sz w:val="18"/>
                <w:szCs w:val="18"/>
                <w:color w:val="auto"/>
              </w:rPr>
              <w:t>(1 )</w:t>
            </w:r>
          </w:p>
        </w:tc>
      </w:tr>
      <w:tr>
        <w:trPr>
          <w:trHeight w:val="268"/>
        </w:trPr>
        <w:tc>
          <w:tcPr>
            <w:tcW w:w="47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(7 )</w:t>
            </w:r>
          </w:p>
        </w:tc>
      </w:tr>
    </w:tbl>
    <w:p>
      <w:pPr>
        <w:spacing w:after="0" w:line="218"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Ineffective portions of commodity derivative instruments designated in cash flow hedge relationships were less than $1 million in 2009 and are located in cost of products sold. Foreign currency exchange contracts in cash flow hedge relationships qualify as critical matched terms hedge relationships and as a result have no ineffectiveness.</w:t>
      </w:r>
    </w:p>
    <w:p>
      <w:pPr>
        <w:spacing w:after="0" w:line="87" w:lineRule="exact"/>
        <w:rPr>
          <w:sz w:val="20"/>
          <w:szCs w:val="20"/>
          <w:color w:val="auto"/>
        </w:rPr>
      </w:pPr>
    </w:p>
    <w:p>
      <w:pPr>
        <w:jc w:val="both"/>
        <w:ind w:right="380" w:firstLine="357"/>
        <w:spacing w:after="0" w:line="242" w:lineRule="auto"/>
        <w:rPr>
          <w:sz w:val="20"/>
          <w:szCs w:val="20"/>
          <w:color w:val="auto"/>
        </w:rPr>
      </w:pPr>
      <w:r>
        <w:rPr>
          <w:rFonts w:ascii="Arial" w:cs="Arial" w:eastAsia="Arial" w:hAnsi="Arial"/>
          <w:sz w:val="19"/>
          <w:szCs w:val="19"/>
          <w:color w:val="auto"/>
        </w:rPr>
        <w:t>Interest rate swap agreements are designated as hedge relationships with gains or (losses) on the derivative recognized in Interest and other financial charges offsetting the gains and losses on the underlying debt being hedged. Losses on interest rate swap agreements recognized in earnings were $2 million in 2009. These losses were fully off-set by gains on the underlying debt being hedged.</w:t>
      </w:r>
    </w:p>
    <w:p>
      <w:pPr>
        <w:spacing w:after="0" w:line="78"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We also economically hedge our exposure to changes in foreign exchange rates principally with forward contracts. These contracts are marked-to-market with the resulting gains and losses similarly recognized in earnings offsetting the gains and losses on the non-functional currency denominated monetary assets and liabilities being hedged. For the year ended December 31, 2009, we recognized $85 million of expense in Other (income) expense.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17—Other Liabilities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Other liabilities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2008</w:t>
            </w:r>
          </w:p>
        </w:tc>
      </w:tr>
      <w:tr>
        <w:trPr>
          <w:trHeight w:val="264"/>
        </w:trPr>
        <w:tc>
          <w:tcPr>
            <w:tcW w:w="500" w:type="dxa"/>
            <w:vAlign w:val="bottom"/>
          </w:tcPr>
          <w:p>
            <w:pPr>
              <w:spacing w:after="0"/>
              <w:rPr>
                <w:sz w:val="22"/>
                <w:szCs w:val="22"/>
                <w:color w:val="auto"/>
              </w:rPr>
            </w:pPr>
          </w:p>
        </w:tc>
        <w:tc>
          <w:tcPr>
            <w:tcW w:w="83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 and other employee related</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4,842</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4,307</w:t>
            </w:r>
          </w:p>
        </w:tc>
      </w:tr>
      <w:tr>
        <w:trPr>
          <w:trHeight w:val="270"/>
        </w:trPr>
        <w:tc>
          <w:tcPr>
            <w:tcW w:w="500" w:type="dxa"/>
            <w:vAlign w:val="bottom"/>
          </w:tcPr>
          <w:p>
            <w:pPr>
              <w:spacing w:after="0"/>
              <w:rPr>
                <w:sz w:val="23"/>
                <w:szCs w:val="23"/>
                <w:color w:val="auto"/>
              </w:rPr>
            </w:pPr>
          </w:p>
        </w:tc>
        <w:tc>
          <w:tcPr>
            <w:tcW w:w="8360" w:type="dxa"/>
            <w:vAlign w:val="bottom"/>
            <w:gridSpan w:val="2"/>
          </w:tcPr>
          <w:p>
            <w:pPr>
              <w:ind w:left="20"/>
              <w:spacing w:after="0"/>
              <w:rPr>
                <w:sz w:val="20"/>
                <w:szCs w:val="20"/>
                <w:color w:val="auto"/>
              </w:rPr>
            </w:pPr>
            <w:r>
              <w:rPr>
                <w:rFonts w:ascii="Arial" w:cs="Arial" w:eastAsia="Arial" w:hAnsi="Arial"/>
                <w:sz w:val="19"/>
                <w:szCs w:val="19"/>
                <w:color w:val="auto"/>
              </w:rPr>
              <w:t>Environmental</w:t>
            </w:r>
          </w:p>
        </w:tc>
        <w:tc>
          <w:tcPr>
            <w:tcW w:w="220" w:type="dxa"/>
            <w:vAlign w:val="bottom"/>
          </w:tcPr>
          <w:p>
            <w:pPr>
              <w:spacing w:after="0"/>
              <w:rPr>
                <w:sz w:val="23"/>
                <w:szCs w:val="23"/>
                <w:color w:val="auto"/>
              </w:rPr>
            </w:pPr>
          </w:p>
        </w:tc>
        <w:tc>
          <w:tcPr>
            <w:tcW w:w="640" w:type="dxa"/>
            <w:vAlign w:val="bottom"/>
          </w:tcPr>
          <w:p>
            <w:pPr>
              <w:jc w:val="right"/>
              <w:ind w:right="7"/>
              <w:spacing w:after="0"/>
              <w:rPr>
                <w:sz w:val="20"/>
                <w:szCs w:val="20"/>
                <w:color w:val="auto"/>
              </w:rPr>
            </w:pPr>
            <w:r>
              <w:rPr>
                <w:rFonts w:ascii="Arial" w:cs="Arial" w:eastAsia="Arial" w:hAnsi="Arial"/>
                <w:sz w:val="19"/>
                <w:szCs w:val="19"/>
                <w:color w:val="auto"/>
              </w:rPr>
              <w:t>465</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603</w:t>
            </w:r>
          </w:p>
        </w:tc>
      </w:tr>
      <w:tr>
        <w:trPr>
          <w:trHeight w:val="270"/>
        </w:trPr>
        <w:tc>
          <w:tcPr>
            <w:tcW w:w="500" w:type="dxa"/>
            <w:vAlign w:val="bottom"/>
          </w:tcPr>
          <w:p>
            <w:pPr>
              <w:spacing w:after="0"/>
              <w:rPr>
                <w:sz w:val="23"/>
                <w:szCs w:val="23"/>
                <w:color w:val="auto"/>
              </w:rPr>
            </w:pPr>
          </w:p>
        </w:tc>
        <w:tc>
          <w:tcPr>
            <w:tcW w:w="83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taxes</w:t>
            </w: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476</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448</w:t>
            </w:r>
          </w:p>
        </w:tc>
      </w:tr>
      <w:tr>
        <w:trPr>
          <w:trHeight w:val="270"/>
        </w:trPr>
        <w:tc>
          <w:tcPr>
            <w:tcW w:w="500" w:type="dxa"/>
            <w:vAlign w:val="bottom"/>
          </w:tcPr>
          <w:p>
            <w:pPr>
              <w:spacing w:after="0"/>
              <w:rPr>
                <w:sz w:val="23"/>
                <w:szCs w:val="23"/>
                <w:color w:val="auto"/>
              </w:rPr>
            </w:pPr>
          </w:p>
        </w:tc>
        <w:tc>
          <w:tcPr>
            <w:tcW w:w="8360" w:type="dxa"/>
            <w:vAlign w:val="bottom"/>
            <w:gridSpan w:val="2"/>
          </w:tcPr>
          <w:p>
            <w:pPr>
              <w:ind w:left="20"/>
              <w:spacing w:after="0"/>
              <w:rPr>
                <w:sz w:val="20"/>
                <w:szCs w:val="20"/>
                <w:color w:val="auto"/>
              </w:rPr>
            </w:pPr>
            <w:r>
              <w:rPr>
                <w:rFonts w:ascii="Arial" w:cs="Arial" w:eastAsia="Arial" w:hAnsi="Arial"/>
                <w:sz w:val="19"/>
                <w:szCs w:val="19"/>
                <w:color w:val="auto"/>
              </w:rPr>
              <w:t>Insurance</w:t>
            </w:r>
          </w:p>
        </w:tc>
        <w:tc>
          <w:tcPr>
            <w:tcW w:w="220" w:type="dxa"/>
            <w:vAlign w:val="bottom"/>
          </w:tcPr>
          <w:p>
            <w:pPr>
              <w:spacing w:after="0"/>
              <w:rPr>
                <w:sz w:val="23"/>
                <w:szCs w:val="23"/>
                <w:color w:val="auto"/>
              </w:rPr>
            </w:pPr>
          </w:p>
        </w:tc>
        <w:tc>
          <w:tcPr>
            <w:tcW w:w="640" w:type="dxa"/>
            <w:vAlign w:val="bottom"/>
          </w:tcPr>
          <w:p>
            <w:pPr>
              <w:jc w:val="right"/>
              <w:ind w:right="7"/>
              <w:spacing w:after="0"/>
              <w:rPr>
                <w:sz w:val="20"/>
                <w:szCs w:val="20"/>
                <w:color w:val="auto"/>
              </w:rPr>
            </w:pPr>
            <w:r>
              <w:rPr>
                <w:rFonts w:ascii="Arial" w:cs="Arial" w:eastAsia="Arial" w:hAnsi="Arial"/>
                <w:sz w:val="19"/>
                <w:szCs w:val="19"/>
                <w:color w:val="auto"/>
              </w:rPr>
              <w:t>207</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175</w:t>
            </w:r>
          </w:p>
        </w:tc>
      </w:tr>
      <w:tr>
        <w:trPr>
          <w:trHeight w:val="270"/>
        </w:trPr>
        <w:tc>
          <w:tcPr>
            <w:tcW w:w="500" w:type="dxa"/>
            <w:vAlign w:val="bottom"/>
          </w:tcPr>
          <w:p>
            <w:pPr>
              <w:spacing w:after="0"/>
              <w:rPr>
                <w:sz w:val="23"/>
                <w:szCs w:val="23"/>
                <w:color w:val="auto"/>
              </w:rPr>
            </w:pPr>
          </w:p>
        </w:tc>
        <w:tc>
          <w:tcPr>
            <w:tcW w:w="83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Asset retirement obligations(1)</w:t>
            </w: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85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w:t>
            </w:r>
          </w:p>
        </w:tc>
      </w:tr>
      <w:tr>
        <w:trPr>
          <w:trHeight w:val="270"/>
        </w:trPr>
        <w:tc>
          <w:tcPr>
            <w:tcW w:w="500" w:type="dxa"/>
            <w:vAlign w:val="bottom"/>
          </w:tcPr>
          <w:p>
            <w:pPr>
              <w:spacing w:after="0"/>
              <w:rPr>
                <w:sz w:val="23"/>
                <w:szCs w:val="23"/>
                <w:color w:val="auto"/>
              </w:rPr>
            </w:pPr>
          </w:p>
        </w:tc>
        <w:tc>
          <w:tcPr>
            <w:tcW w:w="8360" w:type="dxa"/>
            <w:vAlign w:val="bottom"/>
            <w:gridSpan w:val="2"/>
          </w:tcPr>
          <w:p>
            <w:pPr>
              <w:ind w:left="20"/>
              <w:spacing w:after="0"/>
              <w:rPr>
                <w:sz w:val="20"/>
                <w:szCs w:val="20"/>
                <w:color w:val="auto"/>
              </w:rPr>
            </w:pPr>
            <w:r>
              <w:rPr>
                <w:rFonts w:ascii="Arial" w:cs="Arial" w:eastAsia="Arial" w:hAnsi="Arial"/>
                <w:sz w:val="19"/>
                <w:szCs w:val="19"/>
                <w:color w:val="auto"/>
              </w:rPr>
              <w:t>Deferred income</w:t>
            </w:r>
          </w:p>
        </w:tc>
        <w:tc>
          <w:tcPr>
            <w:tcW w:w="220" w:type="dxa"/>
            <w:vAlign w:val="bottom"/>
          </w:tcPr>
          <w:p>
            <w:pPr>
              <w:spacing w:after="0"/>
              <w:rPr>
                <w:sz w:val="23"/>
                <w:szCs w:val="23"/>
                <w:color w:val="auto"/>
              </w:rPr>
            </w:pPr>
          </w:p>
        </w:tc>
        <w:tc>
          <w:tcPr>
            <w:tcW w:w="640" w:type="dxa"/>
            <w:vAlign w:val="bottom"/>
          </w:tcPr>
          <w:p>
            <w:pPr>
              <w:jc w:val="right"/>
              <w:ind w:right="7"/>
              <w:spacing w:after="0"/>
              <w:rPr>
                <w:sz w:val="20"/>
                <w:szCs w:val="20"/>
                <w:color w:val="auto"/>
              </w:rPr>
            </w:pPr>
            <w:r>
              <w:rPr>
                <w:rFonts w:ascii="Arial" w:cs="Arial" w:eastAsia="Arial" w:hAnsi="Arial"/>
                <w:sz w:val="19"/>
                <w:szCs w:val="19"/>
                <w:color w:val="auto"/>
              </w:rPr>
              <w:t>106</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120</w:t>
            </w:r>
          </w:p>
        </w:tc>
      </w:tr>
      <w:tr>
        <w:trPr>
          <w:trHeight w:val="270"/>
        </w:trPr>
        <w:tc>
          <w:tcPr>
            <w:tcW w:w="500" w:type="dxa"/>
            <w:vAlign w:val="bottom"/>
          </w:tcPr>
          <w:p>
            <w:pPr>
              <w:spacing w:after="0"/>
              <w:rPr>
                <w:sz w:val="23"/>
                <w:szCs w:val="23"/>
                <w:color w:val="auto"/>
              </w:rPr>
            </w:pPr>
          </w:p>
        </w:tc>
        <w:tc>
          <w:tcPr>
            <w:tcW w:w="83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2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300</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289</w:t>
            </w:r>
          </w:p>
        </w:tc>
      </w:tr>
      <w:tr>
        <w:trPr>
          <w:trHeight w:val="304"/>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7"/>
              <w:spacing w:after="0"/>
              <w:rPr>
                <w:sz w:val="20"/>
                <w:szCs w:val="20"/>
                <w:color w:val="auto"/>
              </w:rPr>
            </w:pPr>
            <w:r>
              <w:rPr>
                <w:rFonts w:ascii="Arial" w:cs="Arial" w:eastAsia="Arial" w:hAnsi="Arial"/>
                <w:sz w:val="19"/>
                <w:szCs w:val="19"/>
                <w:color w:val="auto"/>
              </w:rPr>
              <w:t>6,481</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6,032</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39"/>
        </w:trPr>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9" w:lineRule="exact"/>
        <w:rPr>
          <w:sz w:val="20"/>
          <w:szCs w:val="20"/>
          <w:color w:val="auto"/>
        </w:rPr>
      </w:pPr>
    </w:p>
    <w:p>
      <w:pPr>
        <w:ind w:left="400" w:right="160" w:hanging="332"/>
        <w:spacing w:after="0" w:line="253" w:lineRule="auto"/>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Asset retirement obligations primarily relate to costs associated with the future retirement of nuclear fuel conversion facilities in our Specialty Materials segment and the future retirement of facilities in our Automation and Control Solutions segment.</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reconciliation of our liability for asset retirement obligations for the year ended December 31, 2009, is as follows:</w:t>
      </w:r>
    </w:p>
    <w:p>
      <w:pPr>
        <w:spacing w:after="0" w:line="321"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2008</w:t>
            </w:r>
          </w:p>
        </w:tc>
      </w:tr>
      <w:tr>
        <w:trPr>
          <w:trHeight w:val="237"/>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 in asset retirement obligations:</w:t>
            </w:r>
          </w:p>
        </w:tc>
        <w:tc>
          <w:tcPr>
            <w:tcW w:w="20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r>
      <w:tr>
        <w:trPr>
          <w:trHeight w:val="459"/>
        </w:trPr>
        <w:tc>
          <w:tcPr>
            <w:tcW w:w="8400" w:type="dxa"/>
            <w:vAlign w:val="bottom"/>
          </w:tcPr>
          <w:p>
            <w:pPr>
              <w:ind w:left="380"/>
              <w:spacing w:after="0"/>
              <w:rPr>
                <w:sz w:val="20"/>
                <w:szCs w:val="20"/>
                <w:color w:val="auto"/>
              </w:rPr>
            </w:pPr>
            <w:r>
              <w:rPr>
                <w:rFonts w:ascii="Arial" w:cs="Arial" w:eastAsia="Arial" w:hAnsi="Arial"/>
                <w:sz w:val="19"/>
                <w:szCs w:val="19"/>
                <w:color w:val="auto"/>
              </w:rPr>
              <w:t>Balance at beginning of year</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66"/>
              <w:spacing w:after="0"/>
              <w:rPr>
                <w:sz w:val="20"/>
                <w:szCs w:val="20"/>
                <w:color w:val="auto"/>
              </w:rPr>
            </w:pPr>
            <w:r>
              <w:rPr>
                <w:rFonts w:ascii="Arial" w:cs="Arial" w:eastAsia="Arial" w:hAnsi="Arial"/>
                <w:sz w:val="19"/>
                <w:szCs w:val="19"/>
                <w:color w:val="auto"/>
              </w:rPr>
              <w:t>90</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66"/>
              <w:spacing w:after="0"/>
              <w:rPr>
                <w:sz w:val="20"/>
                <w:szCs w:val="20"/>
                <w:color w:val="auto"/>
              </w:rPr>
            </w:pPr>
            <w:r>
              <w:rPr>
                <w:rFonts w:ascii="Arial" w:cs="Arial" w:eastAsia="Arial" w:hAnsi="Arial"/>
                <w:sz w:val="19"/>
                <w:szCs w:val="19"/>
                <w:color w:val="auto"/>
              </w:rPr>
              <w:t>93</w:t>
            </w:r>
          </w:p>
        </w:tc>
      </w:tr>
      <w:tr>
        <w:trPr>
          <w:trHeight w:val="270"/>
        </w:trPr>
        <w:tc>
          <w:tcPr>
            <w:tcW w:w="84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Liabilities settled</w:t>
            </w: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(7 )</w:t>
            </w:r>
          </w:p>
        </w:tc>
      </w:tr>
      <w:tr>
        <w:trPr>
          <w:trHeight w:val="270"/>
        </w:trPr>
        <w:tc>
          <w:tcPr>
            <w:tcW w:w="8400" w:type="dxa"/>
            <w:vAlign w:val="bottom"/>
          </w:tcPr>
          <w:p>
            <w:pPr>
              <w:ind w:left="380"/>
              <w:spacing w:after="0"/>
              <w:rPr>
                <w:sz w:val="20"/>
                <w:szCs w:val="20"/>
                <w:color w:val="auto"/>
              </w:rPr>
            </w:pPr>
            <w:r>
              <w:rPr>
                <w:rFonts w:ascii="Arial" w:cs="Arial" w:eastAsia="Arial" w:hAnsi="Arial"/>
                <w:sz w:val="19"/>
                <w:szCs w:val="19"/>
                <w:color w:val="auto"/>
              </w:rPr>
              <w:t>Adjustments</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(5 )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66"/>
              <w:spacing w:after="0"/>
              <w:rPr>
                <w:sz w:val="20"/>
                <w:szCs w:val="20"/>
                <w:color w:val="auto"/>
              </w:rPr>
            </w:pPr>
            <w:r>
              <w:rPr>
                <w:rFonts w:ascii="Arial" w:cs="Arial" w:eastAsia="Arial" w:hAnsi="Arial"/>
                <w:sz w:val="19"/>
                <w:szCs w:val="19"/>
                <w:color w:val="auto"/>
              </w:rPr>
              <w:t>2</w:t>
            </w:r>
          </w:p>
        </w:tc>
      </w:tr>
      <w:tr>
        <w:trPr>
          <w:trHeight w:val="270"/>
        </w:trPr>
        <w:tc>
          <w:tcPr>
            <w:tcW w:w="84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Accretion expense</w:t>
            </w: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3</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2</w:t>
            </w:r>
          </w:p>
        </w:tc>
      </w:tr>
      <w:tr>
        <w:trPr>
          <w:trHeight w:val="304"/>
        </w:trPr>
        <w:tc>
          <w:tcPr>
            <w:tcW w:w="8400" w:type="dxa"/>
            <w:vAlign w:val="bottom"/>
          </w:tcPr>
          <w:p>
            <w:pPr>
              <w:ind w:left="380"/>
              <w:spacing w:after="0"/>
              <w:rPr>
                <w:sz w:val="20"/>
                <w:szCs w:val="20"/>
                <w:color w:val="auto"/>
              </w:rPr>
            </w:pPr>
            <w:r>
              <w:rPr>
                <w:rFonts w:ascii="Arial" w:cs="Arial" w:eastAsia="Arial" w:hAnsi="Arial"/>
                <w:sz w:val="19"/>
                <w:szCs w:val="19"/>
                <w:color w:val="auto"/>
              </w:rPr>
              <w:t>Balance at end of year</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66"/>
              <w:spacing w:after="0"/>
              <w:rPr>
                <w:sz w:val="20"/>
                <w:szCs w:val="20"/>
                <w:color w:val="auto"/>
              </w:rPr>
            </w:pPr>
            <w:r>
              <w:rPr>
                <w:rFonts w:ascii="Arial" w:cs="Arial" w:eastAsia="Arial" w:hAnsi="Arial"/>
                <w:sz w:val="19"/>
                <w:szCs w:val="19"/>
                <w:color w:val="auto"/>
              </w:rPr>
              <w:t>85</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66"/>
              <w:spacing w:after="0"/>
              <w:rPr>
                <w:sz w:val="20"/>
                <w:szCs w:val="20"/>
                <w:color w:val="auto"/>
              </w:rPr>
            </w:pPr>
            <w:r>
              <w:rPr>
                <w:rFonts w:ascii="Arial" w:cs="Arial" w:eastAsia="Arial" w:hAnsi="Arial"/>
                <w:sz w:val="19"/>
                <w:szCs w:val="19"/>
                <w:color w:val="auto"/>
              </w:rPr>
              <w:t>90</w:t>
            </w:r>
          </w:p>
        </w:tc>
      </w:tr>
      <w:tr>
        <w:trPr>
          <w:trHeight w:val="20"/>
        </w:trPr>
        <w:tc>
          <w:tcPr>
            <w:tcW w:w="8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18—Capital Stock</w:t>
      </w:r>
    </w:p>
    <w:p>
      <w:pPr>
        <w:spacing w:after="0" w:line="130"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We are authorized to issue up to 2,000,000,000 shares of common stock, with a par value of one dollar. Common shareowners are entitled to receive such dividends as may be declared by the Board,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9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Under the Company’s previously reported $3.0 billion share repurchase program, $ 1.3 billion remained available as of December 31, 2009 for additional share repurchases. The amount and timing of repurchases may vary depending on market conditions and the level of operating and other investing activities.</w:t>
      </w:r>
    </w:p>
    <w:p>
      <w:pPr>
        <w:spacing w:after="0" w:line="74" w:lineRule="exact"/>
        <w:rPr>
          <w:sz w:val="20"/>
          <w:szCs w:val="20"/>
          <w:color w:val="auto"/>
        </w:rPr>
      </w:pPr>
    </w:p>
    <w:p>
      <w:pPr>
        <w:jc w:val="both"/>
        <w:ind w:right="480" w:firstLine="357"/>
        <w:spacing w:after="0" w:line="245" w:lineRule="auto"/>
        <w:rPr>
          <w:sz w:val="20"/>
          <w:szCs w:val="20"/>
          <w:color w:val="auto"/>
        </w:rPr>
      </w:pPr>
      <w:r>
        <w:rPr>
          <w:rFonts w:ascii="Arial" w:cs="Arial" w:eastAsia="Arial" w:hAnsi="Arial"/>
          <w:sz w:val="19"/>
          <w:szCs w:val="19"/>
          <w:color w:val="auto"/>
        </w:rPr>
        <w:t>We are authorized to issue up to 40,000,000 shares of preferred stock, without par value, and can determine the number of shares of each series, and the rights, preferences and limitations of each series. At December 31, 2009, there was no preferred stock outstanding.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19—Accumulated Other Comprehensive Income (Loss)</w:t>
      </w:r>
    </w:p>
    <w:p>
      <w:pPr>
        <w:spacing w:after="0" w:line="130" w:lineRule="exact"/>
        <w:rPr>
          <w:sz w:val="20"/>
          <w:szCs w:val="20"/>
          <w:color w:val="auto"/>
        </w:rPr>
      </w:pPr>
    </w:p>
    <w:p>
      <w:pPr>
        <w:jc w:val="both"/>
        <w:ind w:right="700" w:firstLine="357"/>
        <w:spacing w:after="0" w:line="245" w:lineRule="auto"/>
        <w:rPr>
          <w:sz w:val="20"/>
          <w:szCs w:val="20"/>
          <w:color w:val="auto"/>
        </w:rPr>
      </w:pPr>
      <w:r>
        <w:rPr>
          <w:rFonts w:ascii="Arial" w:cs="Arial" w:eastAsia="Arial" w:hAnsi="Arial"/>
          <w:sz w:val="19"/>
          <w:szCs w:val="19"/>
          <w:color w:val="auto"/>
        </w:rPr>
        <w:t>Total accumulated other comprehensive income (loss) is included in the Consolidated Statement of Shareowners’ Equity. Comprehensive Income (Loss) attributable to non-controlling interest consisted predominantly of net income. The changes in Accumulated Other Comprehensive Income (Loss)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Pretax</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Tax</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b w:val="1"/>
                <w:bCs w:val="1"/>
                <w:color w:val="auto"/>
              </w:rPr>
              <w:t>After Tax</w:t>
            </w:r>
          </w:p>
        </w:tc>
      </w:tr>
      <w:tr>
        <w:trPr>
          <w:trHeight w:val="237"/>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Year Ended December 31, 2009</w:t>
            </w: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r>
      <w:tr>
        <w:trPr>
          <w:trHeight w:val="270"/>
        </w:trPr>
        <w:tc>
          <w:tcPr>
            <w:tcW w:w="8040" w:type="dxa"/>
            <w:vAlign w:val="bottom"/>
            <w:gridSpan w:val="2"/>
          </w:tcPr>
          <w:p>
            <w:pPr>
              <w:ind w:left="20"/>
              <w:spacing w:after="0"/>
              <w:rPr>
                <w:sz w:val="20"/>
                <w:szCs w:val="20"/>
                <w:color w:val="auto"/>
              </w:rPr>
            </w:pPr>
            <w:r>
              <w:rPr>
                <w:rFonts w:ascii="Arial" w:cs="Arial" w:eastAsia="Arial" w:hAnsi="Arial"/>
                <w:sz w:val="19"/>
                <w:szCs w:val="19"/>
                <w:color w:val="auto"/>
              </w:rPr>
              <w:t>Foreign exchange translation adjustment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259</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259</w:t>
            </w:r>
          </w:p>
        </w:tc>
      </w:tr>
      <w:tr>
        <w:trPr>
          <w:trHeight w:val="270"/>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Pensions and other post retirement benefit adjustments</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(1,573 )</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552</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(1,021 )</w:t>
            </w:r>
          </w:p>
        </w:tc>
      </w:tr>
      <w:tr>
        <w:trPr>
          <w:trHeight w:val="270"/>
        </w:trPr>
        <w:tc>
          <w:tcPr>
            <w:tcW w:w="8040" w:type="dxa"/>
            <w:vAlign w:val="bottom"/>
            <w:gridSpan w:val="2"/>
          </w:tcPr>
          <w:p>
            <w:pPr>
              <w:ind w:left="20"/>
              <w:spacing w:after="0"/>
              <w:rPr>
                <w:sz w:val="20"/>
                <w:szCs w:val="20"/>
                <w:color w:val="auto"/>
              </w:rPr>
            </w:pPr>
            <w:r>
              <w:rPr>
                <w:rFonts w:ascii="Arial" w:cs="Arial" w:eastAsia="Arial" w:hAnsi="Arial"/>
                <w:sz w:val="19"/>
                <w:szCs w:val="19"/>
                <w:color w:val="auto"/>
              </w:rPr>
              <w:t>Changes in fair value of available for sale investments(1)</w:t>
            </w:r>
          </w:p>
        </w:tc>
        <w:tc>
          <w:tcPr>
            <w:tcW w:w="18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112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112</w:t>
            </w:r>
          </w:p>
        </w:tc>
      </w:tr>
      <w:tr>
        <w:trPr>
          <w:trHeight w:val="270"/>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Changes in fair value of effective cash flow hedges</w:t>
            </w: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38</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30</w:t>
            </w:r>
          </w:p>
        </w:tc>
      </w:tr>
      <w:tr>
        <w:trPr>
          <w:trHeight w:val="304"/>
        </w:trPr>
        <w:tc>
          <w:tcPr>
            <w:tcW w:w="9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(1,164 )</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46"/>
              <w:spacing w:after="0"/>
              <w:rPr>
                <w:sz w:val="20"/>
                <w:szCs w:val="20"/>
                <w:color w:val="auto"/>
              </w:rPr>
            </w:pPr>
            <w:r>
              <w:rPr>
                <w:rFonts w:ascii="Arial" w:cs="Arial" w:eastAsia="Arial" w:hAnsi="Arial"/>
                <w:sz w:val="19"/>
                <w:szCs w:val="19"/>
                <w:color w:val="auto"/>
              </w:rPr>
              <w:t>544</w:t>
            </w:r>
          </w:p>
        </w:tc>
        <w:tc>
          <w:tcPr>
            <w:tcW w:w="5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(620 )</w:t>
            </w:r>
          </w:p>
        </w:tc>
      </w:tr>
      <w:tr>
        <w:trPr>
          <w:trHeight w:val="20"/>
        </w:trPr>
        <w:tc>
          <w:tcPr>
            <w:tcW w:w="9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9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3"/>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Year Ended December 31, 2008</w:t>
            </w: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r>
      <w:tr>
        <w:trPr>
          <w:trHeight w:val="270"/>
        </w:trPr>
        <w:tc>
          <w:tcPr>
            <w:tcW w:w="8040" w:type="dxa"/>
            <w:vAlign w:val="bottom"/>
            <w:gridSpan w:val="2"/>
          </w:tcPr>
          <w:p>
            <w:pPr>
              <w:ind w:left="20"/>
              <w:spacing w:after="0"/>
              <w:rPr>
                <w:sz w:val="20"/>
                <w:szCs w:val="20"/>
                <w:color w:val="auto"/>
              </w:rPr>
            </w:pPr>
            <w:r>
              <w:rPr>
                <w:rFonts w:ascii="Arial" w:cs="Arial" w:eastAsia="Arial" w:hAnsi="Arial"/>
                <w:sz w:val="19"/>
                <w:szCs w:val="19"/>
                <w:color w:val="auto"/>
              </w:rPr>
              <w:t>Foreign exchange translation adjustment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(614 )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(614 )</w:t>
            </w:r>
          </w:p>
        </w:tc>
      </w:tr>
      <w:tr>
        <w:trPr>
          <w:trHeight w:val="270"/>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Pensions and other post retirement benefit adjustments</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(4,159 )</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1,583</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(2,576 )</w:t>
            </w:r>
          </w:p>
        </w:tc>
      </w:tr>
      <w:tr>
        <w:trPr>
          <w:trHeight w:val="270"/>
        </w:trPr>
        <w:tc>
          <w:tcPr>
            <w:tcW w:w="8040" w:type="dxa"/>
            <w:vAlign w:val="bottom"/>
            <w:gridSpan w:val="2"/>
          </w:tcPr>
          <w:p>
            <w:pPr>
              <w:ind w:left="20"/>
              <w:spacing w:after="0"/>
              <w:rPr>
                <w:sz w:val="20"/>
                <w:szCs w:val="20"/>
                <w:color w:val="auto"/>
              </w:rPr>
            </w:pPr>
            <w:r>
              <w:rPr>
                <w:rFonts w:ascii="Arial" w:cs="Arial" w:eastAsia="Arial" w:hAnsi="Arial"/>
                <w:sz w:val="19"/>
                <w:szCs w:val="19"/>
                <w:color w:val="auto"/>
              </w:rPr>
              <w:t>Changes in fair value of available for sale investments</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(51 )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(51 )</w:t>
            </w:r>
          </w:p>
        </w:tc>
      </w:tr>
      <w:tr>
        <w:trPr>
          <w:trHeight w:val="270"/>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Changes in fair value of effective cash flow hedges</w:t>
            </w: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(40 )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16</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(24 )</w:t>
            </w:r>
          </w:p>
        </w:tc>
      </w:tr>
      <w:tr>
        <w:trPr>
          <w:trHeight w:val="493"/>
        </w:trPr>
        <w:tc>
          <w:tcPr>
            <w:tcW w:w="9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(4,864 )</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46"/>
              <w:spacing w:after="0"/>
              <w:rPr>
                <w:sz w:val="20"/>
                <w:szCs w:val="20"/>
                <w:color w:val="auto"/>
              </w:rPr>
            </w:pPr>
            <w:r>
              <w:rPr>
                <w:rFonts w:ascii="Arial" w:cs="Arial" w:eastAsia="Arial" w:hAnsi="Arial"/>
                <w:sz w:val="19"/>
                <w:szCs w:val="19"/>
                <w:color w:val="auto"/>
              </w:rPr>
              <w:t>1,599</w:t>
            </w:r>
          </w:p>
        </w:tc>
        <w:tc>
          <w:tcPr>
            <w:tcW w:w="5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(3,265 )</w:t>
            </w:r>
          </w:p>
        </w:tc>
      </w:tr>
      <w:tr>
        <w:trPr>
          <w:trHeight w:val="20"/>
        </w:trPr>
        <w:tc>
          <w:tcPr>
            <w:tcW w:w="9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9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3"/>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Year Ended December 31, 2007</w:t>
            </w: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r>
      <w:tr>
        <w:trPr>
          <w:trHeight w:val="270"/>
        </w:trPr>
        <w:tc>
          <w:tcPr>
            <w:tcW w:w="8040" w:type="dxa"/>
            <w:vAlign w:val="bottom"/>
            <w:gridSpan w:val="2"/>
          </w:tcPr>
          <w:p>
            <w:pPr>
              <w:ind w:left="20"/>
              <w:spacing w:after="0"/>
              <w:rPr>
                <w:sz w:val="20"/>
                <w:szCs w:val="20"/>
                <w:color w:val="auto"/>
              </w:rPr>
            </w:pPr>
            <w:r>
              <w:rPr>
                <w:rFonts w:ascii="Arial" w:cs="Arial" w:eastAsia="Arial" w:hAnsi="Arial"/>
                <w:sz w:val="19"/>
                <w:szCs w:val="19"/>
                <w:color w:val="auto"/>
              </w:rPr>
              <w:t>Foreign exchange translation adjustment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248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248</w:t>
            </w:r>
          </w:p>
        </w:tc>
      </w:tr>
      <w:tr>
        <w:trPr>
          <w:trHeight w:val="270"/>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Pensions and other post retirement benefit adjustments</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803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(285 )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518</w:t>
            </w:r>
          </w:p>
        </w:tc>
      </w:tr>
      <w:tr>
        <w:trPr>
          <w:trHeight w:val="270"/>
        </w:trPr>
        <w:tc>
          <w:tcPr>
            <w:tcW w:w="8040" w:type="dxa"/>
            <w:vAlign w:val="bottom"/>
            <w:gridSpan w:val="2"/>
          </w:tcPr>
          <w:p>
            <w:pPr>
              <w:ind w:left="20"/>
              <w:spacing w:after="0"/>
              <w:rPr>
                <w:sz w:val="20"/>
                <w:szCs w:val="20"/>
                <w:color w:val="auto"/>
              </w:rPr>
            </w:pPr>
            <w:r>
              <w:rPr>
                <w:rFonts w:ascii="Arial" w:cs="Arial" w:eastAsia="Arial" w:hAnsi="Arial"/>
                <w:sz w:val="19"/>
                <w:szCs w:val="19"/>
                <w:color w:val="auto"/>
              </w:rPr>
              <w:t>Changes in fair value of effective cash flow hedges</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(3 )</w:t>
            </w:r>
          </w:p>
        </w:tc>
      </w:tr>
      <w:tr>
        <w:trPr>
          <w:trHeight w:val="34"/>
        </w:trPr>
        <w:tc>
          <w:tcPr>
            <w:tcW w:w="9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0" w:type="dxa"/>
            <w:vAlign w:val="bottom"/>
            <w:shd w:val="clear" w:color="auto" w:fill="E5FFFF"/>
          </w:tcPr>
          <w:p>
            <w:pPr>
              <w:spacing w:after="0"/>
              <w:rPr>
                <w:sz w:val="23"/>
                <w:szCs w:val="23"/>
                <w:color w:val="auto"/>
              </w:rPr>
            </w:pPr>
          </w:p>
        </w:tc>
        <w:tc>
          <w:tcPr>
            <w:tcW w:w="7140" w:type="dxa"/>
            <w:vAlign w:val="bottom"/>
            <w:shd w:val="clear" w:color="auto" w:fill="E5FFFF"/>
          </w:tcPr>
          <w:p>
            <w:pPr>
              <w:spacing w:after="0"/>
              <w:rPr>
                <w:sz w:val="23"/>
                <w:szCs w:val="23"/>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1,046</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(283 )</w:t>
            </w:r>
          </w:p>
        </w:tc>
        <w:tc>
          <w:tcPr>
            <w:tcW w:w="52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763</w:t>
            </w:r>
          </w:p>
        </w:tc>
      </w:tr>
      <w:tr>
        <w:trPr>
          <w:trHeight w:val="20"/>
        </w:trPr>
        <w:tc>
          <w:tcPr>
            <w:tcW w:w="9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39"/>
        </w:trPr>
        <w:tc>
          <w:tcPr>
            <w:tcW w:w="900" w:type="dxa"/>
            <w:vAlign w:val="bottom"/>
            <w:tcBorders>
              <w:bottom w:val="single" w:sz="8" w:color="auto"/>
            </w:tcBorders>
          </w:tcPr>
          <w:p>
            <w:pPr>
              <w:spacing w:after="0"/>
              <w:rPr>
                <w:sz w:val="12"/>
                <w:szCs w:val="12"/>
                <w:color w:val="auto"/>
              </w:rPr>
            </w:pPr>
          </w:p>
        </w:tc>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392"/>
        </w:trPr>
        <w:tc>
          <w:tcPr>
            <w:tcW w:w="8040" w:type="dxa"/>
            <w:vAlign w:val="bottom"/>
            <w:gridSpan w:val="2"/>
          </w:tcPr>
          <w:p>
            <w:pPr>
              <w:ind w:left="60"/>
              <w:spacing w:after="0"/>
              <w:rPr>
                <w:sz w:val="20"/>
                <w:szCs w:val="20"/>
                <w:color w:val="auto"/>
              </w:rPr>
            </w:pPr>
            <w:r>
              <w:rPr>
                <w:rFonts w:ascii="Arial" w:cs="Arial" w:eastAsia="Arial" w:hAnsi="Arial"/>
                <w:sz w:val="19"/>
                <w:szCs w:val="19"/>
                <w:color w:val="auto"/>
              </w:rPr>
              <w:t>(1) includes reclassification adjustment for losses included in net income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9"/>
        </w:trPr>
        <w:tc>
          <w:tcPr>
            <w:tcW w:w="8040" w:type="dxa"/>
            <w:vAlign w:val="bottom"/>
            <w:gridSpan w:val="2"/>
          </w:tcPr>
          <w:p>
            <w:pPr>
              <w:spacing w:after="0"/>
              <w:rPr>
                <w:sz w:val="20"/>
                <w:szCs w:val="20"/>
                <w:color w:val="auto"/>
              </w:rPr>
            </w:pPr>
            <w:r>
              <w:rPr>
                <w:rFonts w:ascii="Arial" w:cs="Arial" w:eastAsia="Arial" w:hAnsi="Arial"/>
                <w:sz w:val="19"/>
                <w:szCs w:val="19"/>
                <w:b w:val="1"/>
                <w:bCs w:val="1"/>
                <w:color w:val="auto"/>
              </w:rPr>
              <w:t>Components of Accumulated Other Comprehensive Income (Loss)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9"/>
        </w:trPr>
        <w:tc>
          <w:tcPr>
            <w:tcW w:w="9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right"/>
              <w:ind w:right="464"/>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90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2009</w:t>
            </w:r>
          </w:p>
        </w:tc>
        <w:tc>
          <w:tcPr>
            <w:tcW w:w="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2008</w:t>
            </w:r>
          </w:p>
        </w:tc>
      </w:tr>
      <w:tr>
        <w:trPr>
          <w:trHeight w:val="264"/>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Cumulative foreign exchange translation adjustment</w:t>
            </w: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468</w:t>
            </w:r>
          </w:p>
        </w:tc>
        <w:tc>
          <w:tcPr>
            <w:tcW w:w="52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209</w:t>
            </w:r>
          </w:p>
        </w:tc>
      </w:tr>
      <w:tr>
        <w:trPr>
          <w:trHeight w:val="270"/>
        </w:trPr>
        <w:tc>
          <w:tcPr>
            <w:tcW w:w="8040" w:type="dxa"/>
            <w:vAlign w:val="bottom"/>
            <w:gridSpan w:val="2"/>
          </w:tcPr>
          <w:p>
            <w:pPr>
              <w:ind w:left="20"/>
              <w:spacing w:after="0"/>
              <w:rPr>
                <w:sz w:val="20"/>
                <w:szCs w:val="20"/>
                <w:color w:val="auto"/>
              </w:rPr>
            </w:pPr>
            <w:r>
              <w:rPr>
                <w:rFonts w:ascii="Arial" w:cs="Arial" w:eastAsia="Arial" w:hAnsi="Arial"/>
                <w:sz w:val="19"/>
                <w:szCs w:val="19"/>
                <w:color w:val="auto"/>
              </w:rPr>
              <w:t>Pensions and other post retirement benefit adjustments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(4,966 )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(3,945 )</w:t>
            </w:r>
          </w:p>
        </w:tc>
      </w:tr>
      <w:tr>
        <w:trPr>
          <w:trHeight w:val="270"/>
        </w:trPr>
        <w:tc>
          <w:tcPr>
            <w:tcW w:w="8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Change in fair value of available for sale investments</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61</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(51 )</w:t>
            </w:r>
          </w:p>
        </w:tc>
      </w:tr>
      <w:tr>
        <w:trPr>
          <w:trHeight w:val="270"/>
        </w:trPr>
        <w:tc>
          <w:tcPr>
            <w:tcW w:w="8040" w:type="dxa"/>
            <w:vAlign w:val="bottom"/>
            <w:gridSpan w:val="2"/>
          </w:tcPr>
          <w:p>
            <w:pPr>
              <w:ind w:left="20"/>
              <w:spacing w:after="0"/>
              <w:rPr>
                <w:sz w:val="20"/>
                <w:szCs w:val="20"/>
                <w:color w:val="auto"/>
              </w:rPr>
            </w:pPr>
            <w:r>
              <w:rPr>
                <w:rFonts w:ascii="Arial" w:cs="Arial" w:eastAsia="Arial" w:hAnsi="Arial"/>
                <w:sz w:val="19"/>
                <w:szCs w:val="19"/>
                <w:color w:val="auto"/>
              </w:rPr>
              <w:t>Change in fair value of effective cash flow hedges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8</w:t>
            </w:r>
          </w:p>
        </w:tc>
        <w:tc>
          <w:tcPr>
            <w:tcW w:w="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(22 )</w:t>
            </w:r>
          </w:p>
        </w:tc>
      </w:tr>
      <w:tr>
        <w:trPr>
          <w:trHeight w:val="34"/>
        </w:trPr>
        <w:tc>
          <w:tcPr>
            <w:tcW w:w="9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0" w:type="dxa"/>
            <w:vAlign w:val="bottom"/>
            <w:shd w:val="clear" w:color="auto" w:fill="E5FFFF"/>
          </w:tcPr>
          <w:p>
            <w:pPr>
              <w:spacing w:after="0"/>
              <w:rPr>
                <w:sz w:val="23"/>
                <w:szCs w:val="23"/>
                <w:color w:val="auto"/>
              </w:rPr>
            </w:pPr>
          </w:p>
        </w:tc>
        <w:tc>
          <w:tcPr>
            <w:tcW w:w="71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(4,429 )</w:t>
            </w:r>
          </w:p>
        </w:tc>
        <w:tc>
          <w:tcPr>
            <w:tcW w:w="52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(3,809 )</w:t>
            </w:r>
          </w:p>
        </w:tc>
      </w:tr>
      <w:tr>
        <w:trPr>
          <w:trHeight w:val="20"/>
        </w:trPr>
        <w:tc>
          <w:tcPr>
            <w:tcW w:w="9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-1976120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-1976120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20—Stock-Based Compensation Plans</w:t>
      </w:r>
    </w:p>
    <w:p>
      <w:pPr>
        <w:spacing w:after="0" w:line="130" w:lineRule="exact"/>
        <w:rPr>
          <w:sz w:val="20"/>
          <w:szCs w:val="20"/>
          <w:color w:val="auto"/>
        </w:rPr>
      </w:pPr>
    </w:p>
    <w:p>
      <w:pPr>
        <w:ind w:right="460" w:firstLine="357"/>
        <w:spacing w:after="0" w:line="241" w:lineRule="auto"/>
        <w:rPr>
          <w:sz w:val="20"/>
          <w:szCs w:val="20"/>
          <w:color w:val="auto"/>
        </w:rPr>
      </w:pPr>
      <w:r>
        <w:rPr>
          <w:rFonts w:ascii="Arial" w:cs="Arial" w:eastAsia="Arial" w:hAnsi="Arial"/>
          <w:sz w:val="19"/>
          <w:szCs w:val="19"/>
          <w:color w:val="auto"/>
        </w:rPr>
        <w:t>We have stock-based compensation plans available to grant non-qualified stock options, incentive stock options, stock appreciation rights, restricted units and restricted stock to key employees. Under the 2006 Stock Incentive Plan of Honeywell International Inc. and its Affiliates (the Plan), a maximum of 43 million shares of Honeywell common stock may be awarded. Additionally, under the 2006 Stock Plan for Non-Employee Directors of Honeywell International Inc. (the Directors Plan) 500,000 shares of Honeywell common stock may be awarded.</w:t>
      </w:r>
    </w:p>
    <w:p>
      <w:pPr>
        <w:spacing w:after="0" w:line="67" w:lineRule="exact"/>
        <w:rPr>
          <w:sz w:val="20"/>
          <w:szCs w:val="20"/>
          <w:color w:val="auto"/>
        </w:rPr>
      </w:pPr>
    </w:p>
    <w:p>
      <w:pPr>
        <w:ind w:right="20" w:firstLine="357"/>
        <w:spacing w:after="0" w:line="248" w:lineRule="auto"/>
        <w:rPr>
          <w:sz w:val="20"/>
          <w:szCs w:val="20"/>
          <w:color w:val="auto"/>
        </w:rPr>
      </w:pPr>
      <w:r>
        <w:rPr>
          <w:rFonts w:ascii="Arial" w:cs="Arial" w:eastAsia="Arial" w:hAnsi="Arial"/>
          <w:sz w:val="19"/>
          <w:szCs w:val="19"/>
          <w:b w:val="1"/>
          <w:bCs w:val="1"/>
          <w:i w:val="1"/>
          <w:iCs w:val="1"/>
          <w:color w:val="auto"/>
        </w:rPr>
        <w:t>Stock Options</w:t>
      </w:r>
      <w:r>
        <w:rPr>
          <w:rFonts w:ascii="Arial" w:cs="Arial" w:eastAsia="Arial" w:hAnsi="Arial"/>
          <w:sz w:val="19"/>
          <w:szCs w:val="19"/>
          <w:color w:val="auto"/>
        </w:rPr>
        <w:t>—The exercise price, term and other conditions applicable to each option granted under our stock plans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generally determined by the Management Development and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sectPr>
          <w:pgSz w:w="11900" w:h="16838" w:orient="portrait"/>
          <w:cols w:equalWidth="0" w:num="1">
            <w:col w:w="11420"/>
          </w:cols>
          <w:pgMar w:left="240" w:top="105" w:right="239" w:bottom="1440" w:gutter="0" w:footer="0" w:header="0"/>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The fair value of each option award is estimated on the date of grant using the Black-Scholes option-pricing model. Expected volatility is based on implied volatilities from traded options on Honeywell common stock. We used a Monte Carlo simulation model to derive an expected term. Such model uses historical data to estimate option exercise activity and post-vest termination behavior. The expected term represents an estimate of the time options are expected to remain outstanding. The risk-free rate for periods within the contractual life of the option is based on the U.S. treasury yield curve in effect at the time of grant.</w:t>
      </w:r>
    </w:p>
    <w:p>
      <w:pPr>
        <w:spacing w:after="0" w:line="200" w:lineRule="exact"/>
        <w:rPr>
          <w:sz w:val="20"/>
          <w:szCs w:val="20"/>
          <w:color w:val="auto"/>
        </w:rPr>
      </w:pPr>
    </w:p>
    <w:p>
      <w:pPr>
        <w:ind w:right="280" w:firstLine="357"/>
        <w:spacing w:after="0" w:line="245" w:lineRule="auto"/>
        <w:rPr>
          <w:sz w:val="20"/>
          <w:szCs w:val="20"/>
          <w:color w:val="auto"/>
        </w:rPr>
      </w:pPr>
      <w:r>
        <w:rPr>
          <w:rFonts w:ascii="Arial" w:cs="Arial" w:eastAsia="Arial" w:hAnsi="Arial"/>
          <w:sz w:val="19"/>
          <w:szCs w:val="19"/>
          <w:color w:val="auto"/>
        </w:rPr>
        <w:t>Compensation cost on a pre-tax basis related to stock options recognized in operating results (included in selling, general and administrative expenses) in 2009, 2008 and 2007 was $39, $51 and $65 million, respectively. The associated future income tax benefit recognized in 2009, 2008 and 2007 was $13, $19 and $25 million, respectively.</w:t>
      </w:r>
    </w:p>
    <w:p>
      <w:pPr>
        <w:spacing w:after="0" w:line="87" w:lineRule="exact"/>
        <w:rPr>
          <w:sz w:val="20"/>
          <w:szCs w:val="20"/>
          <w:color w:val="auto"/>
        </w:rPr>
      </w:pPr>
    </w:p>
    <w:p>
      <w:pPr>
        <w:ind w:right="860" w:firstLine="357"/>
        <w:spacing w:after="0" w:line="253" w:lineRule="auto"/>
        <w:rPr>
          <w:sz w:val="20"/>
          <w:szCs w:val="20"/>
          <w:color w:val="auto"/>
        </w:rPr>
      </w:pPr>
      <w:r>
        <w:rPr>
          <w:rFonts w:ascii="Arial" w:cs="Arial" w:eastAsia="Arial" w:hAnsi="Arial"/>
          <w:sz w:val="19"/>
          <w:szCs w:val="19"/>
          <w:color w:val="auto"/>
        </w:rPr>
        <w:t>The following table sets forth fair value per share information, including related weighted-average assumptions, used to determine compensation cost:</w:t>
      </w:r>
    </w:p>
    <w:p>
      <w:pPr>
        <w:spacing w:after="0" w:line="78"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820" w:type="dxa"/>
            <w:vAlign w:val="bottom"/>
          </w:tcPr>
          <w:p>
            <w:pPr>
              <w:spacing w:after="0"/>
              <w:rPr>
                <w:sz w:val="17"/>
                <w:szCs w:val="17"/>
                <w:color w:val="auto"/>
              </w:rPr>
            </w:pPr>
          </w:p>
        </w:tc>
        <w:tc>
          <w:tcPr>
            <w:tcW w:w="2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Years Ended December 31,</w:t>
            </w:r>
          </w:p>
        </w:tc>
        <w:tc>
          <w:tcPr>
            <w:tcW w:w="760" w:type="dxa"/>
            <w:vAlign w:val="bottom"/>
            <w:tcBorders>
              <w:bottom w:val="single" w:sz="8" w:color="auto"/>
            </w:tcBorders>
          </w:tcPr>
          <w:p>
            <w:pPr>
              <w:spacing w:after="0"/>
              <w:rPr>
                <w:sz w:val="17"/>
                <w:szCs w:val="17"/>
                <w:color w:val="auto"/>
              </w:rPr>
            </w:pPr>
          </w:p>
        </w:tc>
      </w:tr>
      <w:tr>
        <w:trPr>
          <w:trHeight w:val="250"/>
        </w:trPr>
        <w:tc>
          <w:tcPr>
            <w:tcW w:w="6820" w:type="dxa"/>
            <w:vAlign w:val="bottom"/>
          </w:tcPr>
          <w:p>
            <w:pPr>
              <w:spacing w:after="0"/>
              <w:rPr>
                <w:sz w:val="21"/>
                <w:szCs w:val="21"/>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2007</w:t>
            </w:r>
          </w:p>
        </w:tc>
      </w:tr>
      <w:tr>
        <w:trPr>
          <w:trHeight w:val="264"/>
        </w:trPr>
        <w:tc>
          <w:tcPr>
            <w:tcW w:w="6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Weighted average fair value per share of options granted during the year(1)</w:t>
            </w:r>
          </w:p>
        </w:tc>
        <w:tc>
          <w:tcPr>
            <w:tcW w:w="1000" w:type="dxa"/>
            <w:vAlign w:val="bottom"/>
            <w:shd w:val="clear" w:color="auto" w:fill="E5FFFF"/>
          </w:tcPr>
          <w:p>
            <w:pPr>
              <w:jc w:val="right"/>
              <w:ind w:right="168"/>
              <w:spacing w:after="0"/>
              <w:rPr>
                <w:sz w:val="20"/>
                <w:szCs w:val="20"/>
                <w:color w:val="auto"/>
              </w:rPr>
            </w:pPr>
            <w:r>
              <w:rPr>
                <w:rFonts w:ascii="Arial" w:cs="Arial" w:eastAsia="Arial" w:hAnsi="Arial"/>
                <w:sz w:val="19"/>
                <w:szCs w:val="19"/>
                <w:color w:val="auto"/>
              </w:rPr>
              <w:t>$  6.73</w:t>
            </w:r>
          </w:p>
        </w:tc>
        <w:tc>
          <w:tcPr>
            <w:tcW w:w="126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$ 13.81</w:t>
            </w:r>
          </w:p>
        </w:tc>
        <w:tc>
          <w:tcPr>
            <w:tcW w:w="56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186"/>
              <w:spacing w:after="0"/>
              <w:rPr>
                <w:sz w:val="20"/>
                <w:szCs w:val="20"/>
                <w:color w:val="auto"/>
              </w:rPr>
            </w:pPr>
            <w:r>
              <w:rPr>
                <w:rFonts w:ascii="Arial" w:cs="Arial" w:eastAsia="Arial" w:hAnsi="Arial"/>
                <w:sz w:val="19"/>
                <w:szCs w:val="19"/>
                <w:color w:val="auto"/>
                <w:w w:val="96"/>
              </w:rPr>
              <w:t>10.27</w:t>
            </w:r>
          </w:p>
        </w:tc>
      </w:tr>
      <w:tr>
        <w:trPr>
          <w:trHeight w:val="243"/>
        </w:trPr>
        <w:tc>
          <w:tcPr>
            <w:tcW w:w="6820" w:type="dxa"/>
            <w:vAlign w:val="bottom"/>
          </w:tcPr>
          <w:p>
            <w:pPr>
              <w:ind w:left="20"/>
              <w:spacing w:after="0"/>
              <w:rPr>
                <w:sz w:val="20"/>
                <w:szCs w:val="20"/>
                <w:color w:val="auto"/>
              </w:rPr>
            </w:pPr>
            <w:r>
              <w:rPr>
                <w:rFonts w:ascii="Arial" w:cs="Arial" w:eastAsia="Arial" w:hAnsi="Arial"/>
                <w:sz w:val="19"/>
                <w:szCs w:val="19"/>
                <w:color w:val="auto"/>
              </w:rPr>
              <w:t>Assumptions: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6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Expected annual dividend yield</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4.26 %</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1.88 %</w:t>
            </w:r>
          </w:p>
        </w:tc>
        <w:tc>
          <w:tcPr>
            <w:tcW w:w="2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2.09 %</w:t>
            </w:r>
          </w:p>
        </w:tc>
      </w:tr>
      <w:tr>
        <w:trPr>
          <w:trHeight w:val="270"/>
        </w:trPr>
        <w:tc>
          <w:tcPr>
            <w:tcW w:w="6820" w:type="dxa"/>
            <w:vAlign w:val="bottom"/>
          </w:tcPr>
          <w:p>
            <w:pPr>
              <w:ind w:left="380"/>
              <w:spacing w:after="0"/>
              <w:rPr>
                <w:sz w:val="20"/>
                <w:szCs w:val="20"/>
                <w:color w:val="auto"/>
              </w:rPr>
            </w:pPr>
            <w:r>
              <w:rPr>
                <w:rFonts w:ascii="Arial" w:cs="Arial" w:eastAsia="Arial" w:hAnsi="Arial"/>
                <w:sz w:val="19"/>
                <w:szCs w:val="19"/>
                <w:color w:val="auto"/>
              </w:rPr>
              <w:t>Expected volatility</w:t>
            </w:r>
          </w:p>
        </w:tc>
        <w:tc>
          <w:tcPr>
            <w:tcW w:w="1000" w:type="dxa"/>
            <w:vAlign w:val="bottom"/>
          </w:tcPr>
          <w:p>
            <w:pPr>
              <w:jc w:val="right"/>
              <w:spacing w:after="0"/>
              <w:rPr>
                <w:sz w:val="20"/>
                <w:szCs w:val="20"/>
                <w:color w:val="auto"/>
              </w:rPr>
            </w:pPr>
            <w:r>
              <w:rPr>
                <w:rFonts w:ascii="Arial" w:cs="Arial" w:eastAsia="Arial" w:hAnsi="Arial"/>
                <w:sz w:val="19"/>
                <w:szCs w:val="19"/>
                <w:color w:val="auto"/>
              </w:rPr>
              <w:t>35.78 %</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26.35 %</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4"/>
              </w:rPr>
              <w:t>20.18 %</w:t>
            </w:r>
          </w:p>
        </w:tc>
      </w:tr>
      <w:tr>
        <w:trPr>
          <w:trHeight w:val="270"/>
        </w:trPr>
        <w:tc>
          <w:tcPr>
            <w:tcW w:w="6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Risk-free rate of return</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2.53 %</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3.09 %</w:t>
            </w:r>
          </w:p>
        </w:tc>
        <w:tc>
          <w:tcPr>
            <w:tcW w:w="2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4.66 %</w:t>
            </w:r>
          </w:p>
        </w:tc>
      </w:tr>
      <w:tr>
        <w:trPr>
          <w:trHeight w:val="274"/>
        </w:trPr>
        <w:tc>
          <w:tcPr>
            <w:tcW w:w="6820" w:type="dxa"/>
            <w:vAlign w:val="bottom"/>
          </w:tcPr>
          <w:p>
            <w:pPr>
              <w:ind w:left="380"/>
              <w:spacing w:after="0"/>
              <w:rPr>
                <w:sz w:val="20"/>
                <w:szCs w:val="20"/>
                <w:color w:val="auto"/>
              </w:rPr>
            </w:pPr>
            <w:r>
              <w:rPr>
                <w:rFonts w:ascii="Arial" w:cs="Arial" w:eastAsia="Arial" w:hAnsi="Arial"/>
                <w:sz w:val="19"/>
                <w:szCs w:val="19"/>
                <w:color w:val="auto"/>
              </w:rPr>
              <w:t>Expected option term (years)</w:t>
            </w:r>
          </w:p>
        </w:tc>
        <w:tc>
          <w:tcPr>
            <w:tcW w:w="1000" w:type="dxa"/>
            <w:vAlign w:val="bottom"/>
          </w:tcPr>
          <w:p>
            <w:pPr>
              <w:jc w:val="right"/>
              <w:ind w:right="168"/>
              <w:spacing w:after="0"/>
              <w:rPr>
                <w:sz w:val="20"/>
                <w:szCs w:val="20"/>
                <w:color w:val="auto"/>
              </w:rPr>
            </w:pPr>
            <w:r>
              <w:rPr>
                <w:rFonts w:ascii="Arial" w:cs="Arial" w:eastAsia="Arial" w:hAnsi="Arial"/>
                <w:sz w:val="19"/>
                <w:szCs w:val="19"/>
                <w:color w:val="auto"/>
              </w:rPr>
              <w:t>5.8</w:t>
            </w:r>
          </w:p>
        </w:tc>
        <w:tc>
          <w:tcPr>
            <w:tcW w:w="1260" w:type="dxa"/>
            <w:vAlign w:val="bottom"/>
            <w:gridSpan w:val="2"/>
          </w:tcPr>
          <w:p>
            <w:pPr>
              <w:jc w:val="right"/>
              <w:ind w:right="181"/>
              <w:spacing w:after="0"/>
              <w:rPr>
                <w:sz w:val="20"/>
                <w:szCs w:val="20"/>
                <w:color w:val="auto"/>
              </w:rPr>
            </w:pPr>
            <w:r>
              <w:rPr>
                <w:rFonts w:ascii="Arial" w:cs="Arial" w:eastAsia="Arial" w:hAnsi="Arial"/>
                <w:sz w:val="19"/>
                <w:szCs w:val="19"/>
                <w:color w:val="auto"/>
              </w:rPr>
              <w:t>5.2</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86"/>
              <w:spacing w:after="0"/>
              <w:rPr>
                <w:sz w:val="20"/>
                <w:szCs w:val="20"/>
                <w:color w:val="auto"/>
              </w:rPr>
            </w:pPr>
            <w:r>
              <w:rPr>
                <w:rFonts w:ascii="Arial" w:cs="Arial" w:eastAsia="Arial" w:hAnsi="Arial"/>
                <w:sz w:val="19"/>
                <w:szCs w:val="19"/>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5702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Estimated on date of grant using Black-Scholes option-pricing model.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 activity for the three years ended December 31, 2009: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Weighted</w:t>
            </w:r>
          </w:p>
        </w:tc>
      </w:tr>
      <w:tr>
        <w:trPr>
          <w:trHeight w:val="176"/>
        </w:trPr>
        <w:tc>
          <w:tcPr>
            <w:tcW w:w="90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r>
      <w:tr>
        <w:trPr>
          <w:trHeight w:val="176"/>
        </w:trPr>
        <w:tc>
          <w:tcPr>
            <w:tcW w:w="90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340" w:type="dxa"/>
            <w:vAlign w:val="bottom"/>
          </w:tcPr>
          <w:p>
            <w:pPr>
              <w:jc w:val="right"/>
              <w:ind w:right="185"/>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9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Exercise</w:t>
            </w:r>
          </w:p>
        </w:tc>
      </w:tr>
      <w:tr>
        <w:trPr>
          <w:trHeight w:val="204"/>
        </w:trPr>
        <w:tc>
          <w:tcPr>
            <w:tcW w:w="9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34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96"/>
              </w:rPr>
              <w:t>Price</w:t>
            </w:r>
          </w:p>
        </w:tc>
      </w:tr>
      <w:tr>
        <w:trPr>
          <w:trHeight w:val="264"/>
        </w:trPr>
        <w:tc>
          <w:tcPr>
            <w:tcW w:w="88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Outstanding at December 31, 2006</w:t>
            </w:r>
          </w:p>
        </w:tc>
        <w:tc>
          <w:tcPr>
            <w:tcW w:w="13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54,232,677</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39.98</w:t>
            </w:r>
          </w:p>
        </w:tc>
      </w:tr>
      <w:tr>
        <w:trPr>
          <w:trHeight w:val="270"/>
        </w:trPr>
        <w:tc>
          <w:tcPr>
            <w:tcW w:w="8880" w:type="dxa"/>
            <w:vAlign w:val="bottom"/>
            <w:gridSpan w:val="2"/>
          </w:tcPr>
          <w:p>
            <w:pPr>
              <w:ind w:left="380"/>
              <w:spacing w:after="0"/>
              <w:rPr>
                <w:sz w:val="20"/>
                <w:szCs w:val="20"/>
                <w:color w:val="auto"/>
              </w:rPr>
            </w:pPr>
            <w:r>
              <w:rPr>
                <w:rFonts w:ascii="Arial" w:cs="Arial" w:eastAsia="Arial" w:hAnsi="Arial"/>
                <w:sz w:val="19"/>
                <w:szCs w:val="19"/>
                <w:color w:val="auto"/>
              </w:rPr>
              <w:t>Granted</w:t>
            </w:r>
          </w:p>
        </w:tc>
        <w:tc>
          <w:tcPr>
            <w:tcW w:w="1340" w:type="dxa"/>
            <w:vAlign w:val="bottom"/>
          </w:tcPr>
          <w:p>
            <w:pPr>
              <w:jc w:val="right"/>
              <w:ind w:right="65"/>
              <w:spacing w:after="0"/>
              <w:rPr>
                <w:sz w:val="20"/>
                <w:szCs w:val="20"/>
                <w:color w:val="auto"/>
              </w:rPr>
            </w:pPr>
            <w:r>
              <w:rPr>
                <w:rFonts w:ascii="Arial" w:cs="Arial" w:eastAsia="Arial" w:hAnsi="Arial"/>
                <w:sz w:val="19"/>
                <w:szCs w:val="19"/>
                <w:color w:val="auto"/>
              </w:rPr>
              <w:t>5,963,500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47.59</w:t>
            </w:r>
          </w:p>
        </w:tc>
      </w:tr>
      <w:tr>
        <w:trPr>
          <w:trHeight w:val="270"/>
        </w:trPr>
        <w:tc>
          <w:tcPr>
            <w:tcW w:w="88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Exercised</w:t>
            </w:r>
          </w:p>
        </w:tc>
        <w:tc>
          <w:tcPr>
            <w:tcW w:w="13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(16,037,530 )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36.95</w:t>
            </w:r>
          </w:p>
        </w:tc>
      </w:tr>
      <w:tr>
        <w:trPr>
          <w:trHeight w:val="270"/>
        </w:trPr>
        <w:tc>
          <w:tcPr>
            <w:tcW w:w="8880" w:type="dxa"/>
            <w:vAlign w:val="bottom"/>
            <w:gridSpan w:val="2"/>
          </w:tcPr>
          <w:p>
            <w:pPr>
              <w:ind w:left="380"/>
              <w:spacing w:after="0"/>
              <w:rPr>
                <w:sz w:val="20"/>
                <w:szCs w:val="20"/>
                <w:color w:val="auto"/>
              </w:rPr>
            </w:pPr>
            <w:r>
              <w:rPr>
                <w:rFonts w:ascii="Arial" w:cs="Arial" w:eastAsia="Arial" w:hAnsi="Arial"/>
                <w:sz w:val="19"/>
                <w:szCs w:val="19"/>
                <w:color w:val="auto"/>
              </w:rPr>
              <w:t>Lapsed or canceled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(2,761,278 )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45.74</w:t>
            </w:r>
          </w:p>
        </w:tc>
      </w:tr>
      <w:tr>
        <w:trPr>
          <w:trHeight w:val="34"/>
        </w:trPr>
        <w:tc>
          <w:tcPr>
            <w:tcW w:w="9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8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Outstanding at December 31, 2007</w:t>
            </w:r>
          </w:p>
        </w:tc>
        <w:tc>
          <w:tcPr>
            <w:tcW w:w="13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41,397,369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41.88</w:t>
            </w:r>
          </w:p>
        </w:tc>
      </w:tr>
      <w:tr>
        <w:trPr>
          <w:trHeight w:val="270"/>
        </w:trPr>
        <w:tc>
          <w:tcPr>
            <w:tcW w:w="8880" w:type="dxa"/>
            <w:vAlign w:val="bottom"/>
            <w:gridSpan w:val="2"/>
          </w:tcPr>
          <w:p>
            <w:pPr>
              <w:ind w:left="380"/>
              <w:spacing w:after="0"/>
              <w:rPr>
                <w:sz w:val="20"/>
                <w:szCs w:val="20"/>
                <w:color w:val="auto"/>
              </w:rPr>
            </w:pPr>
            <w:r>
              <w:rPr>
                <w:rFonts w:ascii="Arial" w:cs="Arial" w:eastAsia="Arial" w:hAnsi="Arial"/>
                <w:sz w:val="19"/>
                <w:szCs w:val="19"/>
                <w:color w:val="auto"/>
              </w:rPr>
              <w:t>Granted</w:t>
            </w:r>
          </w:p>
        </w:tc>
        <w:tc>
          <w:tcPr>
            <w:tcW w:w="1340" w:type="dxa"/>
            <w:vAlign w:val="bottom"/>
          </w:tcPr>
          <w:p>
            <w:pPr>
              <w:jc w:val="right"/>
              <w:ind w:right="65"/>
              <w:spacing w:after="0"/>
              <w:rPr>
                <w:sz w:val="20"/>
                <w:szCs w:val="20"/>
                <w:color w:val="auto"/>
              </w:rPr>
            </w:pPr>
            <w:r>
              <w:rPr>
                <w:rFonts w:ascii="Arial" w:cs="Arial" w:eastAsia="Arial" w:hAnsi="Arial"/>
                <w:sz w:val="19"/>
                <w:szCs w:val="19"/>
                <w:color w:val="auto"/>
              </w:rPr>
              <w:t>5,024,820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58.46</w:t>
            </w:r>
          </w:p>
        </w:tc>
      </w:tr>
      <w:tr>
        <w:trPr>
          <w:trHeight w:val="270"/>
        </w:trPr>
        <w:tc>
          <w:tcPr>
            <w:tcW w:w="88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Exercised</w:t>
            </w:r>
          </w:p>
        </w:tc>
        <w:tc>
          <w:tcPr>
            <w:tcW w:w="13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(3,577,707 )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37.40</w:t>
            </w:r>
          </w:p>
        </w:tc>
      </w:tr>
      <w:tr>
        <w:trPr>
          <w:trHeight w:val="270"/>
        </w:trPr>
        <w:tc>
          <w:tcPr>
            <w:tcW w:w="8880" w:type="dxa"/>
            <w:vAlign w:val="bottom"/>
            <w:gridSpan w:val="2"/>
          </w:tcPr>
          <w:p>
            <w:pPr>
              <w:ind w:left="380"/>
              <w:spacing w:after="0"/>
              <w:rPr>
                <w:sz w:val="20"/>
                <w:szCs w:val="20"/>
                <w:color w:val="auto"/>
              </w:rPr>
            </w:pPr>
            <w:r>
              <w:rPr>
                <w:rFonts w:ascii="Arial" w:cs="Arial" w:eastAsia="Arial" w:hAnsi="Arial"/>
                <w:sz w:val="19"/>
                <w:szCs w:val="19"/>
                <w:color w:val="auto"/>
              </w:rPr>
              <w:t>Lapsed or canceled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(1,910,960 )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49.16</w:t>
            </w:r>
          </w:p>
        </w:tc>
      </w:tr>
      <w:tr>
        <w:trPr>
          <w:trHeight w:val="34"/>
        </w:trPr>
        <w:tc>
          <w:tcPr>
            <w:tcW w:w="9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8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Outstanding at December 31, 2008</w:t>
            </w:r>
          </w:p>
        </w:tc>
        <w:tc>
          <w:tcPr>
            <w:tcW w:w="13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40,933,522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43.97</w:t>
            </w:r>
          </w:p>
        </w:tc>
      </w:tr>
      <w:tr>
        <w:trPr>
          <w:trHeight w:val="311"/>
        </w:trPr>
        <w:tc>
          <w:tcPr>
            <w:tcW w:w="8880" w:type="dxa"/>
            <w:vAlign w:val="bottom"/>
            <w:gridSpan w:val="2"/>
          </w:tcPr>
          <w:p>
            <w:pPr>
              <w:ind w:left="380"/>
              <w:spacing w:after="0"/>
              <w:rPr>
                <w:sz w:val="20"/>
                <w:szCs w:val="20"/>
                <w:color w:val="auto"/>
              </w:rPr>
            </w:pPr>
            <w:r>
              <w:rPr>
                <w:rFonts w:ascii="Arial" w:cs="Arial" w:eastAsia="Arial" w:hAnsi="Arial"/>
                <w:sz w:val="19"/>
                <w:szCs w:val="19"/>
                <w:color w:val="auto"/>
              </w:rPr>
              <w:t>Granted</w:t>
            </w:r>
          </w:p>
        </w:tc>
        <w:tc>
          <w:tcPr>
            <w:tcW w:w="1340" w:type="dxa"/>
            <w:vAlign w:val="bottom"/>
          </w:tcPr>
          <w:p>
            <w:pPr>
              <w:jc w:val="right"/>
              <w:ind w:right="65"/>
              <w:spacing w:after="0"/>
              <w:rPr>
                <w:sz w:val="20"/>
                <w:szCs w:val="20"/>
                <w:color w:val="auto"/>
              </w:rPr>
            </w:pPr>
            <w:r>
              <w:rPr>
                <w:rFonts w:ascii="Arial" w:cs="Arial" w:eastAsia="Arial" w:hAnsi="Arial"/>
                <w:sz w:val="19"/>
                <w:szCs w:val="19"/>
                <w:color w:val="auto"/>
              </w:rPr>
              <w:t>9,159,650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28.40</w:t>
            </w:r>
          </w:p>
        </w:tc>
      </w:tr>
      <w:tr>
        <w:trPr>
          <w:trHeight w:val="270"/>
        </w:trPr>
        <w:tc>
          <w:tcPr>
            <w:tcW w:w="88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Exercised</w:t>
            </w:r>
          </w:p>
        </w:tc>
        <w:tc>
          <w:tcPr>
            <w:tcW w:w="13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(645,201 )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31.66</w:t>
            </w:r>
          </w:p>
        </w:tc>
      </w:tr>
      <w:tr>
        <w:trPr>
          <w:trHeight w:val="270"/>
        </w:trPr>
        <w:tc>
          <w:tcPr>
            <w:tcW w:w="8880" w:type="dxa"/>
            <w:vAlign w:val="bottom"/>
            <w:gridSpan w:val="2"/>
          </w:tcPr>
          <w:p>
            <w:pPr>
              <w:ind w:left="380"/>
              <w:spacing w:after="0"/>
              <w:rPr>
                <w:sz w:val="20"/>
                <w:szCs w:val="20"/>
                <w:color w:val="auto"/>
              </w:rPr>
            </w:pPr>
            <w:r>
              <w:rPr>
                <w:rFonts w:ascii="Arial" w:cs="Arial" w:eastAsia="Arial" w:hAnsi="Arial"/>
                <w:sz w:val="19"/>
                <w:szCs w:val="19"/>
                <w:color w:val="auto"/>
              </w:rPr>
              <w:t>Lapsed or canceled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(8,537,598 )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53.90</w:t>
            </w:r>
          </w:p>
        </w:tc>
      </w:tr>
      <w:tr>
        <w:trPr>
          <w:trHeight w:val="34"/>
        </w:trPr>
        <w:tc>
          <w:tcPr>
            <w:tcW w:w="9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8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Outstanding at December 31, 2009</w:t>
            </w:r>
          </w:p>
        </w:tc>
        <w:tc>
          <w:tcPr>
            <w:tcW w:w="134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40,910,373</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38.58</w:t>
            </w:r>
          </w:p>
        </w:tc>
      </w:tr>
      <w:tr>
        <w:trPr>
          <w:trHeight w:val="20"/>
        </w:trPr>
        <w:tc>
          <w:tcPr>
            <w:tcW w:w="9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880" w:type="dxa"/>
            <w:vAlign w:val="bottom"/>
            <w:gridSpan w:val="2"/>
          </w:tcPr>
          <w:p>
            <w:pPr>
              <w:ind w:left="20"/>
              <w:spacing w:after="0"/>
              <w:rPr>
                <w:sz w:val="20"/>
                <w:szCs w:val="20"/>
                <w:color w:val="auto"/>
              </w:rPr>
            </w:pPr>
            <w:r>
              <w:rPr>
                <w:rFonts w:ascii="Arial" w:cs="Arial" w:eastAsia="Arial" w:hAnsi="Arial"/>
                <w:sz w:val="19"/>
                <w:szCs w:val="19"/>
                <w:color w:val="auto"/>
              </w:rPr>
              <w:t>Vested and expected to vest at December 31, 2009(1)</w:t>
            </w:r>
          </w:p>
        </w:tc>
        <w:tc>
          <w:tcPr>
            <w:tcW w:w="134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38,189,089</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38.82</w:t>
            </w:r>
          </w:p>
        </w:tc>
      </w:tr>
      <w:tr>
        <w:trPr>
          <w:trHeight w:val="20"/>
        </w:trPr>
        <w:tc>
          <w:tcPr>
            <w:tcW w:w="9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
        </w:trPr>
        <w:tc>
          <w:tcPr>
            <w:tcW w:w="9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0"/>
        </w:trPr>
        <w:tc>
          <w:tcPr>
            <w:tcW w:w="88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Exercisable at December 31, 2009</w:t>
            </w:r>
          </w:p>
        </w:tc>
        <w:tc>
          <w:tcPr>
            <w:tcW w:w="134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27,427,023</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38.85</w:t>
            </w:r>
          </w:p>
        </w:tc>
      </w:tr>
      <w:tr>
        <w:trPr>
          <w:trHeight w:val="20"/>
        </w:trPr>
        <w:tc>
          <w:tcPr>
            <w:tcW w:w="9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53"/>
        </w:trPr>
        <w:tc>
          <w:tcPr>
            <w:tcW w:w="900" w:type="dxa"/>
            <w:vAlign w:val="bottom"/>
            <w:tcBorders>
              <w:bottom w:val="single" w:sz="8" w:color="auto"/>
            </w:tcBorders>
          </w:tcPr>
          <w:p>
            <w:pPr>
              <w:spacing w:after="0"/>
              <w:rPr>
                <w:sz w:val="13"/>
                <w:szCs w:val="13"/>
                <w:color w:val="auto"/>
              </w:rPr>
            </w:pPr>
          </w:p>
        </w:tc>
        <w:tc>
          <w:tcPr>
            <w:tcW w:w="7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hanging="332"/>
        <w:spacing w:after="0"/>
        <w:tabs>
          <w:tab w:leader="none" w:pos="4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expected to vest options are the result of applying the pre-vesting forfeiture rate assumption to total outstanding options.</w:t>
      </w:r>
    </w:p>
    <w:p>
      <w:pPr>
        <w:spacing w:after="0" w:line="105" w:lineRule="exact"/>
        <w:rPr>
          <w:rFonts w:ascii="Arial" w:cs="Arial" w:eastAsia="Arial" w:hAnsi="Arial"/>
          <w:sz w:val="19"/>
          <w:szCs w:val="19"/>
          <w:color w:val="auto"/>
        </w:rPr>
      </w:pPr>
    </w:p>
    <w:p>
      <w:pPr>
        <w:ind w:left="5600"/>
        <w:spacing w:after="0"/>
        <w:rPr>
          <w:rFonts w:ascii="Arial" w:cs="Arial" w:eastAsia="Arial" w:hAnsi="Arial"/>
          <w:sz w:val="19"/>
          <w:szCs w:val="19"/>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options outstanding and exercisable at December 31, 2009:</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Options Outstanding</w:t>
            </w: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168"/>
        </w:trPr>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ind w:right="280"/>
              <w:spacing w:after="0" w:line="168" w:lineRule="exact"/>
              <w:rPr>
                <w:sz w:val="20"/>
                <w:szCs w:val="20"/>
                <w:color w:val="auto"/>
              </w:rPr>
            </w:pPr>
            <w:r>
              <w:rPr>
                <w:rFonts w:ascii="Arial" w:cs="Arial" w:eastAsia="Arial" w:hAnsi="Arial"/>
                <w:sz w:val="16"/>
                <w:szCs w:val="16"/>
                <w:b w:val="1"/>
                <w:bCs w:val="1"/>
                <w:color w:val="auto"/>
                <w:w w:val="97"/>
              </w:rPr>
              <w:t>Weighted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Weighted</w:t>
            </w:r>
          </w:p>
        </w:tc>
        <w:tc>
          <w:tcPr>
            <w:tcW w:w="280" w:type="dxa"/>
            <w:vAlign w:val="bottom"/>
          </w:tcPr>
          <w:p>
            <w:pPr>
              <w:spacing w:after="0"/>
              <w:rPr>
                <w:sz w:val="15"/>
                <w:szCs w:val="15"/>
                <w:color w:val="auto"/>
              </w:rPr>
            </w:pPr>
          </w:p>
        </w:tc>
        <w:tc>
          <w:tcPr>
            <w:tcW w:w="8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4"/>
              </w:rPr>
              <w:t>Average</w:t>
            </w:r>
          </w:p>
        </w:tc>
        <w:tc>
          <w:tcPr>
            <w:tcW w:w="280" w:type="dxa"/>
            <w:vAlign w:val="bottom"/>
          </w:tcPr>
          <w:p>
            <w:pPr>
              <w:spacing w:after="0"/>
              <w:rPr>
                <w:sz w:val="15"/>
                <w:szCs w:val="15"/>
                <w:color w:val="auto"/>
              </w:rPr>
            </w:pPr>
          </w:p>
        </w:tc>
        <w:tc>
          <w:tcPr>
            <w:tcW w:w="9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Aggregate</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3"/>
          </w:tcPr>
          <w:p>
            <w:pPr>
              <w:jc w:val="center"/>
              <w:ind w:right="280"/>
              <w:spacing w:after="0" w:line="176" w:lineRule="exact"/>
              <w:rPr>
                <w:sz w:val="20"/>
                <w:szCs w:val="20"/>
                <w:color w:val="auto"/>
              </w:rPr>
            </w:pPr>
            <w:r>
              <w:rPr>
                <w:rFonts w:ascii="Arial" w:cs="Arial" w:eastAsia="Arial" w:hAnsi="Arial"/>
                <w:sz w:val="16"/>
                <w:szCs w:val="16"/>
                <w:b w:val="1"/>
                <w:bCs w:val="1"/>
                <w:color w:val="auto"/>
                <w:w w:val="98"/>
              </w:rPr>
              <w:t>Average</w:t>
            </w:r>
          </w:p>
        </w:tc>
        <w:tc>
          <w:tcPr>
            <w:tcW w:w="8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Aggregate</w:t>
            </w:r>
          </w:p>
        </w:tc>
      </w:tr>
      <w:tr>
        <w:trPr>
          <w:trHeight w:val="176"/>
        </w:trPr>
        <w:tc>
          <w:tcPr>
            <w:tcW w:w="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5"/>
                <w:szCs w:val="15"/>
                <w:color w:val="auto"/>
              </w:rPr>
            </w:pPr>
          </w:p>
        </w:tc>
        <w:tc>
          <w:tcPr>
            <w:tcW w:w="8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Exercise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74"/>
              <w:spacing w:after="0" w:line="176" w:lineRule="exact"/>
              <w:rPr>
                <w:sz w:val="20"/>
                <w:szCs w:val="20"/>
                <w:color w:val="auto"/>
              </w:rPr>
            </w:pPr>
            <w:r>
              <w:rPr>
                <w:rFonts w:ascii="Arial" w:cs="Arial" w:eastAsia="Arial" w:hAnsi="Arial"/>
                <w:sz w:val="16"/>
                <w:szCs w:val="16"/>
                <w:b w:val="1"/>
                <w:bCs w:val="1"/>
                <w:color w:val="auto"/>
                <w:w w:val="99"/>
              </w:rPr>
              <w:t>Intrinsic</w:t>
            </w:r>
          </w:p>
        </w:tc>
        <w:tc>
          <w:tcPr>
            <w:tcW w:w="280" w:type="dxa"/>
            <w:vAlign w:val="bottom"/>
          </w:tcPr>
          <w:p>
            <w:pPr>
              <w:spacing w:after="0"/>
              <w:rPr>
                <w:sz w:val="15"/>
                <w:szCs w:val="15"/>
                <w:color w:val="auto"/>
              </w:rPr>
            </w:pPr>
          </w:p>
        </w:tc>
        <w:tc>
          <w:tcPr>
            <w:tcW w:w="1140" w:type="dxa"/>
            <w:vAlign w:val="bottom"/>
          </w:tcPr>
          <w:p>
            <w:pPr>
              <w:jc w:val="right"/>
              <w:ind w:right="201"/>
              <w:spacing w:after="0" w:line="176" w:lineRule="exact"/>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5"/>
                <w:szCs w:val="15"/>
                <w:color w:val="auto"/>
              </w:rPr>
            </w:pPr>
          </w:p>
        </w:tc>
        <w:tc>
          <w:tcPr>
            <w:tcW w:w="1140" w:type="dxa"/>
            <w:vAlign w:val="bottom"/>
            <w:gridSpan w:val="3"/>
          </w:tcPr>
          <w:p>
            <w:pPr>
              <w:jc w:val="center"/>
              <w:ind w:right="280"/>
              <w:spacing w:after="0" w:line="176" w:lineRule="exact"/>
              <w:rPr>
                <w:sz w:val="20"/>
                <w:szCs w:val="20"/>
                <w:color w:val="auto"/>
              </w:rPr>
            </w:pPr>
            <w:r>
              <w:rPr>
                <w:rFonts w:ascii="Arial" w:cs="Arial" w:eastAsia="Arial" w:hAnsi="Arial"/>
                <w:sz w:val="16"/>
                <w:szCs w:val="16"/>
                <w:b w:val="1"/>
                <w:bCs w:val="1"/>
                <w:color w:val="auto"/>
              </w:rPr>
              <w:t>Exercise</w:t>
            </w:r>
          </w:p>
        </w:tc>
        <w:tc>
          <w:tcPr>
            <w:tcW w:w="8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Intrinsic</w:t>
            </w:r>
          </w:p>
        </w:tc>
      </w:tr>
      <w:tr>
        <w:trPr>
          <w:trHeight w:val="204"/>
        </w:trPr>
        <w:tc>
          <w:tcPr>
            <w:tcW w:w="2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Range of exercise prices</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Life(1)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8"/>
              </w:rPr>
              <w:t>Value</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Exercisable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96"/>
              </w:rPr>
              <w:t>Price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98"/>
              </w:rPr>
              <w:t>Value</w:t>
            </w:r>
          </w:p>
        </w:tc>
      </w:tr>
      <w:tr>
        <w:trPr>
          <w:trHeight w:val="264"/>
        </w:trPr>
        <w:tc>
          <w:tcPr>
            <w:tcW w:w="28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$21.75—$32.99</w:t>
            </w:r>
          </w:p>
        </w:tc>
        <w:tc>
          <w:tcPr>
            <w:tcW w:w="14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10,926,098</w:t>
            </w:r>
          </w:p>
        </w:tc>
        <w:tc>
          <w:tcPr>
            <w:tcW w:w="114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7.76</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27.46</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54"/>
              <w:spacing w:after="0"/>
              <w:rPr>
                <w:sz w:val="20"/>
                <w:szCs w:val="20"/>
                <w:color w:val="auto"/>
              </w:rPr>
            </w:pPr>
            <w:r>
              <w:rPr>
                <w:rFonts w:ascii="Arial" w:cs="Arial" w:eastAsia="Arial" w:hAnsi="Arial"/>
                <w:sz w:val="18"/>
                <w:szCs w:val="18"/>
                <w:color w:val="auto"/>
              </w:rPr>
              <w:t>128</w:t>
            </w:r>
          </w:p>
        </w:tc>
        <w:tc>
          <w:tcPr>
            <w:tcW w:w="14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2,535,198</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24.34</w:t>
            </w:r>
          </w:p>
        </w:tc>
        <w:tc>
          <w:tcPr>
            <w:tcW w:w="280" w:type="dxa"/>
            <w:vAlign w:val="bottom"/>
            <w:shd w:val="clear" w:color="auto" w:fill="E5FFFF"/>
          </w:tcPr>
          <w:p>
            <w:pPr>
              <w:spacing w:after="0"/>
              <w:rPr>
                <w:sz w:val="22"/>
                <w:szCs w:val="22"/>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38</w:t>
            </w:r>
          </w:p>
        </w:tc>
      </w:tr>
      <w:tr>
        <w:trPr>
          <w:trHeight w:val="26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$33.00—$39.99</w:t>
            </w: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13,638,879</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35.77</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13,638,879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35.77</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47</w:t>
            </w:r>
          </w:p>
        </w:tc>
      </w:tr>
      <w:tr>
        <w:trPr>
          <w:trHeight w:val="271"/>
        </w:trPr>
        <w:tc>
          <w:tcPr>
            <w:tcW w:w="28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$40.00—$49.99</w:t>
            </w:r>
          </w:p>
        </w:tc>
        <w:tc>
          <w:tcPr>
            <w:tcW w:w="14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11,834,401</w:t>
            </w:r>
          </w:p>
        </w:tc>
        <w:tc>
          <w:tcPr>
            <w:tcW w:w="114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44.61</w:t>
            </w:r>
          </w:p>
        </w:tc>
        <w:tc>
          <w:tcPr>
            <w:tcW w:w="2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54"/>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9,812,601</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44.07</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w:t>
            </w:r>
          </w:p>
        </w:tc>
      </w:tr>
      <w:tr>
        <w:trPr>
          <w:trHeight w:val="26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$50.00—$74.95</w:t>
            </w: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4,510,995</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58.18</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1,440,345</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35"/>
        </w:trPr>
        <w:tc>
          <w:tcPr>
            <w:tcW w:w="9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r>
      <w:tr>
        <w:trPr>
          <w:trHeight w:val="270"/>
        </w:trPr>
        <w:tc>
          <w:tcPr>
            <w:tcW w:w="900" w:type="dxa"/>
            <w:vAlign w:val="bottom"/>
            <w:shd w:val="clear" w:color="auto" w:fill="E5FFFF"/>
          </w:tcPr>
          <w:p>
            <w:pPr>
              <w:spacing w:after="0"/>
              <w:rPr>
                <w:sz w:val="23"/>
                <w:szCs w:val="23"/>
                <w:color w:val="auto"/>
              </w:rPr>
            </w:pPr>
          </w:p>
        </w:tc>
        <w:tc>
          <w:tcPr>
            <w:tcW w:w="1900" w:type="dxa"/>
            <w:vAlign w:val="bottom"/>
            <w:shd w:val="clear" w:color="auto" w:fill="E5FFFF"/>
          </w:tcPr>
          <w:p>
            <w:pPr>
              <w:spacing w:after="0"/>
              <w:rPr>
                <w:sz w:val="23"/>
                <w:szCs w:val="23"/>
                <w:color w:val="auto"/>
              </w:rPr>
            </w:pPr>
          </w:p>
        </w:tc>
        <w:tc>
          <w:tcPr>
            <w:tcW w:w="14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40,910,373</w:t>
            </w:r>
          </w:p>
        </w:tc>
        <w:tc>
          <w:tcPr>
            <w:tcW w:w="114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38.58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54"/>
              <w:spacing w:after="0"/>
              <w:rPr>
                <w:sz w:val="20"/>
                <w:szCs w:val="20"/>
                <w:color w:val="auto"/>
              </w:rPr>
            </w:pPr>
            <w:r>
              <w:rPr>
                <w:rFonts w:ascii="Arial" w:cs="Arial" w:eastAsia="Arial" w:hAnsi="Arial"/>
                <w:sz w:val="18"/>
                <w:szCs w:val="18"/>
                <w:color w:val="auto"/>
              </w:rPr>
              <w:t>175</w:t>
            </w:r>
          </w:p>
        </w:tc>
        <w:tc>
          <w:tcPr>
            <w:tcW w:w="14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27,427,023</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38.85</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85</w:t>
            </w:r>
          </w:p>
        </w:tc>
      </w:tr>
      <w:tr>
        <w:trPr>
          <w:trHeight w:val="20"/>
        </w:trPr>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900" w:type="dxa"/>
            <w:vAlign w:val="bottom"/>
            <w:tcBorders>
              <w:bottom w:val="single" w:sz="8" w:color="auto"/>
            </w:tcBorders>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Average remaining contractual life in years.</w:t>
      </w:r>
    </w:p>
    <w:p>
      <w:pPr>
        <w:spacing w:after="0" w:line="214" w:lineRule="exact"/>
        <w:rPr>
          <w:sz w:val="20"/>
          <w:szCs w:val="20"/>
          <w:color w:val="auto"/>
        </w:rPr>
      </w:pPr>
    </w:p>
    <w:p>
      <w:pPr>
        <w:ind w:right="260" w:firstLine="357"/>
        <w:spacing w:after="0" w:line="245" w:lineRule="auto"/>
        <w:rPr>
          <w:sz w:val="20"/>
          <w:szCs w:val="20"/>
          <w:color w:val="auto"/>
        </w:rPr>
      </w:pPr>
      <w:r>
        <w:rPr>
          <w:rFonts w:ascii="Arial" w:cs="Arial" w:eastAsia="Arial" w:hAnsi="Arial"/>
          <w:sz w:val="19"/>
          <w:szCs w:val="19"/>
          <w:color w:val="auto"/>
        </w:rPr>
        <w:t>There were 30,314,667 and 28,624,279 options exercisable at weighted average exercise prices of $41.40 and $41.14 at December 31, 2008 and 2007, respectively. There were 30,000,541 shares available for future grants under the terms of our stock option plans at December 31, 2009.</w:t>
      </w:r>
    </w:p>
    <w:p>
      <w:pPr>
        <w:spacing w:after="0" w:line="87" w:lineRule="exact"/>
        <w:rPr>
          <w:sz w:val="20"/>
          <w:szCs w:val="20"/>
          <w:color w:val="auto"/>
        </w:rPr>
      </w:pPr>
    </w:p>
    <w:p>
      <w:pPr>
        <w:ind w:right="280" w:firstLine="357"/>
        <w:spacing w:after="0"/>
        <w:rPr>
          <w:sz w:val="20"/>
          <w:szCs w:val="20"/>
          <w:color w:val="auto"/>
        </w:rPr>
      </w:pPr>
      <w:r>
        <w:rPr>
          <w:rFonts w:ascii="Arial" w:cs="Arial" w:eastAsia="Arial" w:hAnsi="Arial"/>
          <w:sz w:val="19"/>
          <w:szCs w:val="19"/>
          <w:color w:val="auto"/>
        </w:rPr>
        <w:t>The total intrinsic value of options (which is the amount by which the stock price exceeded the exercise price of the options on the date of exercise) exercised during 2009, 2008 and 2007 was $4, $76 and $ 281 million, respectively. During 2009, 2008 and 2007, the amount of cash received from the exercise of stock options was $20, $134 and $592 million, respectively, with an associated tax benefit realized of $1, $28 and $101 million, respectively. In 2009, 2008 and 2007 we classified $ 1, $ 21 and $ 86 million, respectively, of this benefit as a financing cash inflow in the Consolidated Statement of Cash Flows, and the balance was classified as cash from operations.</w:t>
      </w:r>
    </w:p>
    <w:p>
      <w:pPr>
        <w:spacing w:after="0" w:line="94" w:lineRule="exact"/>
        <w:rPr>
          <w:sz w:val="20"/>
          <w:szCs w:val="20"/>
          <w:color w:val="auto"/>
        </w:rPr>
      </w:pPr>
    </w:p>
    <w:p>
      <w:pPr>
        <w:jc w:val="both"/>
        <w:ind w:right="20" w:firstLine="357"/>
        <w:spacing w:after="0" w:line="245" w:lineRule="auto"/>
        <w:rPr>
          <w:sz w:val="20"/>
          <w:szCs w:val="20"/>
          <w:color w:val="auto"/>
        </w:rPr>
      </w:pPr>
      <w:r>
        <w:rPr>
          <w:rFonts w:ascii="Arial" w:cs="Arial" w:eastAsia="Arial" w:hAnsi="Arial"/>
          <w:sz w:val="19"/>
          <w:szCs w:val="19"/>
          <w:color w:val="auto"/>
        </w:rPr>
        <w:t>At December 31, 2009, there was $82 million of total unrecognized compensation cost related to non-vested stock option awards which is expected to be recognized over a weighted-average period of 2.49 years. The total fair value of options vested during 2009, 2008 and 2007 was $51, $63 and $83 million, respectively.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ind w:right="100" w:firstLine="357"/>
        <w:spacing w:after="0" w:line="251" w:lineRule="auto"/>
        <w:rPr>
          <w:sz w:val="20"/>
          <w:szCs w:val="20"/>
          <w:color w:val="auto"/>
        </w:rPr>
      </w:pP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—Restricted stock unit (RSU) awards entitle the holder to receive one share of common stock for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 when the units vest. RSUs are issued to certain key employees at fair market value at the date of grant as compensation. RSUs typically become fully vested over periods ranging from three to seven years and are payable in Honeywell common stock upon vesting.</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RSU activity for the three years ended December 31, 2009: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76"/>
        </w:trPr>
        <w:tc>
          <w:tcPr>
            <w:tcW w:w="8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86"/>
              <w:spacing w:after="0" w:line="176" w:lineRule="exact"/>
              <w:rPr>
                <w:sz w:val="20"/>
                <w:szCs w:val="20"/>
                <w:color w:val="auto"/>
              </w:rPr>
            </w:pPr>
            <w:r>
              <w:rPr>
                <w:rFonts w:ascii="Arial" w:cs="Arial" w:eastAsia="Arial" w:hAnsi="Arial"/>
                <w:sz w:val="16"/>
                <w:szCs w:val="16"/>
                <w:b w:val="1"/>
                <w:bCs w:val="1"/>
                <w:color w:val="auto"/>
                <w:w w:val="94"/>
              </w:rPr>
              <w:t>Average</w:t>
            </w:r>
          </w:p>
        </w:tc>
      </w:tr>
      <w:tr>
        <w:trPr>
          <w:trHeight w:val="176"/>
        </w:trPr>
        <w:tc>
          <w:tcPr>
            <w:tcW w:w="8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Grant Date</w:t>
            </w:r>
          </w:p>
        </w:tc>
      </w:tr>
      <w:tr>
        <w:trPr>
          <w:trHeight w:val="176"/>
        </w:trPr>
        <w:tc>
          <w:tcPr>
            <w:tcW w:w="890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1000" w:type="dxa"/>
            <w:vAlign w:val="bottom"/>
            <w:gridSpan w:val="2"/>
          </w:tcPr>
          <w:p>
            <w:pPr>
              <w:jc w:val="right"/>
              <w:ind w:right="26"/>
              <w:spacing w:after="0" w:line="176" w:lineRule="exact"/>
              <w:rPr>
                <w:sz w:val="20"/>
                <w:szCs w:val="20"/>
                <w:color w:val="auto"/>
              </w:rPr>
            </w:pPr>
            <w:r>
              <w:rPr>
                <w:rFonts w:ascii="Arial" w:cs="Arial" w:eastAsia="Arial" w:hAnsi="Arial"/>
                <w:sz w:val="16"/>
                <w:szCs w:val="16"/>
                <w:b w:val="1"/>
                <w:bCs w:val="1"/>
                <w:color w:val="auto"/>
              </w:rPr>
              <w:t>Fair Value</w:t>
            </w:r>
          </w:p>
        </w:tc>
      </w:tr>
      <w:tr>
        <w:trPr>
          <w:trHeight w:val="176"/>
        </w:trPr>
        <w:tc>
          <w:tcPr>
            <w:tcW w:w="890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Restricted</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86"/>
              <w:spacing w:after="0" w:line="176" w:lineRule="exact"/>
              <w:rPr>
                <w:sz w:val="20"/>
                <w:szCs w:val="20"/>
                <w:color w:val="auto"/>
              </w:rPr>
            </w:pPr>
            <w:r>
              <w:rPr>
                <w:rFonts w:ascii="Arial" w:cs="Arial" w:eastAsia="Arial" w:hAnsi="Arial"/>
                <w:sz w:val="16"/>
                <w:szCs w:val="16"/>
                <w:b w:val="1"/>
                <w:bCs w:val="1"/>
                <w:color w:val="auto"/>
                <w:w w:val="92"/>
              </w:rPr>
              <w:t>Per</w:t>
            </w:r>
          </w:p>
        </w:tc>
      </w:tr>
      <w:tr>
        <w:trPr>
          <w:trHeight w:val="204"/>
        </w:trPr>
        <w:tc>
          <w:tcPr>
            <w:tcW w:w="890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Stock Units</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98"/>
              </w:rPr>
              <w:t>Share</w:t>
            </w:r>
          </w:p>
        </w:tc>
      </w:tr>
      <w:tr>
        <w:trPr>
          <w:trHeight w:val="264"/>
        </w:trPr>
        <w:tc>
          <w:tcPr>
            <w:tcW w:w="8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Non-vested at December 31, 2006</w:t>
            </w:r>
          </w:p>
        </w:tc>
        <w:tc>
          <w:tcPr>
            <w:tcW w:w="12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4,751,999</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35.85</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Granted</w:t>
            </w:r>
          </w:p>
        </w:tc>
        <w:tc>
          <w:tcPr>
            <w:tcW w:w="1220" w:type="dxa"/>
            <w:vAlign w:val="bottom"/>
          </w:tcPr>
          <w:p>
            <w:pPr>
              <w:jc w:val="right"/>
              <w:ind w:right="46"/>
              <w:spacing w:after="0"/>
              <w:rPr>
                <w:sz w:val="20"/>
                <w:szCs w:val="20"/>
                <w:color w:val="auto"/>
              </w:rPr>
            </w:pPr>
            <w:r>
              <w:rPr>
                <w:rFonts w:ascii="Arial" w:cs="Arial" w:eastAsia="Arial" w:hAnsi="Arial"/>
                <w:sz w:val="19"/>
                <w:szCs w:val="19"/>
                <w:color w:val="auto"/>
              </w:rPr>
              <w:t>1,980,850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9"/>
                <w:szCs w:val="19"/>
                <w:color w:val="auto"/>
              </w:rPr>
              <w:t>54.47</w:t>
            </w:r>
          </w:p>
        </w:tc>
      </w:tr>
      <w:tr>
        <w:trPr>
          <w:trHeight w:val="270"/>
        </w:trPr>
        <w:tc>
          <w:tcPr>
            <w:tcW w:w="8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Vested</w:t>
            </w:r>
          </w:p>
        </w:tc>
        <w:tc>
          <w:tcPr>
            <w:tcW w:w="1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(372,105 )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32.48</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(503,747 )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9"/>
                <w:szCs w:val="19"/>
                <w:color w:val="auto"/>
              </w:rPr>
              <w:t>37.93</w:t>
            </w:r>
          </w:p>
        </w:tc>
      </w:tr>
      <w:tr>
        <w:trPr>
          <w:trHeight w:val="34"/>
        </w:trPr>
        <w:tc>
          <w:tcPr>
            <w:tcW w:w="8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Non-vested at December 31, 2007</w:t>
            </w:r>
          </w:p>
        </w:tc>
        <w:tc>
          <w:tcPr>
            <w:tcW w:w="12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5,856,997</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42.18</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Granted</w:t>
            </w:r>
          </w:p>
        </w:tc>
        <w:tc>
          <w:tcPr>
            <w:tcW w:w="1220" w:type="dxa"/>
            <w:vAlign w:val="bottom"/>
          </w:tcPr>
          <w:p>
            <w:pPr>
              <w:jc w:val="right"/>
              <w:ind w:right="46"/>
              <w:spacing w:after="0"/>
              <w:rPr>
                <w:sz w:val="20"/>
                <w:szCs w:val="20"/>
                <w:color w:val="auto"/>
              </w:rPr>
            </w:pPr>
            <w:r>
              <w:rPr>
                <w:rFonts w:ascii="Arial" w:cs="Arial" w:eastAsia="Arial" w:hAnsi="Arial"/>
                <w:sz w:val="19"/>
                <w:szCs w:val="19"/>
                <w:color w:val="auto"/>
              </w:rPr>
              <w:t>2,087,934</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9"/>
                <w:szCs w:val="19"/>
                <w:color w:val="auto"/>
              </w:rPr>
              <w:t>54.56</w:t>
            </w:r>
          </w:p>
        </w:tc>
      </w:tr>
      <w:tr>
        <w:trPr>
          <w:trHeight w:val="270"/>
        </w:trPr>
        <w:tc>
          <w:tcPr>
            <w:tcW w:w="8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Vested</w:t>
            </w:r>
          </w:p>
        </w:tc>
        <w:tc>
          <w:tcPr>
            <w:tcW w:w="1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(694,660 )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35.82</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(424,554 )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9"/>
                <w:szCs w:val="19"/>
                <w:color w:val="auto"/>
              </w:rPr>
              <w:t>41.94</w:t>
            </w:r>
          </w:p>
        </w:tc>
      </w:tr>
      <w:tr>
        <w:trPr>
          <w:trHeight w:val="34"/>
        </w:trPr>
        <w:tc>
          <w:tcPr>
            <w:tcW w:w="8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Non-vested at December 31, 2008</w:t>
            </w:r>
          </w:p>
        </w:tc>
        <w:tc>
          <w:tcPr>
            <w:tcW w:w="12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6,825,717</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46.63</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Granted</w:t>
            </w:r>
          </w:p>
        </w:tc>
        <w:tc>
          <w:tcPr>
            <w:tcW w:w="1220" w:type="dxa"/>
            <w:vAlign w:val="bottom"/>
          </w:tcPr>
          <w:p>
            <w:pPr>
              <w:jc w:val="right"/>
              <w:ind w:right="46"/>
              <w:spacing w:after="0"/>
              <w:rPr>
                <w:sz w:val="20"/>
                <w:szCs w:val="20"/>
                <w:color w:val="auto"/>
              </w:rPr>
            </w:pPr>
            <w:r>
              <w:rPr>
                <w:rFonts w:ascii="Arial" w:cs="Arial" w:eastAsia="Arial" w:hAnsi="Arial"/>
                <w:sz w:val="19"/>
                <w:szCs w:val="19"/>
                <w:color w:val="auto"/>
              </w:rPr>
              <w:t>3,691,129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9"/>
                <w:szCs w:val="19"/>
                <w:color w:val="auto"/>
              </w:rPr>
              <w:t>30.16</w:t>
            </w:r>
          </w:p>
        </w:tc>
      </w:tr>
      <w:tr>
        <w:trPr>
          <w:trHeight w:val="270"/>
        </w:trPr>
        <w:tc>
          <w:tcPr>
            <w:tcW w:w="8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Vested</w:t>
            </w:r>
          </w:p>
        </w:tc>
        <w:tc>
          <w:tcPr>
            <w:tcW w:w="1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(1,313,975 )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40.44</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(940,094 )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9"/>
                <w:szCs w:val="19"/>
                <w:color w:val="auto"/>
              </w:rPr>
              <w:t>44.51</w:t>
            </w:r>
          </w:p>
        </w:tc>
      </w:tr>
      <w:tr>
        <w:trPr>
          <w:trHeight w:val="34"/>
        </w:trPr>
        <w:tc>
          <w:tcPr>
            <w:tcW w:w="8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Non-vested at December 31, 2009</w:t>
            </w:r>
          </w:p>
        </w:tc>
        <w:tc>
          <w:tcPr>
            <w:tcW w:w="122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8,262,777</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40.49</w:t>
            </w:r>
          </w:p>
        </w:tc>
      </w:tr>
      <w:tr>
        <w:trPr>
          <w:trHeight w:val="20"/>
        </w:trPr>
        <w:tc>
          <w:tcPr>
            <w:tcW w:w="8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49"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As of December 31, 2009, there was approximately $ 167 million of total unrecognized compensation cost related to non-vested RSUs granted under our stock plans which is expected to be recognized over a weighted-average period of 1.8 years. Compensation expense related to RSUs was $79, $77 and $47 million in 2009, 2008 and 2007, respectively.</w:t>
      </w:r>
    </w:p>
    <w:p>
      <w:pPr>
        <w:spacing w:after="0" w:line="63" w:lineRule="exact"/>
        <w:rPr>
          <w:sz w:val="20"/>
          <w:szCs w:val="20"/>
          <w:color w:val="auto"/>
        </w:rPr>
      </w:pPr>
    </w:p>
    <w:p>
      <w:pPr>
        <w:ind w:right="480" w:firstLine="357"/>
        <w:spacing w:after="0" w:line="280" w:lineRule="auto"/>
        <w:rPr>
          <w:sz w:val="20"/>
          <w:szCs w:val="20"/>
          <w:color w:val="auto"/>
        </w:rPr>
      </w:pPr>
      <w:r>
        <w:rPr>
          <w:rFonts w:ascii="Arial" w:cs="Arial" w:eastAsia="Arial" w:hAnsi="Arial"/>
          <w:sz w:val="19"/>
          <w:szCs w:val="19"/>
          <w:b w:val="1"/>
          <w:bCs w:val="1"/>
          <w:i w:val="1"/>
          <w:iCs w:val="1"/>
          <w:color w:val="auto"/>
        </w:rPr>
        <w:t>Non-Employee Directors’ Plan</w:t>
      </w:r>
      <w:r>
        <w:rPr>
          <w:rFonts w:ascii="Arial" w:cs="Arial" w:eastAsia="Arial" w:hAnsi="Arial"/>
          <w:sz w:val="19"/>
          <w:szCs w:val="19"/>
          <w:color w:val="auto"/>
        </w:rPr>
        <w:t>—Under the Directors’ Plan each new director receives a one-time grant of 3,000 restricted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units that will vest on the fifth anniversary of continuous Board service.</w:t>
      </w:r>
    </w:p>
    <w:p>
      <w:pPr>
        <w:spacing w:after="0" w:line="54" w:lineRule="exact"/>
        <w:rPr>
          <w:sz w:val="20"/>
          <w:szCs w:val="20"/>
          <w:color w:val="auto"/>
        </w:rPr>
      </w:pPr>
    </w:p>
    <w:p>
      <w:pPr>
        <w:jc w:val="both"/>
        <w:ind w:right="200" w:firstLine="357"/>
        <w:spacing w:after="0" w:line="253" w:lineRule="auto"/>
        <w:rPr>
          <w:sz w:val="20"/>
          <w:szCs w:val="20"/>
          <w:color w:val="auto"/>
        </w:rPr>
      </w:pPr>
      <w:r>
        <w:rPr>
          <w:rFonts w:ascii="Arial" w:cs="Arial" w:eastAsia="Arial" w:hAnsi="Arial"/>
          <w:sz w:val="19"/>
          <w:szCs w:val="19"/>
          <w:color w:val="auto"/>
        </w:rPr>
        <w:t>The Directors’ Plan also provides for an annual grant to each director of options to purchase 5,000 shares of common stock at the fair market value on the date of grant. Options generally become exercisable over a four-year period and expire after ten years.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21—Commitments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80" w:firstLine="357"/>
        <w:spacing w:after="0" w:line="238" w:lineRule="auto"/>
        <w:rPr>
          <w:sz w:val="20"/>
          <w:szCs w:val="20"/>
          <w:color w:val="auto"/>
        </w:rPr>
      </w:pPr>
      <w:r>
        <w:rPr>
          <w:rFonts w:ascii="Arial" w:cs="Arial" w:eastAsia="Arial" w:hAnsi="Arial"/>
          <w:sz w:val="19"/>
          <w:szCs w:val="19"/>
          <w:color w:val="auto"/>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 The following table summarizes information concerning our recorded liabilities for environmental costs:</w:t>
      </w:r>
    </w:p>
    <w:p>
      <w:pPr>
        <w:spacing w:after="0" w:line="262"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Years Ended</w:t>
      </w:r>
    </w:p>
    <w:p>
      <w:pPr>
        <w:spacing w:after="0" w:line="12"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0</wp:posOffset>
            </wp:positionV>
            <wp:extent cx="18440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rPr>
              <w:t>2007</w:t>
            </w:r>
          </w:p>
        </w:tc>
      </w:tr>
      <w:tr>
        <w:trPr>
          <w:trHeight w:val="264"/>
        </w:trPr>
        <w:tc>
          <w:tcPr>
            <w:tcW w:w="8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Beginning of year</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946</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799</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831</w:t>
            </w:r>
          </w:p>
        </w:tc>
      </w:tr>
      <w:tr>
        <w:trPr>
          <w:trHeight w:val="270"/>
        </w:trPr>
        <w:tc>
          <w:tcPr>
            <w:tcW w:w="8520" w:type="dxa"/>
            <w:vAlign w:val="bottom"/>
          </w:tcPr>
          <w:p>
            <w:pPr>
              <w:ind w:left="20"/>
              <w:spacing w:after="0"/>
              <w:rPr>
                <w:sz w:val="20"/>
                <w:szCs w:val="20"/>
                <w:color w:val="auto"/>
              </w:rPr>
            </w:pPr>
            <w:r>
              <w:rPr>
                <w:rFonts w:ascii="Arial" w:cs="Arial" w:eastAsia="Arial" w:hAnsi="Arial"/>
                <w:sz w:val="19"/>
                <w:szCs w:val="19"/>
                <w:color w:val="auto"/>
              </w:rPr>
              <w:t>Accruals for environmental matters deemed probable and reasonably estimable</w:t>
            </w:r>
          </w:p>
        </w:tc>
        <w:tc>
          <w:tcPr>
            <w:tcW w:w="180" w:type="dxa"/>
            <w:vAlign w:val="bottom"/>
          </w:tcPr>
          <w:p>
            <w:pPr>
              <w:spacing w:after="0"/>
              <w:rPr>
                <w:sz w:val="23"/>
                <w:szCs w:val="23"/>
                <w:color w:val="auto"/>
              </w:rPr>
            </w:pPr>
          </w:p>
        </w:tc>
        <w:tc>
          <w:tcPr>
            <w:tcW w:w="580" w:type="dxa"/>
            <w:vAlign w:val="bottom"/>
          </w:tcPr>
          <w:p>
            <w:pPr>
              <w:jc w:val="right"/>
              <w:ind w:right="46"/>
              <w:spacing w:after="0"/>
              <w:rPr>
                <w:sz w:val="20"/>
                <w:szCs w:val="20"/>
                <w:color w:val="auto"/>
              </w:rPr>
            </w:pPr>
            <w:r>
              <w:rPr>
                <w:rFonts w:ascii="Arial" w:cs="Arial" w:eastAsia="Arial" w:hAnsi="Arial"/>
                <w:sz w:val="19"/>
                <w:szCs w:val="19"/>
                <w:color w:val="auto"/>
              </w:rPr>
              <w:t>151</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9"/>
                <w:szCs w:val="19"/>
                <w:color w:val="auto"/>
              </w:rPr>
              <w:t>466</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6"/>
              <w:spacing w:after="0"/>
              <w:rPr>
                <w:sz w:val="20"/>
                <w:szCs w:val="20"/>
                <w:color w:val="auto"/>
              </w:rPr>
            </w:pPr>
            <w:r>
              <w:rPr>
                <w:rFonts w:ascii="Arial" w:cs="Arial" w:eastAsia="Arial" w:hAnsi="Arial"/>
                <w:sz w:val="19"/>
                <w:szCs w:val="19"/>
                <w:color w:val="auto"/>
              </w:rPr>
              <w:t>230</w:t>
            </w:r>
          </w:p>
        </w:tc>
      </w:tr>
      <w:tr>
        <w:trPr>
          <w:trHeight w:val="270"/>
        </w:trPr>
        <w:tc>
          <w:tcPr>
            <w:tcW w:w="8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Environmental liability payments</w:t>
            </w: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(318 )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(320 )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(267 )</w:t>
            </w:r>
          </w:p>
        </w:tc>
      </w:tr>
      <w:tr>
        <w:trPr>
          <w:trHeight w:val="270"/>
        </w:trPr>
        <w:tc>
          <w:tcPr>
            <w:tcW w:w="8520" w:type="dxa"/>
            <w:vAlign w:val="bottom"/>
          </w:tcPr>
          <w:p>
            <w:pPr>
              <w:ind w:left="20"/>
              <w:spacing w:after="0"/>
              <w:rPr>
                <w:sz w:val="20"/>
                <w:szCs w:val="20"/>
                <w:color w:val="auto"/>
              </w:rPr>
            </w:pPr>
            <w:r>
              <w:rPr>
                <w:rFonts w:ascii="Arial" w:cs="Arial" w:eastAsia="Arial" w:hAnsi="Arial"/>
                <w:sz w:val="19"/>
                <w:szCs w:val="19"/>
                <w:color w:val="auto"/>
              </w:rPr>
              <w:t>Other adjustments</w:t>
            </w: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5</w:t>
            </w:r>
          </w:p>
        </w:tc>
      </w:tr>
      <w:tr>
        <w:trPr>
          <w:trHeight w:val="34"/>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End of year</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779</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946</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799</w:t>
            </w:r>
          </w:p>
        </w:tc>
      </w:tr>
      <w:tr>
        <w:trPr>
          <w:trHeight w:val="20"/>
        </w:trPr>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See Note 3, Repositioning and Other Charges, for more detail regarding accruals for environmental matters during 2009.</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Environmental liabilities are included in the following balance sheet accounts: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6"/>
                <w:szCs w:val="16"/>
                <w:color w:val="auto"/>
              </w:rPr>
            </w:pPr>
          </w:p>
        </w:tc>
        <w:tc>
          <w:tcPr>
            <w:tcW w:w="128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December 31,</w:t>
            </w:r>
          </w:p>
        </w:tc>
      </w:tr>
      <w:tr>
        <w:trPr>
          <w:trHeight w:val="204"/>
        </w:trPr>
        <w:tc>
          <w:tcPr>
            <w:tcW w:w="8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2008</w:t>
            </w:r>
          </w:p>
        </w:tc>
      </w:tr>
      <w:tr>
        <w:trPr>
          <w:trHeight w:val="264"/>
        </w:trPr>
        <w:tc>
          <w:tcPr>
            <w:tcW w:w="8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Accrued liabilities</w:t>
            </w:r>
          </w:p>
        </w:tc>
        <w:tc>
          <w:tcPr>
            <w:tcW w:w="34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100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314</w:t>
            </w:r>
          </w:p>
        </w:tc>
        <w:tc>
          <w:tcPr>
            <w:tcW w:w="6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343</w:t>
            </w:r>
          </w:p>
        </w:tc>
      </w:tr>
      <w:tr>
        <w:trPr>
          <w:trHeight w:val="270"/>
        </w:trPr>
        <w:tc>
          <w:tcPr>
            <w:tcW w:w="8500" w:type="dxa"/>
            <w:vAlign w:val="bottom"/>
          </w:tcPr>
          <w:p>
            <w:pPr>
              <w:ind w:left="20"/>
              <w:spacing w:after="0"/>
              <w:rPr>
                <w:sz w:val="20"/>
                <w:szCs w:val="20"/>
                <w:color w:val="auto"/>
              </w:rPr>
            </w:pPr>
            <w:r>
              <w:rPr>
                <w:rFonts w:ascii="Arial" w:cs="Arial" w:eastAsia="Arial" w:hAnsi="Arial"/>
                <w:sz w:val="19"/>
                <w:szCs w:val="19"/>
                <w:color w:val="auto"/>
              </w:rPr>
              <w:t>Other liabilities</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9"/>
                <w:szCs w:val="19"/>
                <w:color w:val="auto"/>
              </w:rPr>
              <w:t>465</w:t>
            </w:r>
          </w:p>
        </w:tc>
        <w:tc>
          <w:tcPr>
            <w:tcW w:w="3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9"/>
                <w:szCs w:val="19"/>
                <w:color w:val="auto"/>
              </w:rPr>
              <w:t>603</w:t>
            </w:r>
          </w:p>
        </w:tc>
      </w:tr>
      <w:tr>
        <w:trPr>
          <w:trHeight w:val="34"/>
        </w:trPr>
        <w:tc>
          <w:tcPr>
            <w:tcW w:w="8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00" w:type="dxa"/>
            <w:vAlign w:val="bottom"/>
            <w:shd w:val="clear" w:color="auto" w:fill="E5FFFF"/>
          </w:tcPr>
          <w:p>
            <w:pPr>
              <w:spacing w:after="0"/>
              <w:rPr>
                <w:sz w:val="23"/>
                <w:szCs w:val="23"/>
                <w:color w:val="auto"/>
              </w:rPr>
            </w:pPr>
          </w:p>
        </w:tc>
        <w:tc>
          <w:tcPr>
            <w:tcW w:w="34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100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779</w:t>
            </w:r>
          </w:p>
        </w:tc>
        <w:tc>
          <w:tcPr>
            <w:tcW w:w="6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946</w:t>
            </w:r>
          </w:p>
        </w:tc>
      </w:tr>
      <w:tr>
        <w:trPr>
          <w:trHeight w:val="20"/>
        </w:trPr>
        <w:tc>
          <w:tcPr>
            <w:tcW w:w="8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these environmental matters will have a material adverse effect on our consolidated financial position.</w:t>
      </w:r>
    </w:p>
    <w:p>
      <w:pPr>
        <w:spacing w:after="0" w:line="67" w:lineRule="exact"/>
        <w:rPr>
          <w:sz w:val="20"/>
          <w:szCs w:val="20"/>
          <w:color w:val="auto"/>
        </w:rPr>
      </w:pPr>
    </w:p>
    <w:p>
      <w:pPr>
        <w:ind w:right="80" w:firstLine="357"/>
        <w:spacing w:after="0" w:line="248" w:lineRule="auto"/>
        <w:rPr>
          <w:sz w:val="20"/>
          <w:szCs w:val="20"/>
          <w:color w:val="auto"/>
        </w:rPr>
      </w:pPr>
      <w:r>
        <w:rPr>
          <w:rFonts w:ascii="Arial" w:cs="Arial" w:eastAsia="Arial" w:hAnsi="Arial"/>
          <w:sz w:val="19"/>
          <w:szCs w:val="19"/>
          <w:b w:val="1"/>
          <w:bCs w:val="1"/>
          <w:i w:val="1"/>
          <w:iCs w:val="1"/>
          <w:color w:val="auto"/>
        </w:rPr>
        <w:t>New Jersey Chrome Sites</w:t>
      </w:r>
      <w:r>
        <w:rPr>
          <w:rFonts w:ascii="Arial" w:cs="Arial" w:eastAsia="Arial" w:hAnsi="Arial"/>
          <w:sz w:val="19"/>
          <w:szCs w:val="19"/>
          <w:color w:val="auto"/>
        </w:rPr>
        <w:t>—The excavation and offsite disposal of approximately one million tons of chromium residue 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a predecessor Honeywell site located in Jersey City, New Jersey, known as Study Area 7 was completed in January 2010. We have also received approval of the United States District Court for the District of New Jersey for the implementation of related groundwater and sediment remedial actions, and are seeking the appropriate permits from state and federal agencies. Provisions have been made in our financial statements for the estimated cost of these remedies.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320" w:firstLine="357"/>
        <w:spacing w:after="0" w:line="241" w:lineRule="auto"/>
        <w:rPr>
          <w:sz w:val="20"/>
          <w:szCs w:val="20"/>
          <w:color w:val="auto"/>
        </w:rPr>
      </w:pPr>
      <w:r>
        <w:rPr>
          <w:rFonts w:ascii="Arial" w:cs="Arial" w:eastAsia="Arial" w:hAnsi="Arial"/>
          <w:sz w:val="19"/>
          <w:szCs w:val="19"/>
          <w:color w:val="auto"/>
        </w:rPr>
        <w:t>The above-referenced site is the most significant of the twenty-one sites located in Hudson County, New Jersey that are the subject of an Administrative Consent Order (ACO) entered into with the New Jersey Department of Environmental Protection (NJDEP) in 1993 (the “Honeywell ACO Sites”). Remedial investigations and activities consistent with the ACO have also been conducted and are underway at the other Honeywell ACO Sites. We have recorded reserves for the Honeywell ACO Sites where appropriate under the accounting policy described above.</w:t>
      </w:r>
    </w:p>
    <w:p>
      <w:pPr>
        <w:spacing w:after="0" w:line="20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On May 3, 2005, NJDEP filed a lawsuit in New Jersey Superior Court against Honeywell and two other companies seeking declaratory and injunctive relief, unspecified damages, and the reimbursement of unspecified total costs relating to sites in New Jersey allegedly contaminated with chrome ore processing residue. The claims against Honeywell relate to the activities of a predecessor company which ceased its New Jersey manufacturing operations in the mid-1950’s. Honeywell and the two other companies have agreed to settle this litigation with NJDEP, subject to Court approval. Under the settlement, Honeywell would pay $5 million of NJDEP’s past costs, as well as accept sole responsibility to remediate 24 of the 53 “Publicly Funded Sites” (i.e., those sites for which none of the three companies had previously accepted responsibility). Honeywell would also bear 50% of the costs at another 10 Publicly Funded Sites. We have recorded reserves for the Publicly Funded Sites where appropriate under the accounting policy described above.</w:t>
      </w:r>
    </w:p>
    <w:p>
      <w:pPr>
        <w:spacing w:after="0" w:line="305"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We have entered into court-approved settlements of litigation filed in federal court against Honeywell and other landowners seeking the cleanup of chrome residue at groups of properties known as Study Areas 5, 6 South and 6 North of the Honeywell ACO Sites. The required remedial actions are consistent with our recorded reserves.</w:t>
      </w:r>
    </w:p>
    <w:p>
      <w:pPr>
        <w:spacing w:after="0" w:line="63" w:lineRule="exact"/>
        <w:rPr>
          <w:sz w:val="20"/>
          <w:szCs w:val="20"/>
          <w:color w:val="auto"/>
        </w:rPr>
      </w:pPr>
    </w:p>
    <w:p>
      <w:pPr>
        <w:ind w:firstLine="357"/>
        <w:spacing w:after="0"/>
        <w:rPr>
          <w:sz w:val="20"/>
          <w:szCs w:val="20"/>
          <w:color w:val="auto"/>
        </w:rPr>
      </w:pPr>
      <w:r>
        <w:rPr>
          <w:rFonts w:ascii="Arial" w:cs="Arial" w:eastAsia="Arial" w:hAnsi="Arial"/>
          <w:sz w:val="19"/>
          <w:szCs w:val="19"/>
          <w:b w:val="1"/>
          <w:bCs w:val="1"/>
          <w:i w:val="1"/>
          <w:iCs w:val="1"/>
          <w:color w:val="auto"/>
        </w:rPr>
        <w:t>Dundalk Marine Terminal, Baltimore</w:t>
      </w:r>
      <w:r>
        <w:rPr>
          <w:rFonts w:ascii="Arial" w:cs="Arial" w:eastAsia="Arial" w:hAnsi="Arial"/>
          <w:sz w:val="19"/>
          <w:szCs w:val="19"/>
          <w:color w:val="auto"/>
        </w:rPr>
        <w:t>—Chrome residue from legacy chrome plant operations in Baltimore was deposited as fill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the Dundalk Marine Terminal (“DMT”), which is owned and operated by the Maryland Port Administration (“MPA”). Honeywell and the MPA have been sharing costs to investigate and mitigate related environmental issues, and have entered into a cost sharing agreement under which Honeywell will bear 77 percent of the costs of developing and implementing permanent remedies for the DMT facility. The investigative phase is ongoing, after which the appropriate remedies will be identified and chosen. We have negotiated a Consent Decree with the MPA and Maryland Department of the Environment (“MDE”) with respect to the investigation and remediation of the DMT facility. The Consent Decree is being challenged in federal court by BUILD, a Baltimore community group, together with a local church and two individuals (collectively “BUILD”). In October 2007, the Court dismissed with prejudice BUILD’s state law claims and dismissed without prejudice BUILD’s RCRA claims regarding neighborhoods near the DMT facility. In August 2008, the Court held a hearing on the Company’s motion to dismiss BUILD’s remaining claims on the grounds that MDE is diligently prosecuting the investigation and remediation of the DMT. We are awaiting the Court’s decision. We do not believe that this matter will have a material adverse impact on our consolidated financial position or operating cash flows. Given the scope and complexity of this project, it is possible that the cost of remediation, when determinable, could have a material adverse impact on our results of operations in the periods recognized.</w:t>
      </w:r>
    </w:p>
    <w:p>
      <w:pPr>
        <w:spacing w:after="0" w:line="74" w:lineRule="exact"/>
        <w:rPr>
          <w:sz w:val="20"/>
          <w:szCs w:val="20"/>
          <w:color w:val="auto"/>
        </w:rPr>
      </w:pPr>
    </w:p>
    <w:p>
      <w:pPr>
        <w:ind w:firstLine="357"/>
        <w:spacing w:after="0" w:line="248" w:lineRule="auto"/>
        <w:rPr>
          <w:sz w:val="20"/>
          <w:szCs w:val="20"/>
          <w:color w:val="auto"/>
        </w:rPr>
      </w:pPr>
      <w:r>
        <w:rPr>
          <w:rFonts w:ascii="Arial" w:cs="Arial" w:eastAsia="Arial" w:hAnsi="Arial"/>
          <w:sz w:val="19"/>
          <w:szCs w:val="19"/>
          <w:b w:val="1"/>
          <w:bCs w:val="1"/>
          <w:i w:val="1"/>
          <w:iCs w:val="1"/>
          <w:color w:val="auto"/>
        </w:rPr>
        <w:t>Onondaga Lake, Syracuse, NY</w:t>
      </w:r>
      <w:r>
        <w:rPr>
          <w:rFonts w:ascii="Arial" w:cs="Arial" w:eastAsia="Arial" w:hAnsi="Arial"/>
          <w:sz w:val="19"/>
          <w:szCs w:val="19"/>
          <w:color w:val="auto"/>
        </w:rPr>
        <w:t>—We are implementing a combined dredging/capping remedy of Onondaga Lake pursuant to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under the accounting policy described above.</w:t>
      </w:r>
    </w:p>
    <w:p>
      <w:pPr>
        <w:spacing w:after="0" w:line="84"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5" w:right="29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Matters</w:t>
      </w:r>
    </w:p>
    <w:p>
      <w:pPr>
        <w:spacing w:after="0" w:line="130"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Like many other industrial companies, Honeywell is a defendant in personal injury actions related to asbestos. We did not mine or produce asbestos, nor did we make or sell insulation products or other construction materials that have been identified as the primary cause of asbestos related disease in the vast majority of claimants. Products containing asbestos previously manufactured by Honeywell or by previously owned subsidiaries primarily fall into two general categories: refractory products and friction products.</w:t>
      </w:r>
    </w:p>
    <w:p>
      <w:pPr>
        <w:spacing w:after="0" w:line="67" w:lineRule="exact"/>
        <w:rPr>
          <w:sz w:val="20"/>
          <w:szCs w:val="20"/>
          <w:color w:val="auto"/>
        </w:rPr>
      </w:pPr>
    </w:p>
    <w:p>
      <w:pPr>
        <w:jc w:val="both"/>
        <w:ind w:right="660" w:firstLine="357"/>
        <w:spacing w:after="0" w:line="258" w:lineRule="auto"/>
        <w:rPr>
          <w:sz w:val="20"/>
          <w:szCs w:val="20"/>
          <w:color w:val="auto"/>
        </w:rPr>
      </w:pPr>
      <w:r>
        <w:rPr>
          <w:rFonts w:ascii="Arial" w:cs="Arial" w:eastAsia="Arial" w:hAnsi="Arial"/>
          <w:sz w:val="19"/>
          <w:szCs w:val="19"/>
          <w:b w:val="1"/>
          <w:bCs w:val="1"/>
          <w:i w:val="1"/>
          <w:iCs w:val="1"/>
          <w:color w:val="auto"/>
        </w:rPr>
        <w:t>Refractory Products</w:t>
      </w:r>
      <w:r>
        <w:rPr>
          <w:rFonts w:ascii="Arial" w:cs="Arial" w:eastAsia="Arial" w:hAnsi="Arial"/>
          <w:sz w:val="19"/>
          <w:szCs w:val="19"/>
          <w:color w:val="auto"/>
        </w:rPr>
        <w:t>—Honeywell owned North American Refractories Company (NARCO) from 1979 to 1986. NARCO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produced refractory products (high temperature bricks and cement) that were sold largely to the steel industry in the East and Midwest. Less than 2 percent of NARCO’S products contained asbestos.</w:t>
      </w:r>
    </w:p>
    <w:p>
      <w:pPr>
        <w:spacing w:after="0" w:line="76"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When we sold the NARCO business in 1986, we agreed to indemnify NARCO with respect to personal injury claims for products that had been discontinued prior to the sale (as defined in the sale agreement). NARCO retained all liability for all other claims. On January 4, 2002, NARCO filed for reorganization under Chapter 11 of the U.S. Bankruptcy Code.</w:t>
      </w:r>
    </w:p>
    <w:p>
      <w:pPr>
        <w:spacing w:after="0" w:line="87"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As a result of the NARCO bankruptcy filing, all of the claims pending against NARCO are automatically stayed pending the reorganization of NARCO. In addition, the bankruptcy court enjoined both the filing and prosecution of NARCO-related asbestos claims against Honeywell. The stay has remained in effect continuously since January 4, 2002. In connection with NARCO’s bankruptcy filing, we paid NARCO’s parent company $ 40 million and agreed to provide NARCO with up to $20 million in financing. We also agreed to pay $20 million to NARCO’s parent company upon the filing of a plan of reorganization for NARCO acceptable to Honeywell (which amount was paid in December 2005 following the filing of NARCO’s Third Amended Plan of Reorganization), and to pay NARCO’s parent company $40 million, and to forgive any outstanding NARCO indebtedness to Honeywell, upon the effective date of the plan of reorganization.</w:t>
      </w:r>
    </w:p>
    <w:p>
      <w:pPr>
        <w:spacing w:after="0" w:line="83"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We believe that, as part of the NARCO plan of reorganization, a trust will be established for the benefit of all asbestos claimants, current and future, pursuant to Trust Distribution Procedures negotiated with the NARCO Asbestos Claimants Committee and the Court-appointed legal representative for future asbestos claimants. If the trust is put in place and approved by the Court as fair and equitable, Honeywell as well as NARCO will be entitled to a permanent channeling injunction barring all present and future individual actions in state or federal courts and requiring all asbestos related claims based on exposure to NARCO products to be made against the federally-supervised trust. Honeywell has reached agreement with the representative for future NARCO claimants and the Asbestos Claimants Committee to cap its annual contributions to the trust with respect to future claims at a level that would not have a material impact on Honeywell’s operating cash flows.</w:t>
      </w:r>
    </w:p>
    <w:p>
      <w:pPr>
        <w:spacing w:after="0" w:line="96"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In November 2007, the Bankruptcy Court entered an amended order confirming the NARCO Plan without modification and approving the 524(g) trust and channeling injunction in favor of NARCO and Honeywell. In December 2007, certain insurers filed an appeal of the Bankruptcy Court Order in the United States District Court for the Western District of Pennsylvania. The District Court affirmed the Bankruptcy Court Order in July 2008. In August 2008, insurers filed a notice of appeal to the Third Circuit Court of Appeals. The appeal is fully briefed, oral argument took place on May 21, 2009, and the matter has been submitted for decision. We expect that the stay enjoining litigation against NARCO and Honeywell will remain in effect during the pendency of these proceedings.</w:t>
      </w:r>
    </w:p>
    <w:p>
      <w:pPr>
        <w:spacing w:after="0" w:line="31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Our consolidated financial statements reflect an estimated liability for settlement of pending and future NARCO-related asbestos claims as of December 31, 2009 and 2008 of $ 1.1 billion. The estimated liability for pending claims is based on terms and conditions, including evidentiary requirements, in definitive agreements with approximately 260,000 current claimants, and an estimate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300"/>
        <w:spacing w:after="0" w:line="245" w:lineRule="auto"/>
        <w:rPr>
          <w:sz w:val="20"/>
          <w:szCs w:val="20"/>
          <w:color w:val="auto"/>
        </w:rPr>
      </w:pPr>
      <w:r>
        <w:rPr>
          <w:rFonts w:ascii="Arial" w:cs="Arial" w:eastAsia="Arial" w:hAnsi="Arial"/>
          <w:sz w:val="19"/>
          <w:szCs w:val="19"/>
          <w:color w:val="auto"/>
        </w:rPr>
        <w:t>of the unsettled claims pending as of the time NARCO filed for bankruptcy protection. Substantially all settlement payments with respect to current claims have been made. Approximately $100 million of payments due pursuant to these settlements is due only upon establishment of the NARCO trust.</w:t>
      </w:r>
    </w:p>
    <w:p>
      <w:pPr>
        <w:spacing w:after="0" w:line="195" w:lineRule="exact"/>
        <w:rPr>
          <w:sz w:val="20"/>
          <w:szCs w:val="20"/>
          <w:color w:val="auto"/>
        </w:rPr>
      </w:pPr>
    </w:p>
    <w:p>
      <w:pPr>
        <w:ind w:firstLine="357"/>
        <w:spacing w:after="0" w:line="238" w:lineRule="auto"/>
        <w:rPr>
          <w:sz w:val="20"/>
          <w:szCs w:val="20"/>
          <w:color w:val="auto"/>
        </w:rPr>
      </w:pPr>
      <w:r>
        <w:rPr>
          <w:rFonts w:ascii="Arial" w:cs="Arial" w:eastAsia="Arial" w:hAnsi="Arial"/>
          <w:sz w:val="19"/>
          <w:szCs w:val="19"/>
          <w:color w:val="auto"/>
        </w:rPr>
        <w:t>The estimated liability for future claims represents the estimated value of future asbestos related bodily injury claims expected to be asserted against NARCO through 2018 and the aforementioned obligations to NARCO’s parent. In light of the uncertainties inherent in making long-term projections we do not believe that we have a reasonable basis for estimating asbestos claims beyond 2018. The estimate is based upon the disease criteria and payment values contained in the NARCO Trust Distribution Procedures negotiated with the NARCO Asbestos Claimants Committee and the NARCO future claimants’ representative. Honeywell projected the probable number and value, including trust claim handling costs, of asbestos related future liabilities based upon experience of asbestos claims filing rates in the tort system and in certain operating asbestos trusts, and the claims experience in those forums. The valuation methodology also includes an analysis of the population likely to have been exposed to asbestos containing products, epidemiological studies to estimate the number of people likely to develop asbestos related diseases, NARCO claims filing history, the pending inventory of NARCO asbestos related claims and payment rates expected to be established by the NARCO trust. This methodology used to estimate the liability for future claims has been commonly accepted by numerous courts and resulted in a range of estimated liability for future claims of $743 to $961 million. We believe that no amount within this range is a better estimate than any other amount and accordingly, we have recorded the minimum amount in the range.</w:t>
      </w:r>
    </w:p>
    <w:p>
      <w:pPr>
        <w:spacing w:after="0" w:line="100" w:lineRule="exact"/>
        <w:rPr>
          <w:sz w:val="20"/>
          <w:szCs w:val="20"/>
          <w:color w:val="auto"/>
        </w:rPr>
      </w:pPr>
    </w:p>
    <w:p>
      <w:pPr>
        <w:ind w:right="100" w:firstLine="357"/>
        <w:spacing w:after="0" w:line="239" w:lineRule="auto"/>
        <w:rPr>
          <w:sz w:val="20"/>
          <w:szCs w:val="20"/>
          <w:color w:val="auto"/>
        </w:rPr>
      </w:pPr>
      <w:r>
        <w:rPr>
          <w:rFonts w:ascii="Arial" w:cs="Arial" w:eastAsia="Arial" w:hAnsi="Arial"/>
          <w:sz w:val="19"/>
          <w:szCs w:val="19"/>
          <w:color w:val="auto"/>
        </w:rPr>
        <w:t>As of December 31, 2009 and 2008, our consolidated financial statements reflect an insurance receivable corresponding to the liability for settlement of pending and future NARCO-related asbestos claims of $831 and $877 million, respectively. This coverage reimburses Honeywell for portions of the costs incurred to settle NARCO related claims and court judgments as well as defense costs and is provided by a large number of insurance policies written by dozens of insurance companies in both the domestic insurance market and the London excess market. At December 31, 2009, a significant portion of this coverage is with insurance companies with whom we have agreements to pay full policy limits based on corresponding Honeywell claims costs. We conduct analyses to determine the amount of insurance that we estimate is probable of recovery in relation to payment of current and estimated future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with our insurers, our knowledge of any pertinent solvency issues surrounding insurers and various judicial determinations relevant to our insurance programs.</w:t>
      </w:r>
    </w:p>
    <w:p>
      <w:pPr>
        <w:spacing w:after="0" w:line="92" w:lineRule="exact"/>
        <w:rPr>
          <w:sz w:val="20"/>
          <w:szCs w:val="20"/>
          <w:color w:val="auto"/>
        </w:rPr>
      </w:pPr>
    </w:p>
    <w:p>
      <w:pPr>
        <w:ind w:right="100" w:firstLine="357"/>
        <w:spacing w:after="0" w:line="238" w:lineRule="auto"/>
        <w:rPr>
          <w:sz w:val="20"/>
          <w:szCs w:val="20"/>
          <w:color w:val="auto"/>
        </w:rPr>
      </w:pPr>
      <w:r>
        <w:rPr>
          <w:rFonts w:ascii="Arial" w:cs="Arial" w:eastAsia="Arial" w:hAnsi="Arial"/>
          <w:sz w:val="19"/>
          <w:szCs w:val="19"/>
          <w:color w:val="auto"/>
        </w:rPr>
        <w:t>In the second quarter of 2006, Travelers Casualty and Insurance Company (“Travelers”) filed a lawsuit against Honeywell and other insurance carriers in the Supreme Court of New York, County of New York, disputing obligations for NARCO-related asbestos claims under high excess insurance coverage issued by Travelers and other insurance carriers. Approximately $300 million of coverage under these policies is included in our NARCO-related insurance receivable at December 31, 2009. Honeywell believes it is entitled to the coverage at issue and expects to prevail in this matter. In the third quarter of 2007, Honeywell prevailed on a critical choice of law issue concerning the appropriate method of allocating NARCO-related asbestos liabilities to triggered policies. The plaintiffs appealed and the trial court’s ruling was upheld by the intermediate appellate court in the second quarter of 2009. Plaintiffs’ further appeal to the New York Appellate Division, the highest court in New York, was denied in October 2009. A related New Jersey action brought by Honeywell has been dismissed, but all coverage claims against plaintiffs have been preserved in the New York action. Based upon (i) our understanding of relevant facts and applicable law, (ii) the terms of insurance policies at issue, (iii) our experience on matters of this nature, and (iv) the advice of counsel, we believe that the amount due from Travelers and other insurance carriers is probable of recovery. While Honeywell expects to prevail in this matter, an adverse outcome could have a material impact on our results of operations in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period recognized but would not be material to our consolidated financial position or operating cash flows.</w:t>
      </w:r>
    </w:p>
    <w:p>
      <w:pPr>
        <w:spacing w:after="0" w:line="214"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Projecting future events is subject to many uncertainties that could cause the NARCO related asbestos liabilities or assets to be higher or lower than those projected and recorded. There is no assurance that the plan of reorganization will become final, that insurance recoveries will be timely or whether there will be any NARCO related asbestos claims beyond 2018. Given the inherent uncertainty in predicting future events,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70" w:lineRule="exact"/>
        <w:rPr>
          <w:sz w:val="20"/>
          <w:szCs w:val="20"/>
          <w:color w:val="auto"/>
        </w:rPr>
      </w:pPr>
    </w:p>
    <w:p>
      <w:pPr>
        <w:ind w:right="260" w:firstLine="357"/>
        <w:spacing w:after="0" w:line="258" w:lineRule="auto"/>
        <w:rPr>
          <w:sz w:val="20"/>
          <w:szCs w:val="20"/>
          <w:color w:val="auto"/>
        </w:rPr>
      </w:pPr>
      <w:r>
        <w:rPr>
          <w:rFonts w:ascii="Arial" w:cs="Arial" w:eastAsia="Arial" w:hAnsi="Arial"/>
          <w:sz w:val="19"/>
          <w:szCs w:val="19"/>
          <w:b w:val="1"/>
          <w:bCs w:val="1"/>
          <w:i w:val="1"/>
          <w:iCs w:val="1"/>
          <w:color w:val="auto"/>
        </w:rPr>
        <w:t>Friction Products</w:t>
      </w:r>
      <w:r>
        <w:rPr>
          <w:rFonts w:ascii="Arial" w:cs="Arial" w:eastAsia="Arial" w:hAnsi="Arial"/>
          <w:sz w:val="19"/>
          <w:szCs w:val="19"/>
          <w:color w:val="auto"/>
        </w:rPr>
        <w:t>—Honeywell’s Bendix friction materials (Bendix) business manufactured automotive brake parts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contained chrysotile asbestos in an encapsulated form. Existing and potential claimants consist largely of individuals who allege exposure to asbestos from brakes from either performing or being in the vicinity of individuals who performed brake replacements.</w:t>
      </w:r>
    </w:p>
    <w:p>
      <w:pPr>
        <w:spacing w:after="0" w:line="76"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From 1981 through December 31, 2009, we have resolved approximately 152,000 Bendix related asbestos claims. We had 129 trials resulting in favorable verdicts and 17 trials resulting in adverse verdicts. Four of these adverse verdicts were reversed on appeal, five verdicts were vacated on post-trial motions, three claims were settled and the remaining five have been or will be appealed. The claims portfolio was reduced in 2009 due to settlements, dismissals and the elimination of significantly aged (i.e., pending for more than six years), inactive (including claims for which the required medical and exposure showings have not been made) and duplicate claims. The following tables present information regarding Bendix related asbestos claims activity:</w:t>
      </w:r>
    </w:p>
    <w:p>
      <w:pPr>
        <w:spacing w:after="0" w:line="93" w:lineRule="exact"/>
        <w:rPr>
          <w:sz w:val="20"/>
          <w:szCs w:val="20"/>
          <w:color w:val="auto"/>
        </w:rPr>
      </w:pPr>
    </w:p>
    <w:tbl>
      <w:tblPr>
        <w:tblLayout w:type="fixed"/>
        <w:tblInd w:w="300" w:type="dxa"/>
        <w:tblCellMar>
          <w:top w:w="0" w:type="dxa"/>
          <w:left w:w="0" w:type="dxa"/>
          <w:bottom w:w="0" w:type="dxa"/>
          <w:right w:w="0" w:type="dxa"/>
        </w:tblCellMar>
      </w:tblPr>
      <w:tr>
        <w:trPr>
          <w:trHeight w:val="204"/>
        </w:trPr>
        <w:tc>
          <w:tcPr>
            <w:tcW w:w="1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50"/>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Claims Activity</w:t>
            </w:r>
          </w:p>
        </w:tc>
        <w:tc>
          <w:tcPr>
            <w:tcW w:w="49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2009</w:t>
            </w:r>
          </w:p>
        </w:tc>
        <w:tc>
          <w:tcPr>
            <w:tcW w:w="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2008</w:t>
            </w:r>
          </w:p>
        </w:tc>
        <w:tc>
          <w:tcPr>
            <w:tcW w:w="0" w:type="dxa"/>
            <w:vAlign w:val="bottom"/>
          </w:tcPr>
          <w:p>
            <w:pPr>
              <w:spacing w:after="0"/>
              <w:rPr>
                <w:sz w:val="1"/>
                <w:szCs w:val="1"/>
                <w:color w:val="auto"/>
              </w:rPr>
            </w:pPr>
          </w:p>
        </w:tc>
      </w:tr>
      <w:tr>
        <w:trPr>
          <w:trHeight w:val="264"/>
        </w:trPr>
        <w:tc>
          <w:tcPr>
            <w:tcW w:w="616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Claims Unresolved at the beginning of year</w:t>
            </w:r>
          </w:p>
        </w:tc>
        <w:tc>
          <w:tcPr>
            <w:tcW w:w="20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1160" w:type="dxa"/>
            <w:vAlign w:val="bottom"/>
            <w:gridSpan w:val="3"/>
            <w:shd w:val="clear" w:color="auto" w:fill="E5FFFF"/>
          </w:tcPr>
          <w:p>
            <w:pPr>
              <w:jc w:val="right"/>
              <w:ind w:right="192"/>
              <w:spacing w:after="0"/>
              <w:rPr>
                <w:sz w:val="20"/>
                <w:szCs w:val="20"/>
                <w:color w:val="auto"/>
              </w:rPr>
            </w:pPr>
            <w:r>
              <w:rPr>
                <w:rFonts w:ascii="Arial" w:cs="Arial" w:eastAsia="Arial" w:hAnsi="Arial"/>
                <w:sz w:val="19"/>
                <w:szCs w:val="19"/>
                <w:color w:val="auto"/>
              </w:rPr>
              <w:t>51,951</w:t>
            </w:r>
          </w:p>
        </w:tc>
        <w:tc>
          <w:tcPr>
            <w:tcW w:w="1260" w:type="dxa"/>
            <w:vAlign w:val="bottom"/>
            <w:gridSpan w:val="4"/>
            <w:shd w:val="clear" w:color="auto" w:fill="E5FFFF"/>
          </w:tcPr>
          <w:p>
            <w:pPr>
              <w:jc w:val="right"/>
              <w:ind w:right="130"/>
              <w:spacing w:after="0"/>
              <w:rPr>
                <w:sz w:val="20"/>
                <w:szCs w:val="20"/>
                <w:color w:val="auto"/>
              </w:rPr>
            </w:pPr>
            <w:r>
              <w:rPr>
                <w:rFonts w:ascii="Arial" w:cs="Arial" w:eastAsia="Arial" w:hAnsi="Arial"/>
                <w:sz w:val="19"/>
                <w:szCs w:val="19"/>
                <w:color w:val="auto"/>
              </w:rPr>
              <w:t>51,658</w:t>
            </w:r>
          </w:p>
        </w:tc>
        <w:tc>
          <w:tcPr>
            <w:tcW w:w="0" w:type="dxa"/>
            <w:vAlign w:val="bottom"/>
          </w:tcPr>
          <w:p>
            <w:pPr>
              <w:spacing w:after="0"/>
              <w:rPr>
                <w:sz w:val="1"/>
                <w:szCs w:val="1"/>
                <w:color w:val="auto"/>
              </w:rPr>
            </w:pPr>
          </w:p>
        </w:tc>
      </w:tr>
      <w:tr>
        <w:trPr>
          <w:trHeight w:val="270"/>
        </w:trPr>
        <w:tc>
          <w:tcPr>
            <w:tcW w:w="6160" w:type="dxa"/>
            <w:vAlign w:val="bottom"/>
            <w:gridSpan w:val="3"/>
          </w:tcPr>
          <w:p>
            <w:pPr>
              <w:ind w:left="20"/>
              <w:spacing w:after="0"/>
              <w:rPr>
                <w:sz w:val="20"/>
                <w:szCs w:val="20"/>
                <w:color w:val="auto"/>
              </w:rPr>
            </w:pPr>
            <w:r>
              <w:rPr>
                <w:rFonts w:ascii="Arial" w:cs="Arial" w:eastAsia="Arial" w:hAnsi="Arial"/>
                <w:sz w:val="19"/>
                <w:szCs w:val="19"/>
                <w:color w:val="auto"/>
              </w:rPr>
              <w:t>Claims Filed</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92"/>
              <w:spacing w:after="0"/>
              <w:rPr>
                <w:sz w:val="20"/>
                <w:szCs w:val="20"/>
                <w:color w:val="auto"/>
              </w:rPr>
            </w:pPr>
            <w:r>
              <w:rPr>
                <w:rFonts w:ascii="Arial" w:cs="Arial" w:eastAsia="Arial" w:hAnsi="Arial"/>
                <w:sz w:val="19"/>
                <w:szCs w:val="19"/>
                <w:color w:val="auto"/>
              </w:rPr>
              <w:t>2,697</w:t>
            </w: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30"/>
              <w:spacing w:after="0"/>
              <w:rPr>
                <w:sz w:val="20"/>
                <w:szCs w:val="20"/>
                <w:color w:val="auto"/>
              </w:rPr>
            </w:pPr>
            <w:r>
              <w:rPr>
                <w:rFonts w:ascii="Arial" w:cs="Arial" w:eastAsia="Arial" w:hAnsi="Arial"/>
                <w:sz w:val="19"/>
                <w:szCs w:val="19"/>
                <w:color w:val="auto"/>
              </w:rPr>
              <w:t>4,003</w:t>
            </w:r>
          </w:p>
        </w:tc>
        <w:tc>
          <w:tcPr>
            <w:tcW w:w="0" w:type="dxa"/>
            <w:vAlign w:val="bottom"/>
          </w:tcPr>
          <w:p>
            <w:pPr>
              <w:spacing w:after="0"/>
              <w:rPr>
                <w:sz w:val="1"/>
                <w:szCs w:val="1"/>
                <w:color w:val="auto"/>
              </w:rPr>
            </w:pPr>
          </w:p>
        </w:tc>
      </w:tr>
      <w:tr>
        <w:trPr>
          <w:trHeight w:val="270"/>
        </w:trPr>
        <w:tc>
          <w:tcPr>
            <w:tcW w:w="616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Claims Resolved</w:t>
            </w:r>
          </w:p>
        </w:tc>
        <w:tc>
          <w:tcPr>
            <w:tcW w:w="20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160" w:type="dxa"/>
            <w:vAlign w:val="bottom"/>
            <w:tcBorders>
              <w:bottom w:val="single" w:sz="8" w:color="auto"/>
            </w:tcBorders>
            <w:gridSpan w:val="3"/>
            <w:shd w:val="clear" w:color="auto" w:fill="E5FFFF"/>
          </w:tcPr>
          <w:p>
            <w:pPr>
              <w:jc w:val="right"/>
              <w:ind w:right="92"/>
              <w:spacing w:after="0"/>
              <w:rPr>
                <w:sz w:val="20"/>
                <w:szCs w:val="20"/>
                <w:color w:val="auto"/>
              </w:rPr>
            </w:pPr>
            <w:r>
              <w:rPr>
                <w:rFonts w:ascii="Arial" w:cs="Arial" w:eastAsia="Arial" w:hAnsi="Arial"/>
                <w:sz w:val="19"/>
                <w:szCs w:val="19"/>
                <w:color w:val="auto"/>
              </w:rPr>
              <w:t>(34,708 )</w:t>
            </w:r>
          </w:p>
        </w:tc>
        <w:tc>
          <w:tcPr>
            <w:tcW w:w="26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9"/>
                <w:szCs w:val="19"/>
                <w:color w:val="auto"/>
                <w:w w:val="97"/>
              </w:rPr>
              <w:t>(3,710 )</w:t>
            </w:r>
          </w:p>
        </w:tc>
        <w:tc>
          <w:tcPr>
            <w:tcW w:w="0" w:type="dxa"/>
            <w:vAlign w:val="bottom"/>
          </w:tcPr>
          <w:p>
            <w:pPr>
              <w:spacing w:after="0"/>
              <w:rPr>
                <w:sz w:val="1"/>
                <w:szCs w:val="1"/>
                <w:color w:val="auto"/>
              </w:rPr>
            </w:pPr>
          </w:p>
        </w:tc>
      </w:tr>
      <w:tr>
        <w:trPr>
          <w:trHeight w:val="304"/>
        </w:trPr>
        <w:tc>
          <w:tcPr>
            <w:tcW w:w="6160" w:type="dxa"/>
            <w:vAlign w:val="bottom"/>
            <w:gridSpan w:val="3"/>
          </w:tcPr>
          <w:p>
            <w:pPr>
              <w:ind w:left="20"/>
              <w:spacing w:after="0"/>
              <w:rPr>
                <w:sz w:val="20"/>
                <w:szCs w:val="20"/>
                <w:color w:val="auto"/>
              </w:rPr>
            </w:pPr>
            <w:r>
              <w:rPr>
                <w:rFonts w:ascii="Arial" w:cs="Arial" w:eastAsia="Arial" w:hAnsi="Arial"/>
                <w:sz w:val="19"/>
                <w:szCs w:val="19"/>
                <w:color w:val="auto"/>
              </w:rPr>
              <w:t>Claims Unresolved at the end of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9"/>
                <w:szCs w:val="19"/>
                <w:color w:val="auto"/>
              </w:rPr>
              <w:t>19,940</w:t>
            </w:r>
          </w:p>
        </w:tc>
        <w:tc>
          <w:tcPr>
            <w:tcW w:w="260" w:type="dxa"/>
            <w:vAlign w:val="bottom"/>
          </w:tcPr>
          <w:p>
            <w:pPr>
              <w:spacing w:after="0"/>
              <w:rPr>
                <w:sz w:val="24"/>
                <w:szCs w:val="24"/>
                <w:color w:val="auto"/>
              </w:rPr>
            </w:pPr>
          </w:p>
        </w:tc>
        <w:tc>
          <w:tcPr>
            <w:tcW w:w="10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9"/>
                <w:szCs w:val="19"/>
                <w:color w:val="auto"/>
              </w:rPr>
              <w:t>51,951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Disease Distribution of Unresolved Claims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2009</w:t>
            </w:r>
          </w:p>
        </w:tc>
        <w:tc>
          <w:tcPr>
            <w:tcW w:w="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2008</w:t>
            </w:r>
          </w:p>
        </w:tc>
        <w:tc>
          <w:tcPr>
            <w:tcW w:w="0" w:type="dxa"/>
            <w:vAlign w:val="bottom"/>
          </w:tcPr>
          <w:p>
            <w:pPr>
              <w:spacing w:after="0"/>
              <w:rPr>
                <w:sz w:val="1"/>
                <w:szCs w:val="1"/>
                <w:color w:val="auto"/>
              </w:rPr>
            </w:pPr>
          </w:p>
        </w:tc>
      </w:tr>
      <w:tr>
        <w:trPr>
          <w:trHeight w:val="264"/>
        </w:trPr>
        <w:tc>
          <w:tcPr>
            <w:tcW w:w="616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Mesothelioma and Other Cancer Claims</w:t>
            </w:r>
          </w:p>
        </w:tc>
        <w:tc>
          <w:tcPr>
            <w:tcW w:w="20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192"/>
              <w:spacing w:after="0"/>
              <w:rPr>
                <w:sz w:val="20"/>
                <w:szCs w:val="20"/>
                <w:color w:val="auto"/>
              </w:rPr>
            </w:pPr>
            <w:r>
              <w:rPr>
                <w:rFonts w:ascii="Arial" w:cs="Arial" w:eastAsia="Arial" w:hAnsi="Arial"/>
                <w:sz w:val="19"/>
                <w:szCs w:val="19"/>
                <w:color w:val="auto"/>
              </w:rPr>
              <w:t>4,727</w:t>
            </w: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130"/>
              <w:spacing w:after="0"/>
              <w:rPr>
                <w:sz w:val="20"/>
                <w:szCs w:val="20"/>
                <w:color w:val="auto"/>
              </w:rPr>
            </w:pPr>
            <w:r>
              <w:rPr>
                <w:rFonts w:ascii="Arial" w:cs="Arial" w:eastAsia="Arial" w:hAnsi="Arial"/>
                <w:sz w:val="19"/>
                <w:szCs w:val="19"/>
                <w:color w:val="auto"/>
              </w:rPr>
              <w:t>5,575</w:t>
            </w:r>
          </w:p>
        </w:tc>
        <w:tc>
          <w:tcPr>
            <w:tcW w:w="0" w:type="dxa"/>
            <w:vAlign w:val="bottom"/>
          </w:tcPr>
          <w:p>
            <w:pPr>
              <w:spacing w:after="0"/>
              <w:rPr>
                <w:sz w:val="1"/>
                <w:szCs w:val="1"/>
                <w:color w:val="auto"/>
              </w:rPr>
            </w:pPr>
          </w:p>
        </w:tc>
      </w:tr>
      <w:tr>
        <w:trPr>
          <w:trHeight w:val="270"/>
        </w:trPr>
        <w:tc>
          <w:tcPr>
            <w:tcW w:w="6160" w:type="dxa"/>
            <w:vAlign w:val="bottom"/>
            <w:gridSpan w:val="3"/>
          </w:tcPr>
          <w:p>
            <w:pPr>
              <w:ind w:left="20"/>
              <w:spacing w:after="0"/>
              <w:rPr>
                <w:sz w:val="20"/>
                <w:szCs w:val="20"/>
                <w:color w:val="auto"/>
              </w:rPr>
            </w:pPr>
            <w:r>
              <w:rPr>
                <w:rFonts w:ascii="Arial" w:cs="Arial" w:eastAsia="Arial" w:hAnsi="Arial"/>
                <w:sz w:val="19"/>
                <w:szCs w:val="19"/>
                <w:color w:val="auto"/>
              </w:rPr>
              <w:t>Other Claims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3"/>
          </w:tcPr>
          <w:p>
            <w:pPr>
              <w:jc w:val="right"/>
              <w:ind w:right="192"/>
              <w:spacing w:after="0"/>
              <w:rPr>
                <w:sz w:val="20"/>
                <w:szCs w:val="20"/>
                <w:color w:val="auto"/>
              </w:rPr>
            </w:pPr>
            <w:r>
              <w:rPr>
                <w:rFonts w:ascii="Arial" w:cs="Arial" w:eastAsia="Arial" w:hAnsi="Arial"/>
                <w:sz w:val="19"/>
                <w:szCs w:val="19"/>
                <w:color w:val="auto"/>
              </w:rPr>
              <w:t>15,213</w:t>
            </w:r>
          </w:p>
        </w:tc>
        <w:tc>
          <w:tcPr>
            <w:tcW w:w="1260" w:type="dxa"/>
            <w:vAlign w:val="bottom"/>
            <w:gridSpan w:val="4"/>
          </w:tcPr>
          <w:p>
            <w:pPr>
              <w:jc w:val="right"/>
              <w:ind w:right="130"/>
              <w:spacing w:after="0"/>
              <w:rPr>
                <w:sz w:val="20"/>
                <w:szCs w:val="20"/>
                <w:color w:val="auto"/>
              </w:rPr>
            </w:pPr>
            <w:r>
              <w:rPr>
                <w:rFonts w:ascii="Arial" w:cs="Arial" w:eastAsia="Arial" w:hAnsi="Arial"/>
                <w:sz w:val="19"/>
                <w:szCs w:val="19"/>
                <w:color w:val="auto"/>
              </w:rPr>
              <w:t>46,376</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Total Claims</w:t>
            </w:r>
          </w:p>
        </w:tc>
        <w:tc>
          <w:tcPr>
            <w:tcW w:w="20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160" w:type="dxa"/>
            <w:vAlign w:val="bottom"/>
            <w:gridSpan w:val="3"/>
            <w:shd w:val="clear" w:color="auto" w:fill="E5FFFF"/>
          </w:tcPr>
          <w:p>
            <w:pPr>
              <w:jc w:val="right"/>
              <w:ind w:right="192"/>
              <w:spacing w:after="0"/>
              <w:rPr>
                <w:sz w:val="20"/>
                <w:szCs w:val="20"/>
                <w:color w:val="auto"/>
              </w:rPr>
            </w:pPr>
            <w:r>
              <w:rPr>
                <w:rFonts w:ascii="Arial" w:cs="Arial" w:eastAsia="Arial" w:hAnsi="Arial"/>
                <w:sz w:val="19"/>
                <w:szCs w:val="19"/>
                <w:color w:val="auto"/>
              </w:rPr>
              <w:t>19,940</w:t>
            </w:r>
          </w:p>
        </w:tc>
        <w:tc>
          <w:tcPr>
            <w:tcW w:w="1260" w:type="dxa"/>
            <w:vAlign w:val="bottom"/>
            <w:gridSpan w:val="4"/>
            <w:shd w:val="clear" w:color="auto" w:fill="E5FFFF"/>
          </w:tcPr>
          <w:p>
            <w:pPr>
              <w:jc w:val="right"/>
              <w:ind w:right="130"/>
              <w:spacing w:after="0"/>
              <w:rPr>
                <w:sz w:val="20"/>
                <w:szCs w:val="20"/>
                <w:color w:val="auto"/>
              </w:rPr>
            </w:pPr>
            <w:r>
              <w:rPr>
                <w:rFonts w:ascii="Arial" w:cs="Arial" w:eastAsia="Arial" w:hAnsi="Arial"/>
                <w:sz w:val="19"/>
                <w:szCs w:val="19"/>
                <w:color w:val="auto"/>
              </w:rPr>
              <w:t>51,951</w:t>
            </w:r>
          </w:p>
        </w:tc>
        <w:tc>
          <w:tcPr>
            <w:tcW w:w="0" w:type="dxa"/>
            <w:vAlign w:val="bottom"/>
          </w:tcPr>
          <w:p>
            <w:pPr>
              <w:spacing w:after="0"/>
              <w:rPr>
                <w:sz w:val="1"/>
                <w:szCs w:val="1"/>
                <w:color w:val="auto"/>
              </w:rPr>
            </w:pPr>
          </w:p>
        </w:tc>
      </w:tr>
      <w:tr>
        <w:trPr>
          <w:trHeight w:val="20"/>
        </w:trPr>
        <w:tc>
          <w:tcPr>
            <w:tcW w:w="8380" w:type="dxa"/>
            <w:vAlign w:val="bottom"/>
            <w:gridSpan w:val="9"/>
            <w:vMerge w:val="restart"/>
          </w:tcPr>
          <w:p>
            <w:pPr>
              <w:ind w:left="60"/>
              <w:spacing w:after="0"/>
              <w:rPr>
                <w:sz w:val="20"/>
                <w:szCs w:val="20"/>
                <w:color w:val="auto"/>
              </w:rPr>
            </w:pPr>
            <w:r>
              <w:rPr>
                <w:rFonts w:ascii="Arial" w:cs="Arial" w:eastAsia="Arial" w:hAnsi="Arial"/>
                <w:sz w:val="19"/>
                <w:szCs w:val="19"/>
                <w:color w:val="auto"/>
              </w:rPr>
              <w:t>Honeywell has experienced average resolution values per claim excluding legal costs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380" w:type="dxa"/>
            <w:vAlign w:val="bottom"/>
            <w:gridSpan w:val="9"/>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2007</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2006</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5"/>
          </w:tcPr>
          <w:p>
            <w:pPr>
              <w:jc w:val="right"/>
              <w:ind w:right="312"/>
              <w:spacing w:after="0"/>
              <w:rPr>
                <w:sz w:val="20"/>
                <w:szCs w:val="20"/>
                <w:color w:val="auto"/>
              </w:rPr>
            </w:pPr>
            <w:r>
              <w:rPr>
                <w:rFonts w:ascii="Arial" w:cs="Arial" w:eastAsia="Arial" w:hAnsi="Arial"/>
                <w:sz w:val="16"/>
                <w:szCs w:val="16"/>
                <w:b w:val="1"/>
                <w:bCs w:val="1"/>
                <w:color w:val="auto"/>
              </w:rPr>
              <w:t>(in whole dollars)</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16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Malignant claims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50,000</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9"/>
                <w:szCs w:val="19"/>
                <w:color w:val="auto"/>
              </w:rPr>
              <w:t>65,000</w:t>
            </w:r>
          </w:p>
        </w:tc>
        <w:tc>
          <w:tcPr>
            <w:tcW w:w="80" w:type="dxa"/>
            <w:vAlign w:val="bottom"/>
            <w:shd w:val="clear" w:color="auto" w:fill="E5FFFF"/>
          </w:tcPr>
          <w:p>
            <w:pPr>
              <w:spacing w:after="0"/>
              <w:rPr>
                <w:sz w:val="23"/>
                <w:szCs w:val="23"/>
                <w:color w:val="auto"/>
              </w:rPr>
            </w:pP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12"/>
              <w:spacing w:after="0"/>
              <w:rPr>
                <w:sz w:val="20"/>
                <w:szCs w:val="20"/>
                <w:color w:val="auto"/>
              </w:rPr>
            </w:pPr>
            <w:r>
              <w:rPr>
                <w:rFonts w:ascii="Arial" w:cs="Arial" w:eastAsia="Arial" w:hAnsi="Arial"/>
                <w:sz w:val="19"/>
                <w:szCs w:val="19"/>
                <w:color w:val="auto"/>
              </w:rPr>
              <w:t>33,000</w:t>
            </w:r>
          </w:p>
        </w:tc>
        <w:tc>
          <w:tcPr>
            <w:tcW w:w="4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ind w:left="100"/>
              <w:spacing w:after="0"/>
              <w:rPr>
                <w:sz w:val="20"/>
                <w:szCs w:val="20"/>
                <w:color w:val="auto"/>
              </w:rPr>
            </w:pPr>
            <w:r>
              <w:rPr>
                <w:rFonts w:ascii="Arial" w:cs="Arial" w:eastAsia="Arial" w:hAnsi="Arial"/>
                <w:sz w:val="19"/>
                <w:szCs w:val="19"/>
                <w:color w:val="auto"/>
              </w:rPr>
              <w:t>33,000</w:t>
            </w:r>
          </w:p>
        </w:tc>
        <w:tc>
          <w:tcPr>
            <w:tcW w:w="0" w:type="dxa"/>
            <w:vAlign w:val="bottom"/>
          </w:tcPr>
          <w:p>
            <w:pPr>
              <w:spacing w:after="0"/>
              <w:rPr>
                <w:sz w:val="1"/>
                <w:szCs w:val="1"/>
                <w:color w:val="auto"/>
              </w:rPr>
            </w:pPr>
          </w:p>
        </w:tc>
      </w:tr>
      <w:tr>
        <w:trPr>
          <w:trHeight w:val="274"/>
        </w:trPr>
        <w:tc>
          <w:tcPr>
            <w:tcW w:w="6160" w:type="dxa"/>
            <w:vAlign w:val="bottom"/>
            <w:gridSpan w:val="3"/>
          </w:tcPr>
          <w:p>
            <w:pPr>
              <w:ind w:left="20"/>
              <w:spacing w:after="0"/>
              <w:rPr>
                <w:sz w:val="20"/>
                <w:szCs w:val="20"/>
                <w:color w:val="auto"/>
              </w:rPr>
            </w:pPr>
            <w:r>
              <w:rPr>
                <w:rFonts w:ascii="Arial" w:cs="Arial" w:eastAsia="Arial" w:hAnsi="Arial"/>
                <w:sz w:val="19"/>
                <w:szCs w:val="19"/>
                <w:color w:val="auto"/>
              </w:rPr>
              <w:t>Nonmalignant claims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200</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12"/>
              <w:spacing w:after="0"/>
              <w:rPr>
                <w:sz w:val="20"/>
                <w:szCs w:val="20"/>
                <w:color w:val="auto"/>
              </w:rPr>
            </w:pPr>
            <w:r>
              <w:rPr>
                <w:rFonts w:ascii="Arial" w:cs="Arial" w:eastAsia="Arial" w:hAnsi="Arial"/>
                <w:sz w:val="19"/>
                <w:szCs w:val="19"/>
                <w:color w:val="auto"/>
              </w:rPr>
              <w:t>1,500</w:t>
            </w:r>
          </w:p>
        </w:tc>
        <w:tc>
          <w:tcPr>
            <w:tcW w:w="8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12"/>
              <w:spacing w:after="0"/>
              <w:rPr>
                <w:sz w:val="20"/>
                <w:szCs w:val="20"/>
                <w:color w:val="auto"/>
              </w:rPr>
            </w:pPr>
            <w:r>
              <w:rPr>
                <w:rFonts w:ascii="Arial" w:cs="Arial" w:eastAsia="Arial" w:hAnsi="Arial"/>
                <w:sz w:val="19"/>
                <w:szCs w:val="19"/>
                <w:color w:val="auto"/>
              </w:rPr>
              <w:t>500</w:t>
            </w:r>
          </w:p>
        </w:tc>
        <w:tc>
          <w:tcPr>
            <w:tcW w:w="48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250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It is not possible to predict whether resolution values for Bendix related asbestos claims will increase, decrease or stabilize in the future.</w:t>
      </w:r>
    </w:p>
    <w:p>
      <w:pPr>
        <w:spacing w:after="0" w:line="80"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Our consolidated financial statements reflect an estimated liability for resolution of pending and future Bendix related asbestos claims of $566 and $578 million at December 31, 2009 and 2008, respectively. Our liability for the estimated cost of future Bendix related asbestos claims is based on historic claims filing experience, disease classifications, expected resolution values, and historic dismissal rates. In the fourth quarter of each year we update our analysis of the estimated cost of</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160"/>
        <w:spacing w:after="0" w:line="241" w:lineRule="auto"/>
        <w:rPr>
          <w:sz w:val="20"/>
          <w:szCs w:val="20"/>
          <w:color w:val="auto"/>
        </w:rPr>
      </w:pPr>
      <w:r>
        <w:rPr>
          <w:rFonts w:ascii="Arial" w:cs="Arial" w:eastAsia="Arial" w:hAnsi="Arial"/>
          <w:sz w:val="19"/>
          <w:szCs w:val="19"/>
          <w:color w:val="auto"/>
        </w:rPr>
        <w:t>future Bendix related asbestos claims. We have valued Bendix pending and future claims using average resolution values for the previous four years (extended from three years). Changes in the tort system which began in 2006 refocused asbestos litigation on mesothelioma cases, making the four year period 2006 through 2009 representative for forecasting purposes. We will continue to update the expected resolution values used to estimate the cost of pending and future Bendix claims during the fourth quarter each year.</w:t>
      </w:r>
    </w:p>
    <w:p>
      <w:pPr>
        <w:spacing w:after="0" w:line="200"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The estimated liability for future claims represents the estimated value of future asbestos related bodily injury claims expected to be asserted against Bendix over the next five years. In light of the uncertainties inherent in making long-term projections, as well as certain factors unique to friction product asbestos claims, we do not believe that we have a reasonable basis for estimating asbestos claims beyond the next five years. The estimate is based upon Bendix historical experience in the tort system for the four years ended December 31, 2009 with respect to claims filing and resolution values. The methodology used to estimate the liability for future claims has been commonly accepted by numerous courts. It is similar to that used to estimate the future NARCO related asbestos claims liability.</w:t>
      </w:r>
    </w:p>
    <w:p>
      <w:pPr>
        <w:spacing w:after="0" w:line="9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Honeywell currently has approximately $1.9 billion of insurance coverage remaining with respect to pending and potential future Bendix related asbestos claims, of which $172 and $156 million are reflected as receivables in our consolidated balance sheet at December 31, 2009 and 2008, respectively. This coverage is provided by a large number of insurance policies written by dozens of insurance companies in both the domestic insurance market and the London excess market. Insurance receivables are recorded in the financial statements simultaneous with the recording of the liability for the estimated value of the underlying asbestos claims. The amount of the insurance receivable recorded is based on our ongoing analysis of the insurance that we estimate is probable of recovery. This determination is based on our analysis of the underlying insurance policies, our historical experience with our insurers, our ongoing review of the solvency of our insurers, our interpretation of judicial determinations relevant to our insurance programs, and our consideration of the impacts of any settlements reached with our insurers. Insurance receivables are also recorded when structured insurance settlements provide for future fixed payment streams that are not contingent upon future claims or other events. Such amounts are recorded at the net present value of the fixed payment stream.</w:t>
      </w:r>
    </w:p>
    <w:p>
      <w:pPr>
        <w:spacing w:after="0" w:line="92"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On a cumulative historical basis, Honeywell has recorded insurance receivables equal to approximately 45 percent of the value of the underlying asbestos claims recorded. However, because there are gaps in our coverage due to insurance company insolvencies, certain uninsured periods, and insurance settlements, this rate is expected to decline for any future Bendix related asbestos liabilities that may be recorded. Future recoverability rates may also be impacted by numerous other factors, such as future insurance settlements, insolvencies and judicial determinations relevant to our coverage program, which are difficult to predict. Assuming continued defense and indemnity spending at current levels, we estimate that the cumulative recoverability rate could decline over the next five years to approximately 35 percent.</w:t>
      </w:r>
    </w:p>
    <w:p>
      <w:pPr>
        <w:spacing w:after="0" w:line="9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Honeywell believes it has sufficient insurance coverage and reserves to cover all pending Bendix related asbestos claims and Bendix related asbestos claims estimated to be filed within the next five years. Although it is impossible to predict the outcome of either pending or future Bendix 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 related asbestos claims to have a material adverse effect on our results of operations or operating cash flows in any fiscal year. No assurances can be given, however, that the Variable Claims Factors will not change.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ind w:right="500" w:firstLine="357"/>
        <w:spacing w:after="0" w:line="280" w:lineRule="auto"/>
        <w:rPr>
          <w:sz w:val="20"/>
          <w:szCs w:val="20"/>
          <w:color w:val="auto"/>
        </w:rPr>
      </w:pPr>
      <w:r>
        <w:rPr>
          <w:rFonts w:ascii="Arial" w:cs="Arial" w:eastAsia="Arial" w:hAnsi="Arial"/>
          <w:sz w:val="19"/>
          <w:szCs w:val="19"/>
          <w:b w:val="1"/>
          <w:bCs w:val="1"/>
          <w:i w:val="1"/>
          <w:iCs w:val="1"/>
          <w:color w:val="auto"/>
        </w:rPr>
        <w:t>Refractory and Friction Products</w:t>
      </w:r>
      <w:r>
        <w:rPr>
          <w:rFonts w:ascii="Arial" w:cs="Arial" w:eastAsia="Arial" w:hAnsi="Arial"/>
          <w:sz w:val="19"/>
          <w:szCs w:val="19"/>
          <w:color w:val="auto"/>
        </w:rPr>
        <w:t>—The following tables summarize information concerning NARCO and Bendix asbestos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related balances: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Related Liabilities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202"/>
              <w:spacing w:after="0"/>
              <w:rPr>
                <w:sz w:val="20"/>
                <w:szCs w:val="20"/>
                <w:color w:val="auto"/>
              </w:rPr>
            </w:pPr>
            <w:r>
              <w:rPr>
                <w:rFonts w:ascii="Arial" w:cs="Arial" w:eastAsia="Arial" w:hAnsi="Arial"/>
                <w:sz w:val="14"/>
                <w:szCs w:val="14"/>
                <w:b w:val="1"/>
                <w:bCs w:val="1"/>
                <w:color w:val="auto"/>
              </w:rPr>
              <w:t>Year Ended December 31, 2009</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202"/>
              <w:spacing w:after="0"/>
              <w:rPr>
                <w:sz w:val="20"/>
                <w:szCs w:val="20"/>
                <w:color w:val="auto"/>
              </w:rPr>
            </w:pPr>
            <w:r>
              <w:rPr>
                <w:rFonts w:ascii="Arial" w:cs="Arial" w:eastAsia="Arial" w:hAnsi="Arial"/>
                <w:sz w:val="14"/>
                <w:szCs w:val="14"/>
                <w:b w:val="1"/>
                <w:bCs w:val="1"/>
                <w:color w:val="auto"/>
              </w:rPr>
              <w:t>Year Ended December 31, 2008</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right"/>
              <w:ind w:right="222"/>
              <w:spacing w:after="0"/>
              <w:rPr>
                <w:sz w:val="20"/>
                <w:szCs w:val="20"/>
                <w:color w:val="auto"/>
              </w:rPr>
            </w:pPr>
            <w:r>
              <w:rPr>
                <w:rFonts w:ascii="Arial" w:cs="Arial" w:eastAsia="Arial" w:hAnsi="Arial"/>
                <w:sz w:val="14"/>
                <w:szCs w:val="14"/>
                <w:b w:val="1"/>
                <w:bCs w:val="1"/>
                <w:color w:val="auto"/>
              </w:rPr>
              <w:t>Year Ended December 31, 2007</w:t>
            </w:r>
          </w:p>
        </w:tc>
      </w:tr>
      <w:tr>
        <w:trPr>
          <w:trHeight w:val="250"/>
        </w:trPr>
        <w:tc>
          <w:tcPr>
            <w:tcW w:w="2880" w:type="dxa"/>
            <w:vAlign w:val="bottom"/>
          </w:tcPr>
          <w:p>
            <w:pPr>
              <w:spacing w:after="0"/>
              <w:rPr>
                <w:sz w:val="21"/>
                <w:szCs w:val="21"/>
                <w:color w:val="auto"/>
              </w:rPr>
            </w:pPr>
          </w:p>
        </w:tc>
        <w:tc>
          <w:tcPr>
            <w:tcW w:w="6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Bendix</w:t>
            </w:r>
          </w:p>
        </w:tc>
        <w:tc>
          <w:tcPr>
            <w:tcW w:w="240" w:type="dxa"/>
            <w:vAlign w:val="bottom"/>
          </w:tcPr>
          <w:p>
            <w:pPr>
              <w:spacing w:after="0"/>
              <w:rPr>
                <w:sz w:val="21"/>
                <w:szCs w:val="21"/>
                <w:color w:val="auto"/>
              </w:rPr>
            </w:pPr>
          </w:p>
        </w:tc>
        <w:tc>
          <w:tcPr>
            <w:tcW w:w="7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NARCO</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1"/>
                <w:szCs w:val="21"/>
                <w:color w:val="auto"/>
              </w:rPr>
            </w:pPr>
          </w:p>
        </w:tc>
        <w:tc>
          <w:tcPr>
            <w:tcW w:w="6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Bendix</w:t>
            </w:r>
          </w:p>
        </w:tc>
        <w:tc>
          <w:tcPr>
            <w:tcW w:w="240" w:type="dxa"/>
            <w:vAlign w:val="bottom"/>
          </w:tcPr>
          <w:p>
            <w:pPr>
              <w:spacing w:after="0"/>
              <w:rPr>
                <w:sz w:val="21"/>
                <w:szCs w:val="21"/>
                <w:color w:val="auto"/>
              </w:rPr>
            </w:pPr>
          </w:p>
        </w:tc>
        <w:tc>
          <w:tcPr>
            <w:tcW w:w="7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NARCO</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1"/>
                <w:szCs w:val="21"/>
                <w:color w:val="auto"/>
              </w:rPr>
            </w:pPr>
          </w:p>
        </w:tc>
        <w:tc>
          <w:tcPr>
            <w:tcW w:w="6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Bendix</w:t>
            </w:r>
          </w:p>
        </w:tc>
        <w:tc>
          <w:tcPr>
            <w:tcW w:w="260" w:type="dxa"/>
            <w:vAlign w:val="bottom"/>
          </w:tcPr>
          <w:p>
            <w:pPr>
              <w:spacing w:after="0"/>
              <w:rPr>
                <w:sz w:val="21"/>
                <w:szCs w:val="21"/>
                <w:color w:val="auto"/>
              </w:rPr>
            </w:pPr>
          </w:p>
        </w:tc>
        <w:tc>
          <w:tcPr>
            <w:tcW w:w="7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r>
      <w:tr>
        <w:trPr>
          <w:trHeight w:val="264"/>
        </w:trPr>
        <w:tc>
          <w:tcPr>
            <w:tcW w:w="2880" w:type="dxa"/>
            <w:vAlign w:val="bottom"/>
            <w:shd w:val="clear" w:color="auto" w:fill="E5FFFF"/>
          </w:tcPr>
          <w:p>
            <w:pPr>
              <w:ind w:left="20"/>
              <w:spacing w:after="0"/>
              <w:rPr>
                <w:sz w:val="20"/>
                <w:szCs w:val="20"/>
                <w:color w:val="auto"/>
              </w:rPr>
            </w:pPr>
            <w:r>
              <w:rPr>
                <w:rFonts w:ascii="Arial" w:cs="Arial" w:eastAsia="Arial" w:hAnsi="Arial"/>
                <w:sz w:val="16"/>
                <w:szCs w:val="16"/>
                <w:color w:val="auto"/>
              </w:rPr>
              <w:t>Beginning of year</w:t>
            </w:r>
          </w:p>
        </w:tc>
        <w:tc>
          <w:tcPr>
            <w:tcW w:w="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578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1,131</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1,709</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517</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w w:val="99"/>
              </w:rPr>
              <w:t>1,138</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1,655</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528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1,291</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1,819</w:t>
            </w:r>
          </w:p>
        </w:tc>
      </w:tr>
      <w:tr>
        <w:trPr>
          <w:trHeight w:val="195"/>
        </w:trPr>
        <w:tc>
          <w:tcPr>
            <w:tcW w:w="2880" w:type="dxa"/>
            <w:vAlign w:val="bottom"/>
          </w:tcPr>
          <w:p>
            <w:pPr>
              <w:ind w:left="20"/>
              <w:spacing w:after="0"/>
              <w:rPr>
                <w:sz w:val="20"/>
                <w:szCs w:val="20"/>
                <w:color w:val="auto"/>
              </w:rPr>
            </w:pPr>
            <w:r>
              <w:rPr>
                <w:rFonts w:ascii="Arial" w:cs="Arial" w:eastAsia="Arial" w:hAnsi="Arial"/>
                <w:sz w:val="16"/>
                <w:szCs w:val="16"/>
                <w:color w:val="auto"/>
              </w:rPr>
              <w:t>Accrual for pending claims and</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4"/>
        </w:trPr>
        <w:tc>
          <w:tcPr>
            <w:tcW w:w="2880" w:type="dxa"/>
            <w:vAlign w:val="bottom"/>
          </w:tcPr>
          <w:p>
            <w:pPr>
              <w:ind w:left="160"/>
              <w:spacing w:after="0"/>
              <w:rPr>
                <w:sz w:val="20"/>
                <w:szCs w:val="20"/>
                <w:color w:val="auto"/>
              </w:rPr>
            </w:pPr>
            <w:r>
              <w:rPr>
                <w:rFonts w:ascii="Arial" w:cs="Arial" w:eastAsia="Arial" w:hAnsi="Arial"/>
                <w:sz w:val="16"/>
                <w:szCs w:val="16"/>
                <w:color w:val="auto"/>
              </w:rPr>
              <w:t>defense costs incurred</w:t>
            </w:r>
          </w:p>
        </w:tc>
        <w:tc>
          <w:tcPr>
            <w:tcW w:w="180" w:type="dxa"/>
            <w:vAlign w:val="bottom"/>
          </w:tcPr>
          <w:p>
            <w:pPr>
              <w:spacing w:after="0"/>
              <w:rPr>
                <w:sz w:val="15"/>
                <w:szCs w:val="15"/>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132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62"/>
              <w:spacing w:after="0"/>
              <w:rPr>
                <w:sz w:val="20"/>
                <w:szCs w:val="20"/>
                <w:color w:val="auto"/>
              </w:rPr>
            </w:pPr>
            <w:r>
              <w:rPr>
                <w:rFonts w:ascii="Arial" w:cs="Arial" w:eastAsia="Arial" w:hAnsi="Arial"/>
                <w:sz w:val="16"/>
                <w:szCs w:val="16"/>
                <w:color w:val="auto"/>
              </w:rPr>
              <w:t>153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153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122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122</w:t>
            </w:r>
          </w:p>
        </w:tc>
      </w:tr>
      <w:tr>
        <w:trPr>
          <w:trHeight w:val="195"/>
        </w:trPr>
        <w:tc>
          <w:tcPr>
            <w:tcW w:w="2880" w:type="dxa"/>
            <w:vAlign w:val="bottom"/>
            <w:shd w:val="clear" w:color="auto" w:fill="E5FFFF"/>
          </w:tcPr>
          <w:p>
            <w:pPr>
              <w:ind w:left="20"/>
              <w:spacing w:after="0"/>
              <w:rPr>
                <w:sz w:val="20"/>
                <w:szCs w:val="20"/>
                <w:color w:val="auto"/>
              </w:rPr>
            </w:pPr>
            <w:r>
              <w:rPr>
                <w:rFonts w:ascii="Arial" w:cs="Arial" w:eastAsia="Arial" w:hAnsi="Arial"/>
                <w:sz w:val="16"/>
                <w:szCs w:val="16"/>
                <w:color w:val="auto"/>
              </w:rPr>
              <w:t>Change in estimated cost of future</w:t>
            </w:r>
          </w:p>
        </w:tc>
        <w:tc>
          <w:tcPr>
            <w:tcW w:w="180" w:type="dxa"/>
            <w:vAlign w:val="bottom"/>
            <w:shd w:val="clear" w:color="auto" w:fill="E5FFFF"/>
          </w:tcPr>
          <w:p>
            <w:pPr>
              <w:spacing w:after="0"/>
              <w:rPr>
                <w:sz w:val="16"/>
                <w:szCs w:val="16"/>
                <w:color w:val="auto"/>
              </w:rPr>
            </w:pPr>
          </w:p>
        </w:tc>
        <w:tc>
          <w:tcPr>
            <w:tcW w:w="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5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5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0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6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r>
      <w:tr>
        <w:trPr>
          <w:trHeight w:val="184"/>
        </w:trPr>
        <w:tc>
          <w:tcPr>
            <w:tcW w:w="28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claims</w:t>
            </w:r>
          </w:p>
        </w:tc>
        <w:tc>
          <w:tcPr>
            <w:tcW w:w="180" w:type="dxa"/>
            <w:vAlign w:val="bottom"/>
            <w:shd w:val="clear" w:color="auto" w:fill="E5FFFF"/>
          </w:tcPr>
          <w:p>
            <w:pPr>
              <w:spacing w:after="0"/>
              <w:rPr>
                <w:sz w:val="15"/>
                <w:szCs w:val="15"/>
                <w:color w:val="auto"/>
              </w:rPr>
            </w:pPr>
          </w:p>
        </w:tc>
        <w:tc>
          <w:tcPr>
            <w:tcW w:w="48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11</w:t>
            </w:r>
          </w:p>
        </w:tc>
        <w:tc>
          <w:tcPr>
            <w:tcW w:w="2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56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8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11</w:t>
            </w:r>
          </w:p>
        </w:tc>
        <w:tc>
          <w:tcPr>
            <w:tcW w:w="2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48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43</w:t>
            </w:r>
          </w:p>
        </w:tc>
        <w:tc>
          <w:tcPr>
            <w:tcW w:w="2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5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8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43</w:t>
            </w:r>
          </w:p>
        </w:tc>
        <w:tc>
          <w:tcPr>
            <w:tcW w:w="2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(8 )</w:t>
            </w:r>
          </w:p>
        </w:tc>
        <w:tc>
          <w:tcPr>
            <w:tcW w:w="2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6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(8 )</w:t>
            </w:r>
          </w:p>
        </w:tc>
      </w:tr>
      <w:tr>
        <w:trPr>
          <w:trHeight w:val="270"/>
        </w:trPr>
        <w:tc>
          <w:tcPr>
            <w:tcW w:w="2880" w:type="dxa"/>
            <w:vAlign w:val="bottom"/>
          </w:tcPr>
          <w:p>
            <w:pPr>
              <w:ind w:left="20"/>
              <w:spacing w:after="0"/>
              <w:rPr>
                <w:sz w:val="20"/>
                <w:szCs w:val="20"/>
                <w:color w:val="auto"/>
              </w:rPr>
            </w:pPr>
            <w:r>
              <w:rPr>
                <w:rFonts w:ascii="Arial" w:cs="Arial" w:eastAsia="Arial" w:hAnsi="Arial"/>
                <w:sz w:val="16"/>
                <w:szCs w:val="16"/>
                <w:color w:val="auto"/>
              </w:rPr>
              <w:t>Asbestos related liability payments</w:t>
            </w:r>
          </w:p>
        </w:tc>
        <w:tc>
          <w:tcPr>
            <w:tcW w:w="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(148 )</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(8 )</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(156 )</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5"/>
              </w:rPr>
              <w:t>(140 )</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(7 )</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(147 )</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(115 )</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(153 )</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(268 )</w:t>
            </w:r>
          </w:p>
        </w:tc>
      </w:tr>
      <w:tr>
        <w:trPr>
          <w:trHeight w:val="195"/>
        </w:trPr>
        <w:tc>
          <w:tcPr>
            <w:tcW w:w="2880" w:type="dxa"/>
            <w:vAlign w:val="bottom"/>
            <w:shd w:val="clear" w:color="auto" w:fill="E5FFFF"/>
          </w:tcPr>
          <w:p>
            <w:pPr>
              <w:ind w:left="20"/>
              <w:spacing w:after="0"/>
              <w:rPr>
                <w:sz w:val="20"/>
                <w:szCs w:val="20"/>
                <w:color w:val="auto"/>
              </w:rPr>
            </w:pPr>
            <w:r>
              <w:rPr>
                <w:rFonts w:ascii="Arial" w:cs="Arial" w:eastAsia="Arial" w:hAnsi="Arial"/>
                <w:sz w:val="16"/>
                <w:szCs w:val="16"/>
                <w:color w:val="auto"/>
              </w:rPr>
              <w:t>Update of expected resolution</w:t>
            </w:r>
          </w:p>
        </w:tc>
        <w:tc>
          <w:tcPr>
            <w:tcW w:w="180" w:type="dxa"/>
            <w:vAlign w:val="bottom"/>
            <w:shd w:val="clear" w:color="auto" w:fill="E5FFFF"/>
          </w:tcPr>
          <w:p>
            <w:pPr>
              <w:spacing w:after="0"/>
              <w:rPr>
                <w:sz w:val="16"/>
                <w:szCs w:val="16"/>
                <w:color w:val="auto"/>
              </w:rPr>
            </w:pPr>
          </w:p>
        </w:tc>
        <w:tc>
          <w:tcPr>
            <w:tcW w:w="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5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5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0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6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r>
      <w:tr>
        <w:trPr>
          <w:trHeight w:val="184"/>
        </w:trPr>
        <w:tc>
          <w:tcPr>
            <w:tcW w:w="28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values for pending claims</w:t>
            </w:r>
          </w:p>
        </w:tc>
        <w:tc>
          <w:tcPr>
            <w:tcW w:w="180" w:type="dxa"/>
            <w:vAlign w:val="bottom"/>
            <w:tcBorders>
              <w:bottom w:val="single" w:sz="8" w:color="auto"/>
            </w:tcBorders>
            <w:shd w:val="clear" w:color="auto" w:fill="E5FFFF"/>
          </w:tcPr>
          <w:p>
            <w:pPr>
              <w:spacing w:after="0"/>
              <w:rPr>
                <w:sz w:val="15"/>
                <w:szCs w:val="15"/>
                <w:color w:val="auto"/>
              </w:rPr>
            </w:pP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(2 )</w:t>
            </w:r>
          </w:p>
        </w:tc>
        <w:tc>
          <w:tcPr>
            <w:tcW w:w="240" w:type="dxa"/>
            <w:vAlign w:val="bottom"/>
            <w:shd w:val="clear" w:color="auto" w:fill="E5FFFF"/>
          </w:tcPr>
          <w:p>
            <w:pPr>
              <w:spacing w:after="0"/>
              <w:rPr>
                <w:sz w:val="15"/>
                <w:szCs w:val="15"/>
                <w:color w:val="auto"/>
              </w:rPr>
            </w:pPr>
          </w:p>
        </w:tc>
        <w:tc>
          <w:tcPr>
            <w:tcW w:w="200" w:type="dxa"/>
            <w:vAlign w:val="bottom"/>
            <w:tcBorders>
              <w:bottom w:val="single" w:sz="8" w:color="auto"/>
            </w:tcBorders>
            <w:shd w:val="clear" w:color="auto" w:fill="E5FFFF"/>
          </w:tcPr>
          <w:p>
            <w:pPr>
              <w:spacing w:after="0"/>
              <w:rPr>
                <w:sz w:val="15"/>
                <w:szCs w:val="15"/>
                <w:color w:val="auto"/>
              </w:rPr>
            </w:pPr>
          </w:p>
        </w:tc>
        <w:tc>
          <w:tcPr>
            <w:tcW w:w="560" w:type="dxa"/>
            <w:vAlign w:val="bottom"/>
            <w:tcBorders>
              <w:bottom w:val="single" w:sz="8" w:color="auto"/>
            </w:tcBorders>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15"/>
                <w:szCs w:val="15"/>
                <w:color w:val="auto"/>
              </w:rPr>
            </w:pPr>
          </w:p>
        </w:tc>
        <w:tc>
          <w:tcPr>
            <w:tcW w:w="180" w:type="dxa"/>
            <w:vAlign w:val="bottom"/>
            <w:tcBorders>
              <w:bottom w:val="single" w:sz="8" w:color="auto"/>
            </w:tcBorders>
            <w:shd w:val="clear" w:color="auto" w:fill="E5FFFF"/>
          </w:tcPr>
          <w:p>
            <w:pPr>
              <w:spacing w:after="0"/>
              <w:rPr>
                <w:sz w:val="15"/>
                <w:szCs w:val="15"/>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(2 )</w:t>
            </w:r>
          </w:p>
        </w:tc>
        <w:tc>
          <w:tcPr>
            <w:tcW w:w="240" w:type="dxa"/>
            <w:vAlign w:val="bottom"/>
            <w:shd w:val="clear" w:color="auto" w:fill="E5FFFF"/>
          </w:tcPr>
          <w:p>
            <w:pPr>
              <w:spacing w:after="0"/>
              <w:rPr>
                <w:sz w:val="15"/>
                <w:szCs w:val="15"/>
                <w:color w:val="auto"/>
              </w:rPr>
            </w:pPr>
          </w:p>
        </w:tc>
        <w:tc>
          <w:tcPr>
            <w:tcW w:w="200" w:type="dxa"/>
            <w:vAlign w:val="bottom"/>
            <w:tcBorders>
              <w:bottom w:val="single" w:sz="8" w:color="auto"/>
            </w:tcBorders>
            <w:shd w:val="clear" w:color="auto" w:fill="E5FFFF"/>
          </w:tcPr>
          <w:p>
            <w:pPr>
              <w:spacing w:after="0"/>
              <w:rPr>
                <w:sz w:val="15"/>
                <w:szCs w:val="15"/>
                <w:color w:val="auto"/>
              </w:rPr>
            </w:pPr>
          </w:p>
        </w:tc>
        <w:tc>
          <w:tcPr>
            <w:tcW w:w="480" w:type="dxa"/>
            <w:vAlign w:val="bottom"/>
            <w:tcBorders>
              <w:bottom w:val="single" w:sz="8" w:color="auto"/>
            </w:tcBorders>
            <w:shd w:val="clear" w:color="auto" w:fill="E5FFFF"/>
          </w:tcPr>
          <w:p>
            <w:pPr>
              <w:jc w:val="right"/>
              <w:ind w:right="62"/>
              <w:spacing w:after="0"/>
              <w:rPr>
                <w:sz w:val="20"/>
                <w:szCs w:val="20"/>
                <w:color w:val="auto"/>
              </w:rPr>
            </w:pPr>
            <w:r>
              <w:rPr>
                <w:rFonts w:ascii="Arial" w:cs="Arial" w:eastAsia="Arial" w:hAnsi="Arial"/>
                <w:sz w:val="16"/>
                <w:szCs w:val="16"/>
                <w:color w:val="auto"/>
              </w:rPr>
              <w:t>5</w:t>
            </w:r>
          </w:p>
        </w:tc>
        <w:tc>
          <w:tcPr>
            <w:tcW w:w="240" w:type="dxa"/>
            <w:vAlign w:val="bottom"/>
            <w:shd w:val="clear" w:color="auto" w:fill="E5FFFF"/>
          </w:tcPr>
          <w:p>
            <w:pPr>
              <w:spacing w:after="0"/>
              <w:rPr>
                <w:sz w:val="15"/>
                <w:szCs w:val="15"/>
                <w:color w:val="auto"/>
              </w:rPr>
            </w:pPr>
          </w:p>
        </w:tc>
        <w:tc>
          <w:tcPr>
            <w:tcW w:w="200" w:type="dxa"/>
            <w:vAlign w:val="bottom"/>
            <w:tcBorders>
              <w:bottom w:val="single" w:sz="8" w:color="auto"/>
            </w:tcBorders>
            <w:shd w:val="clear" w:color="auto" w:fill="E5FFFF"/>
          </w:tcPr>
          <w:p>
            <w:pPr>
              <w:spacing w:after="0"/>
              <w:rPr>
                <w:sz w:val="15"/>
                <w:szCs w:val="15"/>
                <w:color w:val="auto"/>
              </w:rPr>
            </w:pPr>
          </w:p>
        </w:tc>
        <w:tc>
          <w:tcPr>
            <w:tcW w:w="56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15"/>
                <w:szCs w:val="15"/>
                <w:color w:val="auto"/>
              </w:rPr>
            </w:pPr>
          </w:p>
        </w:tc>
        <w:tc>
          <w:tcPr>
            <w:tcW w:w="180" w:type="dxa"/>
            <w:vAlign w:val="bottom"/>
            <w:tcBorders>
              <w:bottom w:val="single" w:sz="8" w:color="auto"/>
            </w:tcBorders>
            <w:shd w:val="clear" w:color="auto" w:fill="E5FFFF"/>
          </w:tcPr>
          <w:p>
            <w:pPr>
              <w:spacing w:after="0"/>
              <w:rPr>
                <w:sz w:val="15"/>
                <w:szCs w:val="15"/>
                <w:color w:val="auto"/>
              </w:rPr>
            </w:pPr>
          </w:p>
        </w:tc>
        <w:tc>
          <w:tcPr>
            <w:tcW w:w="580" w:type="dxa"/>
            <w:vAlign w:val="bottom"/>
            <w:tcBorders>
              <w:bottom w:val="single" w:sz="8" w:color="auto"/>
            </w:tcBorders>
            <w:shd w:val="clear" w:color="auto" w:fill="E5FFFF"/>
          </w:tcPr>
          <w:p>
            <w:pPr>
              <w:jc w:val="right"/>
              <w:ind w:right="62"/>
              <w:spacing w:after="0"/>
              <w:rPr>
                <w:sz w:val="20"/>
                <w:szCs w:val="20"/>
                <w:color w:val="auto"/>
              </w:rPr>
            </w:pPr>
            <w:r>
              <w:rPr>
                <w:rFonts w:ascii="Arial" w:cs="Arial" w:eastAsia="Arial" w:hAnsi="Arial"/>
                <w:sz w:val="16"/>
                <w:szCs w:val="16"/>
                <w:color w:val="auto"/>
              </w:rPr>
              <w:t>5</w:t>
            </w:r>
          </w:p>
        </w:tc>
        <w:tc>
          <w:tcPr>
            <w:tcW w:w="260" w:type="dxa"/>
            <w:vAlign w:val="bottom"/>
            <w:shd w:val="clear" w:color="auto" w:fill="E5FFFF"/>
          </w:tcPr>
          <w:p>
            <w:pPr>
              <w:spacing w:after="0"/>
              <w:rPr>
                <w:sz w:val="15"/>
                <w:szCs w:val="15"/>
                <w:color w:val="auto"/>
              </w:rPr>
            </w:pPr>
          </w:p>
        </w:tc>
        <w:tc>
          <w:tcPr>
            <w:tcW w:w="180" w:type="dxa"/>
            <w:vAlign w:val="bottom"/>
            <w:tcBorders>
              <w:bottom w:val="single" w:sz="8" w:color="auto"/>
            </w:tcBorders>
            <w:shd w:val="clear" w:color="auto" w:fill="E5FFFF"/>
          </w:tcPr>
          <w:p>
            <w:pPr>
              <w:spacing w:after="0"/>
              <w:rPr>
                <w:sz w:val="15"/>
                <w:szCs w:val="15"/>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(10 )</w:t>
            </w:r>
          </w:p>
        </w:tc>
        <w:tc>
          <w:tcPr>
            <w:tcW w:w="260" w:type="dxa"/>
            <w:vAlign w:val="bottom"/>
            <w:shd w:val="clear" w:color="auto" w:fill="E5FFFF"/>
          </w:tcPr>
          <w:p>
            <w:pPr>
              <w:spacing w:after="0"/>
              <w:rPr>
                <w:sz w:val="15"/>
                <w:szCs w:val="15"/>
                <w:color w:val="auto"/>
              </w:rPr>
            </w:pPr>
          </w:p>
        </w:tc>
        <w:tc>
          <w:tcPr>
            <w:tcW w:w="180" w:type="dxa"/>
            <w:vAlign w:val="bottom"/>
            <w:tcBorders>
              <w:bottom w:val="single" w:sz="8" w:color="auto"/>
            </w:tcBorders>
            <w:shd w:val="clear" w:color="auto" w:fill="E5FFFF"/>
          </w:tcPr>
          <w:p>
            <w:pPr>
              <w:spacing w:after="0"/>
              <w:rPr>
                <w:sz w:val="15"/>
                <w:szCs w:val="15"/>
                <w:color w:val="auto"/>
              </w:rPr>
            </w:pPr>
          </w:p>
        </w:tc>
        <w:tc>
          <w:tcPr>
            <w:tcW w:w="560" w:type="dxa"/>
            <w:vAlign w:val="bottom"/>
            <w:tcBorders>
              <w:bottom w:val="single" w:sz="8" w:color="auto"/>
            </w:tcBorders>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5"/>
                <w:szCs w:val="15"/>
                <w:color w:val="auto"/>
              </w:rPr>
            </w:pPr>
          </w:p>
        </w:tc>
        <w:tc>
          <w:tcPr>
            <w:tcW w:w="180" w:type="dxa"/>
            <w:vAlign w:val="bottom"/>
            <w:tcBorders>
              <w:bottom w:val="single" w:sz="8" w:color="auto"/>
            </w:tcBorders>
            <w:shd w:val="clear" w:color="auto" w:fill="E5FFFF"/>
          </w:tcPr>
          <w:p>
            <w:pPr>
              <w:spacing w:after="0"/>
              <w:rPr>
                <w:sz w:val="15"/>
                <w:szCs w:val="15"/>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(10 )</w:t>
            </w:r>
          </w:p>
        </w:tc>
      </w:tr>
      <w:tr>
        <w:trPr>
          <w:trHeight w:val="304"/>
        </w:trPr>
        <w:tc>
          <w:tcPr>
            <w:tcW w:w="2880" w:type="dxa"/>
            <w:vAlign w:val="bottom"/>
          </w:tcPr>
          <w:p>
            <w:pPr>
              <w:ind w:left="20"/>
              <w:spacing w:after="0"/>
              <w:rPr>
                <w:sz w:val="20"/>
                <w:szCs w:val="20"/>
                <w:color w:val="auto"/>
              </w:rPr>
            </w:pPr>
            <w:r>
              <w:rPr>
                <w:rFonts w:ascii="Arial" w:cs="Arial" w:eastAsia="Arial" w:hAnsi="Arial"/>
                <w:sz w:val="16"/>
                <w:szCs w:val="16"/>
                <w:color w:val="auto"/>
              </w:rPr>
              <w:t>End of year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566</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1,128</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1,694</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62"/>
              <w:spacing w:after="0"/>
              <w:rPr>
                <w:sz w:val="20"/>
                <w:szCs w:val="20"/>
                <w:color w:val="auto"/>
              </w:rPr>
            </w:pPr>
            <w:r>
              <w:rPr>
                <w:rFonts w:ascii="Arial" w:cs="Arial" w:eastAsia="Arial" w:hAnsi="Arial"/>
                <w:sz w:val="16"/>
                <w:szCs w:val="16"/>
                <w:color w:val="auto"/>
              </w:rPr>
              <w:t>578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w w:val="99"/>
              </w:rPr>
              <w:t>1,131</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1,709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517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1,138</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1,655</w:t>
            </w:r>
          </w:p>
        </w:tc>
      </w:tr>
      <w:tr>
        <w:trPr>
          <w:trHeight w:val="20"/>
        </w:trPr>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Recoveries for Asbestos Related Liabilities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16"/>
                <w:szCs w:val="16"/>
                <w:color w:val="auto"/>
              </w:rPr>
            </w:pPr>
          </w:p>
        </w:tc>
        <w:tc>
          <w:tcPr>
            <w:tcW w:w="2540" w:type="dxa"/>
            <w:vAlign w:val="bottom"/>
            <w:tcBorders>
              <w:bottom w:val="single" w:sz="8" w:color="auto"/>
            </w:tcBorders>
            <w:gridSpan w:val="6"/>
          </w:tcPr>
          <w:p>
            <w:pPr>
              <w:jc w:val="right"/>
              <w:ind w:right="142"/>
              <w:spacing w:after="0"/>
              <w:rPr>
                <w:sz w:val="20"/>
                <w:szCs w:val="20"/>
                <w:color w:val="auto"/>
              </w:rPr>
            </w:pPr>
            <w:r>
              <w:rPr>
                <w:rFonts w:ascii="Arial" w:cs="Arial" w:eastAsia="Arial" w:hAnsi="Arial"/>
                <w:sz w:val="14"/>
                <w:szCs w:val="14"/>
                <w:b w:val="1"/>
                <w:bCs w:val="1"/>
                <w:color w:val="auto"/>
              </w:rPr>
              <w:t>Year Ended December 31, 2009</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162"/>
              <w:spacing w:after="0"/>
              <w:rPr>
                <w:sz w:val="20"/>
                <w:szCs w:val="20"/>
                <w:color w:val="auto"/>
              </w:rPr>
            </w:pPr>
            <w:r>
              <w:rPr>
                <w:rFonts w:ascii="Arial" w:cs="Arial" w:eastAsia="Arial" w:hAnsi="Arial"/>
                <w:sz w:val="14"/>
                <w:szCs w:val="14"/>
                <w:b w:val="1"/>
                <w:bCs w:val="1"/>
                <w:color w:val="auto"/>
              </w:rPr>
              <w:t>Year Ended December 31, 2008</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162"/>
              <w:spacing w:after="0"/>
              <w:rPr>
                <w:sz w:val="20"/>
                <w:szCs w:val="20"/>
                <w:color w:val="auto"/>
              </w:rPr>
            </w:pPr>
            <w:r>
              <w:rPr>
                <w:rFonts w:ascii="Arial" w:cs="Arial" w:eastAsia="Arial" w:hAnsi="Arial"/>
                <w:sz w:val="14"/>
                <w:szCs w:val="14"/>
                <w:b w:val="1"/>
                <w:bCs w:val="1"/>
                <w:color w:val="auto"/>
              </w:rPr>
              <w:t>Year Ended December 31, 2007</w:t>
            </w:r>
          </w:p>
        </w:tc>
      </w:tr>
      <w:tr>
        <w:trPr>
          <w:trHeight w:val="250"/>
        </w:trPr>
        <w:tc>
          <w:tcPr>
            <w:tcW w:w="3160" w:type="dxa"/>
            <w:vAlign w:val="bottom"/>
          </w:tcPr>
          <w:p>
            <w:pPr>
              <w:spacing w:after="0"/>
              <w:rPr>
                <w:sz w:val="21"/>
                <w:szCs w:val="21"/>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Bendix</w:t>
            </w:r>
          </w:p>
        </w:tc>
        <w:tc>
          <w:tcPr>
            <w:tcW w:w="26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1"/>
                <w:szCs w:val="21"/>
                <w:color w:val="auto"/>
              </w:rPr>
            </w:pPr>
          </w:p>
        </w:tc>
        <w:tc>
          <w:tcPr>
            <w:tcW w:w="6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Bendix</w:t>
            </w:r>
          </w:p>
        </w:tc>
        <w:tc>
          <w:tcPr>
            <w:tcW w:w="2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1"/>
                <w:szCs w:val="21"/>
                <w:color w:val="auto"/>
              </w:rPr>
            </w:pPr>
          </w:p>
        </w:tc>
        <w:tc>
          <w:tcPr>
            <w:tcW w:w="6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r>
      <w:tr>
        <w:trPr>
          <w:trHeight w:val="264"/>
        </w:trPr>
        <w:tc>
          <w:tcPr>
            <w:tcW w:w="3160" w:type="dxa"/>
            <w:vAlign w:val="bottom"/>
            <w:shd w:val="clear" w:color="auto" w:fill="E5FFFF"/>
          </w:tcPr>
          <w:p>
            <w:pPr>
              <w:ind w:left="20"/>
              <w:spacing w:after="0"/>
              <w:rPr>
                <w:sz w:val="20"/>
                <w:szCs w:val="20"/>
                <w:color w:val="auto"/>
              </w:rPr>
            </w:pPr>
            <w:r>
              <w:rPr>
                <w:rFonts w:ascii="Arial" w:cs="Arial" w:eastAsia="Arial" w:hAnsi="Arial"/>
                <w:sz w:val="16"/>
                <w:szCs w:val="16"/>
                <w:color w:val="auto"/>
              </w:rPr>
              <w:t>Beginning of year</w:t>
            </w:r>
          </w:p>
        </w:tc>
        <w:tc>
          <w:tcPr>
            <w:tcW w:w="620" w:type="dxa"/>
            <w:vAlign w:val="bottom"/>
            <w:shd w:val="clear" w:color="auto" w:fill="E5FFFF"/>
          </w:tcPr>
          <w:p>
            <w:pPr>
              <w:jc w:val="right"/>
              <w:ind w:right="63"/>
              <w:spacing w:after="0"/>
              <w:rPr>
                <w:sz w:val="20"/>
                <w:szCs w:val="20"/>
                <w:color w:val="auto"/>
              </w:rPr>
            </w:pPr>
            <w:r>
              <w:rPr>
                <w:rFonts w:ascii="Arial" w:cs="Arial" w:eastAsia="Arial" w:hAnsi="Arial"/>
                <w:sz w:val="16"/>
                <w:szCs w:val="16"/>
                <w:color w:val="auto"/>
              </w:rPr>
              <w:t>$ 156</w:t>
            </w:r>
          </w:p>
        </w:tc>
        <w:tc>
          <w:tcPr>
            <w:tcW w:w="880" w:type="dxa"/>
            <w:vAlign w:val="bottom"/>
            <w:gridSpan w:val="2"/>
            <w:shd w:val="clear" w:color="auto" w:fill="E5FFFF"/>
          </w:tcPr>
          <w:p>
            <w:pPr>
              <w:jc w:val="right"/>
              <w:ind w:right="43"/>
              <w:spacing w:after="0"/>
              <w:rPr>
                <w:sz w:val="20"/>
                <w:szCs w:val="20"/>
                <w:color w:val="auto"/>
              </w:rPr>
            </w:pPr>
            <w:r>
              <w:rPr>
                <w:rFonts w:ascii="Arial" w:cs="Arial" w:eastAsia="Arial" w:hAnsi="Arial"/>
                <w:sz w:val="16"/>
                <w:szCs w:val="16"/>
                <w:color w:val="auto"/>
              </w:rPr>
              <w:t>$ 877</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1,033</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197</w:t>
            </w:r>
          </w:p>
        </w:tc>
        <w:tc>
          <w:tcPr>
            <w:tcW w:w="900" w:type="dxa"/>
            <w:vAlign w:val="bottom"/>
            <w:gridSpan w:val="2"/>
            <w:shd w:val="clear" w:color="auto" w:fill="E5FFFF"/>
          </w:tcPr>
          <w:p>
            <w:pPr>
              <w:jc w:val="right"/>
              <w:ind w:right="63"/>
              <w:spacing w:after="0"/>
              <w:rPr>
                <w:sz w:val="20"/>
                <w:szCs w:val="20"/>
                <w:color w:val="auto"/>
              </w:rPr>
            </w:pPr>
            <w:r>
              <w:rPr>
                <w:rFonts w:ascii="Arial" w:cs="Arial" w:eastAsia="Arial" w:hAnsi="Arial"/>
                <w:sz w:val="16"/>
                <w:szCs w:val="16"/>
                <w:color w:val="auto"/>
              </w:rPr>
              <w:t>$ 939</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1,136</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302</w:t>
            </w:r>
          </w:p>
        </w:tc>
        <w:tc>
          <w:tcPr>
            <w:tcW w:w="900" w:type="dxa"/>
            <w:vAlign w:val="bottom"/>
            <w:gridSpan w:val="2"/>
            <w:shd w:val="clear" w:color="auto" w:fill="E5FFFF"/>
          </w:tcPr>
          <w:p>
            <w:pPr>
              <w:jc w:val="right"/>
              <w:ind w:right="63"/>
              <w:spacing w:after="0"/>
              <w:rPr>
                <w:sz w:val="20"/>
                <w:szCs w:val="20"/>
                <w:color w:val="auto"/>
              </w:rPr>
            </w:pPr>
            <w:r>
              <w:rPr>
                <w:rFonts w:ascii="Arial" w:cs="Arial" w:eastAsia="Arial" w:hAnsi="Arial"/>
                <w:sz w:val="16"/>
                <w:szCs w:val="16"/>
                <w:color w:val="auto"/>
              </w:rPr>
              <w:t>$ 955</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1,257</w:t>
            </w:r>
          </w:p>
        </w:tc>
      </w:tr>
      <w:tr>
        <w:trPr>
          <w:trHeight w:val="195"/>
        </w:trPr>
        <w:tc>
          <w:tcPr>
            <w:tcW w:w="3160" w:type="dxa"/>
            <w:vAlign w:val="bottom"/>
          </w:tcPr>
          <w:p>
            <w:pPr>
              <w:ind w:left="20"/>
              <w:spacing w:after="0"/>
              <w:rPr>
                <w:sz w:val="20"/>
                <w:szCs w:val="20"/>
                <w:color w:val="auto"/>
              </w:rPr>
            </w:pPr>
            <w:r>
              <w:rPr>
                <w:rFonts w:ascii="Arial" w:cs="Arial" w:eastAsia="Arial" w:hAnsi="Arial"/>
                <w:sz w:val="16"/>
                <w:szCs w:val="16"/>
                <w:color w:val="auto"/>
              </w:rPr>
              <w:t>Probable insurance recoveries related to</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76"/>
        </w:trPr>
        <w:tc>
          <w:tcPr>
            <w:tcW w:w="3160" w:type="dxa"/>
            <w:vAlign w:val="bottom"/>
          </w:tcPr>
          <w:p>
            <w:pPr>
              <w:ind w:left="160"/>
              <w:spacing w:after="0" w:line="176" w:lineRule="exact"/>
              <w:rPr>
                <w:sz w:val="20"/>
                <w:szCs w:val="20"/>
                <w:color w:val="auto"/>
              </w:rPr>
            </w:pPr>
            <w:r>
              <w:rPr>
                <w:rFonts w:ascii="Arial" w:cs="Arial" w:eastAsia="Arial" w:hAnsi="Arial"/>
                <w:sz w:val="16"/>
                <w:szCs w:val="16"/>
                <w:color w:val="auto"/>
              </w:rPr>
              <w:t>pending claims and change in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160" w:type="dxa"/>
            <w:vAlign w:val="bottom"/>
          </w:tcPr>
          <w:p>
            <w:pPr>
              <w:ind w:left="160"/>
              <w:spacing w:after="0"/>
              <w:rPr>
                <w:sz w:val="20"/>
                <w:szCs w:val="20"/>
                <w:color w:val="auto"/>
              </w:rPr>
            </w:pPr>
            <w:r>
              <w:rPr>
                <w:rFonts w:ascii="Arial" w:cs="Arial" w:eastAsia="Arial" w:hAnsi="Arial"/>
                <w:sz w:val="16"/>
                <w:szCs w:val="16"/>
                <w:color w:val="auto"/>
              </w:rPr>
              <w:t>estimated cost of future claims</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5"/>
                <w:szCs w:val="15"/>
                <w:color w:val="auto"/>
              </w:rPr>
            </w:pPr>
          </w:p>
        </w:tc>
        <w:tc>
          <w:tcPr>
            <w:tcW w:w="6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2</w:t>
            </w:r>
          </w:p>
        </w:tc>
      </w:tr>
      <w:tr>
        <w:trPr>
          <w:trHeight w:val="195"/>
        </w:trPr>
        <w:tc>
          <w:tcPr>
            <w:tcW w:w="3160" w:type="dxa"/>
            <w:vAlign w:val="bottom"/>
            <w:shd w:val="clear" w:color="auto" w:fill="E5FFFF"/>
          </w:tcPr>
          <w:p>
            <w:pPr>
              <w:ind w:left="20"/>
              <w:spacing w:after="0"/>
              <w:rPr>
                <w:sz w:val="20"/>
                <w:szCs w:val="20"/>
                <w:color w:val="auto"/>
              </w:rPr>
            </w:pPr>
            <w:r>
              <w:rPr>
                <w:rFonts w:ascii="Arial" w:cs="Arial" w:eastAsia="Arial" w:hAnsi="Arial"/>
                <w:sz w:val="16"/>
                <w:szCs w:val="16"/>
                <w:color w:val="auto"/>
              </w:rPr>
              <w:t>Insurance receipts for asbestos related</w:t>
            </w:r>
          </w:p>
        </w:tc>
        <w:tc>
          <w:tcPr>
            <w:tcW w:w="62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6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0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6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62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r>
      <w:tr>
        <w:trPr>
          <w:trHeight w:val="184"/>
        </w:trPr>
        <w:tc>
          <w:tcPr>
            <w:tcW w:w="31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liabilities</w:t>
            </w: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(8 )</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(8 )</w:t>
            </w:r>
          </w:p>
        </w:tc>
        <w:tc>
          <w:tcPr>
            <w:tcW w:w="28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(16 )</w:t>
            </w:r>
          </w:p>
        </w:tc>
        <w:tc>
          <w:tcPr>
            <w:tcW w:w="2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(116 )</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(62 )</w:t>
            </w:r>
          </w:p>
        </w:tc>
        <w:tc>
          <w:tcPr>
            <w:tcW w:w="2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(178 )</w:t>
            </w:r>
          </w:p>
        </w:tc>
        <w:tc>
          <w:tcPr>
            <w:tcW w:w="2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(107 )</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(16 )</w:t>
            </w:r>
          </w:p>
        </w:tc>
        <w:tc>
          <w:tcPr>
            <w:tcW w:w="2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(123 )</w:t>
            </w:r>
          </w:p>
        </w:tc>
      </w:tr>
      <w:tr>
        <w:trPr>
          <w:trHeight w:val="195"/>
        </w:trPr>
        <w:tc>
          <w:tcPr>
            <w:tcW w:w="3160" w:type="dxa"/>
            <w:vAlign w:val="bottom"/>
          </w:tcPr>
          <w:p>
            <w:pPr>
              <w:ind w:left="20"/>
              <w:spacing w:after="0"/>
              <w:rPr>
                <w:sz w:val="20"/>
                <w:szCs w:val="20"/>
                <w:color w:val="auto"/>
              </w:rPr>
            </w:pPr>
            <w:r>
              <w:rPr>
                <w:rFonts w:ascii="Arial" w:cs="Arial" w:eastAsia="Arial" w:hAnsi="Arial"/>
                <w:sz w:val="16"/>
                <w:szCs w:val="16"/>
                <w:color w:val="auto"/>
              </w:rPr>
              <w:t>Insurance receivables settlements and</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4"/>
        </w:trPr>
        <w:tc>
          <w:tcPr>
            <w:tcW w:w="3160" w:type="dxa"/>
            <w:vAlign w:val="bottom"/>
          </w:tcPr>
          <w:p>
            <w:pPr>
              <w:ind w:left="160"/>
              <w:spacing w:after="0"/>
              <w:rPr>
                <w:sz w:val="20"/>
                <w:szCs w:val="20"/>
                <w:color w:val="auto"/>
              </w:rPr>
            </w:pPr>
            <w:r>
              <w:rPr>
                <w:rFonts w:ascii="Arial" w:cs="Arial" w:eastAsia="Arial" w:hAnsi="Arial"/>
                <w:sz w:val="16"/>
                <w:szCs w:val="16"/>
                <w:color w:val="auto"/>
              </w:rPr>
              <w:t>write-offs</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(38 )</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w:t>
            </w:r>
          </w:p>
        </w:tc>
      </w:tr>
      <w:tr>
        <w:trPr>
          <w:trHeight w:val="270"/>
        </w:trPr>
        <w:tc>
          <w:tcPr>
            <w:tcW w:w="3160" w:type="dxa"/>
            <w:vAlign w:val="bottom"/>
            <w:shd w:val="clear" w:color="auto" w:fill="E5FFFF"/>
          </w:tcPr>
          <w:p>
            <w:pPr>
              <w:ind w:left="20"/>
              <w:spacing w:after="0"/>
              <w:rPr>
                <w:sz w:val="20"/>
                <w:szCs w:val="20"/>
                <w:color w:val="auto"/>
              </w:rPr>
            </w:pPr>
            <w:r>
              <w:rPr>
                <w:rFonts w:ascii="Arial" w:cs="Arial" w:eastAsia="Arial" w:hAnsi="Arial"/>
                <w:sz w:val="16"/>
                <w:szCs w:val="16"/>
                <w:color w:val="auto"/>
              </w:rPr>
              <w:t>Other</w:t>
            </w:r>
          </w:p>
        </w:tc>
        <w:tc>
          <w:tcPr>
            <w:tcW w:w="620" w:type="dxa"/>
            <w:vAlign w:val="bottom"/>
            <w:tcBorders>
              <w:bottom w:val="single" w:sz="8" w:color="auto"/>
            </w:tcBorders>
            <w:shd w:val="clear" w:color="auto" w:fill="E5FFFF"/>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(1 )</w:t>
            </w:r>
          </w:p>
        </w:tc>
        <w:tc>
          <w:tcPr>
            <w:tcW w:w="260" w:type="dxa"/>
            <w:vAlign w:val="bottom"/>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(1 )</w:t>
            </w:r>
          </w:p>
        </w:tc>
        <w:tc>
          <w:tcPr>
            <w:tcW w:w="26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00" w:type="dxa"/>
            <w:vAlign w:val="bottom"/>
            <w:tcBorders>
              <w:bottom w:val="single" w:sz="8" w:color="auto"/>
            </w:tcBorders>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62"/>
              <w:spacing w:after="0"/>
              <w:rPr>
                <w:sz w:val="20"/>
                <w:szCs w:val="20"/>
                <w:color w:val="auto"/>
              </w:rPr>
            </w:pPr>
            <w:r>
              <w:rPr>
                <w:rFonts w:ascii="Arial" w:cs="Arial" w:eastAsia="Arial" w:hAnsi="Arial"/>
                <w:sz w:val="16"/>
                <w:szCs w:val="16"/>
                <w:color w:val="auto"/>
              </w:rPr>
              <w:t>—</w:t>
            </w:r>
          </w:p>
        </w:tc>
      </w:tr>
      <w:tr>
        <w:trPr>
          <w:trHeight w:val="304"/>
        </w:trPr>
        <w:tc>
          <w:tcPr>
            <w:tcW w:w="3160" w:type="dxa"/>
            <w:vAlign w:val="bottom"/>
          </w:tcPr>
          <w:p>
            <w:pPr>
              <w:ind w:left="20"/>
              <w:spacing w:after="0"/>
              <w:rPr>
                <w:sz w:val="20"/>
                <w:szCs w:val="20"/>
                <w:color w:val="auto"/>
              </w:rPr>
            </w:pPr>
            <w:r>
              <w:rPr>
                <w:rFonts w:ascii="Arial" w:cs="Arial" w:eastAsia="Arial" w:hAnsi="Arial"/>
                <w:sz w:val="16"/>
                <w:szCs w:val="16"/>
                <w:color w:val="auto"/>
              </w:rPr>
              <w:t>End of year</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$ 172</w:t>
            </w:r>
          </w:p>
        </w:tc>
        <w:tc>
          <w:tcPr>
            <w:tcW w:w="880" w:type="dxa"/>
            <w:vAlign w:val="bottom"/>
            <w:gridSpan w:val="2"/>
          </w:tcPr>
          <w:p>
            <w:pPr>
              <w:jc w:val="right"/>
              <w:ind w:right="43"/>
              <w:spacing w:after="0"/>
              <w:rPr>
                <w:sz w:val="20"/>
                <w:szCs w:val="20"/>
                <w:color w:val="auto"/>
              </w:rPr>
            </w:pPr>
            <w:r>
              <w:rPr>
                <w:rFonts w:ascii="Arial" w:cs="Arial" w:eastAsia="Arial" w:hAnsi="Arial"/>
                <w:sz w:val="16"/>
                <w:szCs w:val="16"/>
                <w:color w:val="auto"/>
              </w:rPr>
              <w:t>$ 831</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1,003</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156</w:t>
            </w:r>
          </w:p>
        </w:tc>
        <w:tc>
          <w:tcPr>
            <w:tcW w:w="900" w:type="dxa"/>
            <w:vAlign w:val="bottom"/>
            <w:gridSpan w:val="2"/>
          </w:tcPr>
          <w:p>
            <w:pPr>
              <w:jc w:val="right"/>
              <w:ind w:right="63"/>
              <w:spacing w:after="0"/>
              <w:rPr>
                <w:sz w:val="20"/>
                <w:szCs w:val="20"/>
                <w:color w:val="auto"/>
              </w:rPr>
            </w:pPr>
            <w:r>
              <w:rPr>
                <w:rFonts w:ascii="Arial" w:cs="Arial" w:eastAsia="Arial" w:hAnsi="Arial"/>
                <w:sz w:val="16"/>
                <w:szCs w:val="16"/>
                <w:color w:val="auto"/>
              </w:rPr>
              <w:t>$ 877</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1,033</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197</w:t>
            </w:r>
          </w:p>
        </w:tc>
        <w:tc>
          <w:tcPr>
            <w:tcW w:w="900" w:type="dxa"/>
            <w:vAlign w:val="bottom"/>
            <w:gridSpan w:val="2"/>
          </w:tcPr>
          <w:p>
            <w:pPr>
              <w:jc w:val="right"/>
              <w:ind w:right="63"/>
              <w:spacing w:after="0"/>
              <w:rPr>
                <w:sz w:val="20"/>
                <w:szCs w:val="20"/>
                <w:color w:val="auto"/>
              </w:rPr>
            </w:pPr>
            <w:r>
              <w:rPr>
                <w:rFonts w:ascii="Arial" w:cs="Arial" w:eastAsia="Arial" w:hAnsi="Arial"/>
                <w:sz w:val="16"/>
                <w:szCs w:val="16"/>
                <w:color w:val="auto"/>
              </w:rPr>
              <w:t>$ 939</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1,136</w:t>
            </w:r>
          </w:p>
        </w:tc>
      </w:tr>
      <w:tr>
        <w:trPr>
          <w:trHeight w:val="20"/>
        </w:trPr>
        <w:tc>
          <w:tcPr>
            <w:tcW w:w="3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NARCO and Bendix asbestos related balances are included in the following balance sheet accounts:</w:t>
      </w:r>
    </w:p>
    <w:p>
      <w:pPr>
        <w:spacing w:after="0" w:line="321"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2008</w:t>
            </w:r>
          </w:p>
        </w:tc>
      </w:tr>
      <w:tr>
        <w:trPr>
          <w:trHeight w:val="264"/>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current assets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62</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r>
      <w:tr>
        <w:trPr>
          <w:trHeight w:val="270"/>
        </w:trPr>
        <w:tc>
          <w:tcPr>
            <w:tcW w:w="8400" w:type="dxa"/>
            <w:vAlign w:val="bottom"/>
          </w:tcPr>
          <w:p>
            <w:pPr>
              <w:ind w:left="20"/>
              <w:spacing w:after="0"/>
              <w:rPr>
                <w:sz w:val="20"/>
                <w:szCs w:val="20"/>
                <w:color w:val="auto"/>
              </w:rPr>
            </w:pPr>
            <w:r>
              <w:rPr>
                <w:rFonts w:ascii="Arial" w:cs="Arial" w:eastAsia="Arial" w:hAnsi="Arial"/>
                <w:sz w:val="19"/>
                <w:szCs w:val="19"/>
                <w:color w:val="auto"/>
              </w:rPr>
              <w:t>Insurance recoveries for asbestos related liabilities</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941</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1,029</w:t>
            </w:r>
          </w:p>
        </w:tc>
      </w:tr>
      <w:tr>
        <w:trPr>
          <w:trHeight w:val="34"/>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84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1,003</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1,033</w:t>
            </w: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91"/>
        </w:trPr>
        <w:tc>
          <w:tcPr>
            <w:tcW w:w="8400" w:type="dxa"/>
            <w:vAlign w:val="bottom"/>
          </w:tcPr>
          <w:p>
            <w:pPr>
              <w:ind w:left="20"/>
              <w:spacing w:after="0"/>
              <w:rPr>
                <w:sz w:val="20"/>
                <w:szCs w:val="20"/>
                <w:color w:val="auto"/>
              </w:rPr>
            </w:pPr>
            <w:r>
              <w:rPr>
                <w:rFonts w:ascii="Arial" w:cs="Arial" w:eastAsia="Arial" w:hAnsi="Arial"/>
                <w:sz w:val="19"/>
                <w:szCs w:val="19"/>
                <w:color w:val="auto"/>
              </w:rPr>
              <w:t>Accrued liabilities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8"/>
              <w:spacing w:after="0"/>
              <w:rPr>
                <w:sz w:val="20"/>
                <w:szCs w:val="20"/>
                <w:color w:val="auto"/>
              </w:rPr>
            </w:pPr>
            <w:r>
              <w:rPr>
                <w:rFonts w:ascii="Arial" w:cs="Arial" w:eastAsia="Arial" w:hAnsi="Arial"/>
                <w:sz w:val="19"/>
                <w:szCs w:val="19"/>
                <w:color w:val="auto"/>
              </w:rPr>
              <w:t>654</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171</w:t>
            </w:r>
          </w:p>
        </w:tc>
      </w:tr>
      <w:tr>
        <w:trPr>
          <w:trHeight w:val="270"/>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Asbestos related liabilities</w:t>
            </w: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1,040</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1,538</w:t>
            </w:r>
          </w:p>
        </w:tc>
      </w:tr>
      <w:tr>
        <w:trPr>
          <w:trHeight w:val="304"/>
        </w:trPr>
        <w:tc>
          <w:tcPr>
            <w:tcW w:w="8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8"/>
              <w:spacing w:after="0"/>
              <w:rPr>
                <w:sz w:val="20"/>
                <w:szCs w:val="20"/>
                <w:color w:val="auto"/>
              </w:rPr>
            </w:pPr>
            <w:r>
              <w:rPr>
                <w:rFonts w:ascii="Arial" w:cs="Arial" w:eastAsia="Arial" w:hAnsi="Arial"/>
                <w:sz w:val="19"/>
                <w:szCs w:val="19"/>
                <w:color w:val="auto"/>
              </w:rPr>
              <w:t>1,694</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1,709</w:t>
            </w:r>
          </w:p>
        </w:tc>
      </w:tr>
      <w:tr>
        <w:trPr>
          <w:trHeight w:val="20"/>
        </w:trPr>
        <w:tc>
          <w:tcPr>
            <w:tcW w:w="8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130"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67"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b w:val="1"/>
          <w:bCs w:val="1"/>
          <w:i w:val="1"/>
          <w:iCs w:val="1"/>
          <w:color w:val="auto"/>
        </w:rPr>
        <w:t>Allen, et al. v. Honeywell Retirement Earnings Plan</w:t>
      </w:r>
      <w:r>
        <w:rPr>
          <w:rFonts w:ascii="Arial" w:cs="Arial" w:eastAsia="Arial" w:hAnsi="Arial"/>
          <w:sz w:val="19"/>
          <w:szCs w:val="19"/>
          <w:color w:val="auto"/>
        </w:rPr>
        <w:t>—Pursuant to a settlement approved by the U.S. District Court for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District of Arizona in February 2008, 18 of 21 claims alleged by plaintiffs in this class action lawsuit were dismissed with prejudice in exchange for approximately $35 million and the maximum aggregate liability for the remaining three claims (alleging that Honeywell impermissibly reduced the pension benefits of certain employees of a predecessor entity when the plan was amended in 1983 and failed to calculate benefits in accordance with the terms of the plan) was capped at $500 million. Any amounts payable, including the settlement amount, have or will be paid from the Company’s pension plan. In October 2009, the Court granted summary judgment in favor of the Honeywell Retirement Earnings Plan with respect to the claim regarding the calculation of benefits. We continue to expect to prevail on the remaining claims in light of applicable law and our substantial affirmative defenses, which have not yet been considered fully by the Court. Accordingly, we do not believe that a liability is probable of occurrence and reasonably estimable with respect to these claims and we have not recorded a provision for the remaining claims in our financial statements.</w:t>
      </w:r>
    </w:p>
    <w:p>
      <w:pPr>
        <w:spacing w:after="0" w:line="66" w:lineRule="exact"/>
        <w:rPr>
          <w:sz w:val="20"/>
          <w:szCs w:val="20"/>
          <w:color w:val="auto"/>
        </w:rPr>
      </w:pPr>
    </w:p>
    <w:p>
      <w:pPr>
        <w:ind w:firstLine="357"/>
        <w:spacing w:after="0" w:line="243" w:lineRule="auto"/>
        <w:rPr>
          <w:sz w:val="20"/>
          <w:szCs w:val="20"/>
          <w:color w:val="auto"/>
        </w:rPr>
      </w:pPr>
      <w:r>
        <w:rPr>
          <w:rFonts w:ascii="Arial" w:cs="Arial" w:eastAsia="Arial" w:hAnsi="Arial"/>
          <w:sz w:val="19"/>
          <w:szCs w:val="19"/>
          <w:b w:val="1"/>
          <w:bCs w:val="1"/>
          <w:i w:val="1"/>
          <w:iCs w:val="1"/>
          <w:color w:val="auto"/>
        </w:rPr>
        <w:t>Quick Lube</w:t>
      </w:r>
      <w:r>
        <w:rPr>
          <w:rFonts w:ascii="Arial" w:cs="Arial" w:eastAsia="Arial" w:hAnsi="Arial"/>
          <w:sz w:val="19"/>
          <w:szCs w:val="19"/>
          <w:color w:val="auto"/>
        </w:rPr>
        <w:t>—On March 31, 2008, S&amp;E Quick Lube, a filter distributor, filed suit in U.S. District Court for the District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Connecticut alleging that twelve filter manufacturers, including Honeywell, engaged in a conspiracy to fix prices, rig bids and allocate U.S. customers for aftermarket automotive filters. This suit is a purported class action on behalf of direct purchasers of filters from the defendants. Parallel purported class actions, including on behalf of indirect purchasers of filters, have been filed by other plaintiffs in a variety of jurisdictions in the United States and Canada. The U.S cases have been consolidated into a single multi-district litigation in the Northern District of Illinois. We intend to vigorously defend the claims raised in these actions. The Antitrust Division of the Department of Justice notified Honeywell on January 21, 2010 that it has officially closed its investigation into possible collusion in the replacement auto filters industry.</w:t>
      </w:r>
    </w:p>
    <w:p>
      <w:pPr>
        <w:spacing w:after="0" w:line="77"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Given the uncertainty inherent in litigation and investigations (including the specific matters referenced above), we do not believe it is possible to develop estimates of reasonably possible loss in excess of current accruals for these matters. Considering our past experience and existing accruals,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ind w:right="300" w:firstLine="357"/>
        <w:spacing w:after="0" w:line="279" w:lineRule="auto"/>
        <w:rPr>
          <w:sz w:val="20"/>
          <w:szCs w:val="20"/>
          <w:color w:val="auto"/>
        </w:rPr>
      </w:pPr>
      <w:r>
        <w:rPr>
          <w:rFonts w:ascii="Arial" w:cs="Arial" w:eastAsia="Arial" w:hAnsi="Arial"/>
          <w:sz w:val="19"/>
          <w:szCs w:val="19"/>
          <w:b w:val="1"/>
          <w:bCs w:val="1"/>
          <w:i w:val="1"/>
          <w:iCs w:val="1"/>
          <w:color w:val="auto"/>
        </w:rPr>
        <w:t>Warranties and Guarantees</w:t>
      </w:r>
      <w:r>
        <w:rPr>
          <w:rFonts w:ascii="Arial" w:cs="Arial" w:eastAsia="Arial" w:hAnsi="Arial"/>
          <w:sz w:val="19"/>
          <w:szCs w:val="19"/>
          <w:color w:val="auto"/>
        </w:rPr>
        <w:t>—We have issued or are a party to the following direct and indirect guarantees at December 31,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2009:</w:t>
      </w:r>
    </w:p>
    <w:tbl>
      <w:tblPr>
        <w:tblLayout w:type="fixed"/>
        <w:tblInd w:w="500" w:type="dxa"/>
        <w:tblCellMar>
          <w:top w:w="0" w:type="dxa"/>
          <w:left w:w="0" w:type="dxa"/>
          <w:bottom w:w="0" w:type="dxa"/>
          <w:right w:w="0" w:type="dxa"/>
        </w:tblCellMar>
      </w:tblPr>
      <w:tr>
        <w:trPr>
          <w:trHeight w:val="177"/>
        </w:trPr>
        <w:tc>
          <w:tcPr>
            <w:tcW w:w="9480" w:type="dxa"/>
            <w:vAlign w:val="bottom"/>
          </w:tcPr>
          <w:p>
            <w:pPr>
              <w:spacing w:after="0"/>
              <w:rPr>
                <w:sz w:val="15"/>
                <w:szCs w:val="15"/>
                <w:color w:val="auto"/>
              </w:rPr>
            </w:pPr>
          </w:p>
        </w:tc>
        <w:tc>
          <w:tcPr>
            <w:tcW w:w="920" w:type="dxa"/>
            <w:vAlign w:val="bottom"/>
            <w:gridSpan w:val="2"/>
          </w:tcPr>
          <w:p>
            <w:pPr>
              <w:jc w:val="center"/>
              <w:spacing w:after="0" w:line="177" w:lineRule="exact"/>
              <w:rPr>
                <w:sz w:val="20"/>
                <w:szCs w:val="20"/>
                <w:color w:val="auto"/>
              </w:rPr>
            </w:pPr>
            <w:r>
              <w:rPr>
                <w:rFonts w:ascii="Arial" w:cs="Arial" w:eastAsia="Arial" w:hAnsi="Arial"/>
                <w:sz w:val="16"/>
                <w:szCs w:val="16"/>
                <w:b w:val="1"/>
                <w:bCs w:val="1"/>
                <w:color w:val="auto"/>
              </w:rPr>
              <w:t>Maximum</w:t>
            </w:r>
          </w:p>
        </w:tc>
      </w:tr>
      <w:tr>
        <w:trPr>
          <w:trHeight w:val="176"/>
        </w:trPr>
        <w:tc>
          <w:tcPr>
            <w:tcW w:w="948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Potential</w:t>
            </w:r>
          </w:p>
        </w:tc>
      </w:tr>
      <w:tr>
        <w:trPr>
          <w:trHeight w:val="176"/>
        </w:trPr>
        <w:tc>
          <w:tcPr>
            <w:tcW w:w="9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86"/>
              <w:spacing w:after="0" w:line="176" w:lineRule="exact"/>
              <w:rPr>
                <w:sz w:val="20"/>
                <w:szCs w:val="20"/>
                <w:color w:val="auto"/>
              </w:rPr>
            </w:pPr>
            <w:r>
              <w:rPr>
                <w:rFonts w:ascii="Arial" w:cs="Arial" w:eastAsia="Arial" w:hAnsi="Arial"/>
                <w:sz w:val="16"/>
                <w:szCs w:val="16"/>
                <w:b w:val="1"/>
                <w:bCs w:val="1"/>
                <w:color w:val="auto"/>
              </w:rPr>
              <w:t>Future</w:t>
            </w:r>
          </w:p>
        </w:tc>
      </w:tr>
      <w:tr>
        <w:trPr>
          <w:trHeight w:val="204"/>
        </w:trPr>
        <w:tc>
          <w:tcPr>
            <w:tcW w:w="948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Payments</w:t>
            </w:r>
          </w:p>
        </w:tc>
      </w:tr>
      <w:tr>
        <w:trPr>
          <w:trHeight w:val="264"/>
        </w:trPr>
        <w:tc>
          <w:tcPr>
            <w:tcW w:w="9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Operating lease residual values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35</w:t>
            </w:r>
          </w:p>
        </w:tc>
      </w:tr>
      <w:tr>
        <w:trPr>
          <w:trHeight w:val="270"/>
        </w:trPr>
        <w:tc>
          <w:tcPr>
            <w:tcW w:w="9480" w:type="dxa"/>
            <w:vAlign w:val="bottom"/>
          </w:tcPr>
          <w:p>
            <w:pPr>
              <w:ind w:left="20"/>
              <w:spacing w:after="0"/>
              <w:rPr>
                <w:sz w:val="20"/>
                <w:szCs w:val="20"/>
                <w:color w:val="auto"/>
              </w:rPr>
            </w:pPr>
            <w:r>
              <w:rPr>
                <w:rFonts w:ascii="Arial" w:cs="Arial" w:eastAsia="Arial" w:hAnsi="Arial"/>
                <w:sz w:val="19"/>
                <w:szCs w:val="19"/>
                <w:color w:val="auto"/>
              </w:rPr>
              <w:t>Other third parties’ financing</w:t>
            </w:r>
          </w:p>
        </w:tc>
        <w:tc>
          <w:tcPr>
            <w:tcW w:w="2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9"/>
                <w:szCs w:val="19"/>
                <w:color w:val="auto"/>
              </w:rPr>
              <w:t>4</w:t>
            </w:r>
          </w:p>
        </w:tc>
      </w:tr>
      <w:tr>
        <w:trPr>
          <w:trHeight w:val="270"/>
        </w:trPr>
        <w:tc>
          <w:tcPr>
            <w:tcW w:w="9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Unconsolidated affiliates’ financing</w:t>
            </w:r>
          </w:p>
        </w:tc>
        <w:tc>
          <w:tcPr>
            <w:tcW w:w="2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30</w:t>
            </w:r>
          </w:p>
        </w:tc>
      </w:tr>
      <w:tr>
        <w:trPr>
          <w:trHeight w:val="270"/>
        </w:trPr>
        <w:tc>
          <w:tcPr>
            <w:tcW w:w="9480" w:type="dxa"/>
            <w:vAlign w:val="bottom"/>
          </w:tcPr>
          <w:p>
            <w:pPr>
              <w:ind w:left="20"/>
              <w:spacing w:after="0"/>
              <w:rPr>
                <w:sz w:val="20"/>
                <w:szCs w:val="20"/>
                <w:color w:val="auto"/>
              </w:rPr>
            </w:pPr>
            <w:r>
              <w:rPr>
                <w:rFonts w:ascii="Arial" w:cs="Arial" w:eastAsia="Arial" w:hAnsi="Arial"/>
                <w:sz w:val="19"/>
                <w:szCs w:val="19"/>
                <w:color w:val="auto"/>
              </w:rPr>
              <w:t>Customer financing</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16</w:t>
            </w:r>
          </w:p>
        </w:tc>
      </w:tr>
      <w:tr>
        <w:trPr>
          <w:trHeight w:val="34"/>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4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85</w:t>
            </w: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We do not expect that these guarantees will have a material adverse effect on our consolidated results of operations, financial position or liquidity.</w:t>
      </w:r>
    </w:p>
    <w:p>
      <w:pPr>
        <w:spacing w:after="0" w:line="80" w:lineRule="exact"/>
        <w:rPr>
          <w:sz w:val="20"/>
          <w:szCs w:val="20"/>
          <w:color w:val="auto"/>
        </w:rPr>
      </w:pPr>
    </w:p>
    <w:p>
      <w:pPr>
        <w:ind w:right="180" w:firstLine="357"/>
        <w:spacing w:after="0" w:line="245" w:lineRule="auto"/>
        <w:rPr>
          <w:sz w:val="20"/>
          <w:szCs w:val="20"/>
          <w:color w:val="auto"/>
        </w:rPr>
      </w:pPr>
      <w:r>
        <w:rPr>
          <w:rFonts w:ascii="Arial" w:cs="Arial" w:eastAsia="Arial" w:hAnsi="Arial"/>
          <w:sz w:val="19"/>
          <w:szCs w:val="19"/>
          <w:color w:val="auto"/>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spacing w:after="0" w:line="87"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in the obligations become reasonably estimable. The following table summarizes information concerning our recorded obligations for product warranties and product performance guarantees:</w:t>
      </w:r>
    </w:p>
    <w:p>
      <w:pPr>
        <w:spacing w:after="0" w:line="90"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7"/>
          </w:tcPr>
          <w:p>
            <w:pPr>
              <w:jc w:val="right"/>
              <w:ind w:right="386"/>
              <w:spacing w:after="0"/>
              <w:rPr>
                <w:sz w:val="20"/>
                <w:szCs w:val="20"/>
                <w:color w:val="auto"/>
              </w:rPr>
            </w:pPr>
            <w:r>
              <w:rPr>
                <w:rFonts w:ascii="Arial" w:cs="Arial" w:eastAsia="Arial" w:hAnsi="Arial"/>
                <w:sz w:val="16"/>
                <w:szCs w:val="16"/>
                <w:b w:val="1"/>
                <w:bCs w:val="1"/>
                <w:color w:val="auto"/>
              </w:rPr>
              <w:t>Years Ended December 31,</w:t>
            </w:r>
          </w:p>
        </w:tc>
      </w:tr>
      <w:tr>
        <w:trPr>
          <w:trHeight w:val="250"/>
        </w:trPr>
        <w:tc>
          <w:tcPr>
            <w:tcW w:w="7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2007</w:t>
            </w:r>
          </w:p>
        </w:tc>
      </w:tr>
      <w:tr>
        <w:trPr>
          <w:trHeight w:val="264"/>
        </w:trPr>
        <w:tc>
          <w:tcPr>
            <w:tcW w:w="7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Beginning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417</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396</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363</w:t>
            </w:r>
          </w:p>
        </w:tc>
      </w:tr>
      <w:tr>
        <w:trPr>
          <w:trHeight w:val="270"/>
        </w:trPr>
        <w:tc>
          <w:tcPr>
            <w:tcW w:w="7420" w:type="dxa"/>
            <w:vAlign w:val="bottom"/>
          </w:tcPr>
          <w:p>
            <w:pPr>
              <w:ind w:left="20"/>
              <w:spacing w:after="0"/>
              <w:rPr>
                <w:sz w:val="20"/>
                <w:szCs w:val="20"/>
                <w:color w:val="auto"/>
              </w:rPr>
            </w:pPr>
            <w:r>
              <w:rPr>
                <w:rFonts w:ascii="Arial" w:cs="Arial" w:eastAsia="Arial" w:hAnsi="Arial"/>
                <w:sz w:val="19"/>
                <w:szCs w:val="19"/>
                <w:color w:val="auto"/>
              </w:rPr>
              <w:t>Accruals for warranties/guarantees issued during the year</w:t>
            </w:r>
          </w:p>
        </w:tc>
        <w:tc>
          <w:tcPr>
            <w:tcW w:w="20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Arial" w:cs="Arial" w:eastAsia="Arial" w:hAnsi="Arial"/>
                <w:sz w:val="19"/>
                <w:szCs w:val="19"/>
                <w:color w:val="auto"/>
              </w:rPr>
              <w:t>188</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242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9"/>
                <w:szCs w:val="19"/>
                <w:color w:val="auto"/>
              </w:rPr>
              <w:t>233</w:t>
            </w:r>
          </w:p>
        </w:tc>
      </w:tr>
      <w:tr>
        <w:trPr>
          <w:trHeight w:val="270"/>
        </w:trPr>
        <w:tc>
          <w:tcPr>
            <w:tcW w:w="7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Adjustment of pre-existing warranties/guarantees</w:t>
            </w: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3</w:t>
            </w:r>
          </w:p>
        </w:tc>
      </w:tr>
      <w:tr>
        <w:trPr>
          <w:trHeight w:val="270"/>
        </w:trPr>
        <w:tc>
          <w:tcPr>
            <w:tcW w:w="7420" w:type="dxa"/>
            <w:vAlign w:val="bottom"/>
          </w:tcPr>
          <w:p>
            <w:pPr>
              <w:ind w:left="20"/>
              <w:spacing w:after="0"/>
              <w:rPr>
                <w:sz w:val="20"/>
                <w:szCs w:val="20"/>
                <w:color w:val="auto"/>
              </w:rPr>
            </w:pPr>
            <w:r>
              <w:rPr>
                <w:rFonts w:ascii="Arial" w:cs="Arial" w:eastAsia="Arial" w:hAnsi="Arial"/>
                <w:sz w:val="19"/>
                <w:szCs w:val="19"/>
                <w:color w:val="auto"/>
              </w:rPr>
              <w:t>Settlement of warranty/guarantee claims</w:t>
            </w: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(191 )</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(187 )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(203 )</w:t>
            </w:r>
          </w:p>
        </w:tc>
      </w:tr>
      <w:tr>
        <w:trPr>
          <w:trHeight w:val="34"/>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End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407</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417</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396</w:t>
            </w:r>
          </w:p>
        </w:tc>
      </w:tr>
      <w:tr>
        <w:trPr>
          <w:trHeight w:val="20"/>
        </w:trPr>
        <w:tc>
          <w:tcPr>
            <w:tcW w:w="7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Product warranties and product performance guarantees are included in the following balance sheet accounts:</w:t>
      </w:r>
    </w:p>
    <w:p>
      <w:pPr>
        <w:spacing w:after="0" w:line="10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740" w:type="dxa"/>
            <w:vAlign w:val="bottom"/>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w w:val="95"/>
              </w:rPr>
              <w:t>2008</w:t>
            </w:r>
          </w:p>
        </w:tc>
      </w:tr>
      <w:tr>
        <w:trPr>
          <w:trHeight w:val="264"/>
        </w:trPr>
        <w:tc>
          <w:tcPr>
            <w:tcW w:w="8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Accrued liabilities</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$ 382</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385</w:t>
            </w:r>
          </w:p>
        </w:tc>
      </w:tr>
      <w:tr>
        <w:trPr>
          <w:trHeight w:val="270"/>
        </w:trPr>
        <w:tc>
          <w:tcPr>
            <w:tcW w:w="8740" w:type="dxa"/>
            <w:vAlign w:val="bottom"/>
          </w:tcPr>
          <w:p>
            <w:pPr>
              <w:ind w:left="20"/>
              <w:spacing w:after="0"/>
              <w:rPr>
                <w:sz w:val="20"/>
                <w:szCs w:val="20"/>
                <w:color w:val="auto"/>
              </w:rPr>
            </w:pPr>
            <w:r>
              <w:rPr>
                <w:rFonts w:ascii="Arial" w:cs="Arial" w:eastAsia="Arial" w:hAnsi="Arial"/>
                <w:sz w:val="19"/>
                <w:szCs w:val="19"/>
                <w:color w:val="auto"/>
              </w:rPr>
              <w:t>Other liabilities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32</w:t>
            </w:r>
          </w:p>
        </w:tc>
      </w:tr>
      <w:tr>
        <w:trPr>
          <w:trHeight w:val="34"/>
        </w:trPr>
        <w:tc>
          <w:tcPr>
            <w:tcW w:w="8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74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$ 407</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417</w:t>
            </w:r>
          </w:p>
        </w:tc>
      </w:tr>
      <w:tr>
        <w:trPr>
          <w:trHeight w:val="20"/>
        </w:trPr>
        <w:tc>
          <w:tcPr>
            <w:tcW w:w="8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22—Pension and Other Postretirement Benefits</w:t>
      </w:r>
    </w:p>
    <w:p>
      <w:pPr>
        <w:spacing w:after="0" w:line="130" w:lineRule="exact"/>
        <w:rPr>
          <w:sz w:val="20"/>
          <w:szCs w:val="20"/>
          <w:color w:val="auto"/>
        </w:rPr>
      </w:pPr>
    </w:p>
    <w:p>
      <w:pPr>
        <w:ind w:right="100" w:firstLine="357"/>
        <w:spacing w:after="0" w:line="253" w:lineRule="auto"/>
        <w:rPr>
          <w:sz w:val="20"/>
          <w:szCs w:val="20"/>
          <w:color w:val="auto"/>
        </w:rPr>
      </w:pPr>
      <w:r>
        <w:rPr>
          <w:rFonts w:ascii="Arial" w:cs="Arial" w:eastAsia="Arial" w:hAnsi="Arial"/>
          <w:sz w:val="19"/>
          <w:szCs w:val="19"/>
          <w:color w:val="auto"/>
        </w:rPr>
        <w:t>We sponsor both funded and unfunded U.S. and non-U.S. defined benefit pension plans covering the majority of our employees and retirees. Pension benefits for substantially all U.S. employees are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40"/>
        <w:spacing w:after="0" w:line="242" w:lineRule="auto"/>
        <w:rPr>
          <w:sz w:val="20"/>
          <w:szCs w:val="20"/>
          <w:color w:val="auto"/>
        </w:rPr>
      </w:pPr>
      <w:r>
        <w:rPr>
          <w:rFonts w:ascii="Arial" w:cs="Arial" w:eastAsia="Arial" w:hAnsi="Arial"/>
          <w:sz w:val="19"/>
          <w:szCs w:val="19"/>
          <w:color w:val="auto"/>
        </w:rPr>
        <w:t>provided through non-contributory, qualified and non-qualified defined benefit pension plans. U.S. defined benefit pension plans comprise 76 percent of our projected benefit obligation. Non-U.S. employees, who are not U.S. citizens, are covered by various retirement benefit arrangements, some of which are considered to be defined benefit pension plans for accounting purposes. Non-U.S. defined benefit pension plans comprise 24 percent of our projected benefit obligation.</w:t>
      </w:r>
    </w:p>
    <w:p>
      <w:pPr>
        <w:spacing w:after="0" w:line="199"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We also sponsor postretirement benefit plans that provide health care benefits and life insurance coverage to eligible retirees. Our retiree medical plans mainly cover U.S. employees who retire with pension eligibility for hospital, professional and other medical services. All non-union hourly and salaried employees joining Honeywell after January 1, 2000 are not eligible to participate in our retiree medical and life insurance plans. Most of the U.S. retiree medical plans require deductibles and copayments, and virtually all are integrated with Medicare. Retiree contributions are generally required based on coverage type, plan and Medicare eligibility. Honeywell has limited its subsidy of its retiree medical plans to a fixed-dollar amount for all future retirees and for more than half of its current retirees. This cap of retiree medical benefits under our plans limits our exposure to the impact of future health care cost increases. The retiree medical and life insurance plans are not funded. Claims and expenses are paid from our operating cash flow.</w:t>
      </w:r>
    </w:p>
    <w:p>
      <w:pPr>
        <w:spacing w:after="0" w:line="96"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On May 1, 2009, Honeywell amended the U.S. retiree medical plan eliminating the subsidy for non-union employees who retire after September 1, 2009. Employees already retired or who retired on or before September 1, 2009 were not affected by this change. This plan amendment reduced the accumulated postretirement benefit obligation by $180 million representing the elimination of benefits attributable to years of service already rendered by active non-union employees who are not eligible to retire and those eligible non-union employees who are assumed not to retire prior to September 1, 2009. This reduction in the accumulated postretirement benefit obligation will be recognized as part of net periodic postretirement benefit cost over the average future service period to full eligibility of the remaining active union employees still eligible for a retiree medical subsidy. This plan amendment also resulted in a curtailment gain of $98 million in the second quarter of 2009 which was included as part of net periodic postretirement benefit cost. The curtailment gain represents the recognition of previously unrecognized prior service credits attributable to the future years of service of the employee group for which future accrual of benefits has been eliminated.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60" w:firstLine="357"/>
        <w:spacing w:after="0" w:line="253" w:lineRule="auto"/>
        <w:rPr>
          <w:sz w:val="20"/>
          <w:szCs w:val="20"/>
          <w:color w:val="auto"/>
        </w:rPr>
      </w:pPr>
      <w:r>
        <w:rPr>
          <w:rFonts w:ascii="Arial" w:cs="Arial" w:eastAsia="Arial" w:hAnsi="Arial"/>
          <w:sz w:val="19"/>
          <w:szCs w:val="19"/>
          <w:color w:val="auto"/>
        </w:rPr>
        <w:t>The following tables summarize the balance sheet impact, including the benefit obligations, assets and funded status associated with our significant pension and other postretirement benefit plans at December 31, 2009 and 2008.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8"/>
              </w:rPr>
              <w:t>Other</w:t>
            </w:r>
          </w:p>
        </w:tc>
        <w:tc>
          <w:tcPr>
            <w:tcW w:w="760" w:type="dxa"/>
            <w:vAlign w:val="bottom"/>
          </w:tcPr>
          <w:p>
            <w:pPr>
              <w:spacing w:after="0"/>
              <w:rPr>
                <w:sz w:val="16"/>
                <w:szCs w:val="16"/>
                <w:color w:val="auto"/>
              </w:rPr>
            </w:pPr>
          </w:p>
        </w:tc>
      </w:tr>
      <w:tr>
        <w:trPr>
          <w:trHeight w:val="176"/>
        </w:trPr>
        <w:tc>
          <w:tcPr>
            <w:tcW w:w="9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center"/>
              <w:ind w:right="104"/>
              <w:spacing w:after="0" w:line="176" w:lineRule="exact"/>
              <w:rPr>
                <w:sz w:val="20"/>
                <w:szCs w:val="20"/>
                <w:color w:val="auto"/>
              </w:rPr>
            </w:pPr>
            <w:r>
              <w:rPr>
                <w:rFonts w:ascii="Arial" w:cs="Arial" w:eastAsia="Arial" w:hAnsi="Arial"/>
                <w:sz w:val="16"/>
                <w:szCs w:val="16"/>
                <w:b w:val="1"/>
                <w:bCs w:val="1"/>
                <w:color w:val="auto"/>
                <w:w w:val="99"/>
              </w:rPr>
              <w:t>Postretirement</w:t>
            </w:r>
          </w:p>
        </w:tc>
      </w:tr>
      <w:tr>
        <w:trPr>
          <w:trHeight w:val="204"/>
        </w:trPr>
        <w:tc>
          <w:tcPr>
            <w:tcW w:w="9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center"/>
              <w:ind w:left="445"/>
              <w:spacing w:after="0"/>
              <w:rPr>
                <w:sz w:val="20"/>
                <w:szCs w:val="20"/>
                <w:color w:val="auto"/>
              </w:rPr>
            </w:pPr>
            <w:r>
              <w:rPr>
                <w:rFonts w:ascii="Arial" w:cs="Arial" w:eastAsia="Arial" w:hAnsi="Arial"/>
                <w:sz w:val="16"/>
                <w:szCs w:val="16"/>
                <w:b w:val="1"/>
                <w:bCs w:val="1"/>
                <w:color w:val="auto"/>
                <w:w w:val="98"/>
              </w:rPr>
              <w:t>Benefits</w:t>
            </w:r>
          </w:p>
        </w:tc>
        <w:tc>
          <w:tcPr>
            <w:tcW w:w="760" w:type="dxa"/>
            <w:vAlign w:val="bottom"/>
            <w:tcBorders>
              <w:bottom w:val="single" w:sz="8" w:color="auto"/>
            </w:tcBorders>
          </w:tcPr>
          <w:p>
            <w:pPr>
              <w:spacing w:after="0"/>
              <w:rPr>
                <w:sz w:val="17"/>
                <w:szCs w:val="17"/>
                <w:color w:val="auto"/>
              </w:rPr>
            </w:pPr>
          </w:p>
        </w:tc>
      </w:tr>
      <w:tr>
        <w:trPr>
          <w:trHeight w:val="250"/>
        </w:trPr>
        <w:tc>
          <w:tcPr>
            <w:tcW w:w="90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2009</w:t>
            </w:r>
          </w:p>
        </w:tc>
        <w:tc>
          <w:tcPr>
            <w:tcW w:w="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2008</w:t>
            </w:r>
          </w:p>
        </w:tc>
      </w:tr>
      <w:tr>
        <w:trPr>
          <w:trHeight w:val="237"/>
        </w:trPr>
        <w:tc>
          <w:tcPr>
            <w:tcW w:w="65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Change in benefit obligation:</w:t>
            </w: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rPr>
                <w:sz w:val="20"/>
                <w:szCs w:val="20"/>
                <w:color w:val="auto"/>
              </w:rPr>
            </w:pP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Benefit obligation at beginning of year</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15,046</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16,770</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5"/>
              <w:spacing w:after="0"/>
              <w:rPr>
                <w:sz w:val="20"/>
                <w:szCs w:val="20"/>
                <w:color w:val="auto"/>
              </w:rPr>
            </w:pPr>
            <w:r>
              <w:rPr>
                <w:rFonts w:ascii="Arial" w:cs="Arial" w:eastAsia="Arial" w:hAnsi="Arial"/>
                <w:sz w:val="19"/>
                <w:szCs w:val="19"/>
                <w:color w:val="auto"/>
              </w:rPr>
              <w:t>1,960</w:t>
            </w: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64"/>
              <w:spacing w:after="0"/>
              <w:rPr>
                <w:sz w:val="20"/>
                <w:szCs w:val="20"/>
                <w:color w:val="auto"/>
              </w:rPr>
            </w:pPr>
            <w:r>
              <w:rPr>
                <w:rFonts w:ascii="Arial" w:cs="Arial" w:eastAsia="Arial" w:hAnsi="Arial"/>
                <w:sz w:val="19"/>
                <w:szCs w:val="19"/>
                <w:color w:val="auto"/>
              </w:rPr>
              <w:t>2,192</w:t>
            </w: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Service cost</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224</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255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6</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13</w:t>
            </w: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Interest cost</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993</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1,009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5"/>
              <w:spacing w:after="0"/>
              <w:rPr>
                <w:sz w:val="20"/>
                <w:szCs w:val="20"/>
                <w:color w:val="auto"/>
              </w:rPr>
            </w:pPr>
            <w:r>
              <w:rPr>
                <w:rFonts w:ascii="Arial" w:cs="Arial" w:eastAsia="Arial" w:hAnsi="Arial"/>
                <w:sz w:val="19"/>
                <w:szCs w:val="19"/>
                <w:color w:val="auto"/>
              </w:rPr>
              <w:t>104</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64"/>
              <w:spacing w:after="0"/>
              <w:rPr>
                <w:sz w:val="20"/>
                <w:szCs w:val="20"/>
                <w:color w:val="auto"/>
              </w:rPr>
            </w:pPr>
            <w:r>
              <w:rPr>
                <w:rFonts w:ascii="Arial" w:cs="Arial" w:eastAsia="Arial" w:hAnsi="Arial"/>
                <w:sz w:val="19"/>
                <w:szCs w:val="19"/>
                <w:color w:val="auto"/>
              </w:rPr>
              <w:t>122</w:t>
            </w: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Plan amendments</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(180 )</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(67 )</w:t>
            </w: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Actuarial (gains) losses</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2,495</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(1,186 )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5"/>
              <w:spacing w:after="0"/>
              <w:rPr>
                <w:sz w:val="20"/>
                <w:szCs w:val="20"/>
                <w:color w:val="auto"/>
              </w:rPr>
            </w:pPr>
            <w:r>
              <w:rPr>
                <w:rFonts w:ascii="Arial" w:cs="Arial" w:eastAsia="Arial" w:hAnsi="Arial"/>
                <w:sz w:val="19"/>
                <w:szCs w:val="19"/>
                <w:color w:val="auto"/>
              </w:rPr>
              <w:t>47</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(131 )</w:t>
            </w: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Acquisitions</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67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w:t>
            </w: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Benefits paid</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(1,111 )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(1,140 )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(189 )</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(172 )</w:t>
            </w: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Settlements and curtailments</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242</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(756 )</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r>
      <w:tr>
        <w:trPr>
          <w:trHeight w:val="34"/>
        </w:trPr>
        <w:tc>
          <w:tcPr>
            <w:tcW w:w="9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Benefit obligation at end of year</w:t>
            </w:r>
          </w:p>
        </w:tc>
        <w:tc>
          <w:tcPr>
            <w:tcW w:w="20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17,886</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15,046</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1,748</w:t>
            </w:r>
          </w:p>
        </w:tc>
        <w:tc>
          <w:tcPr>
            <w:tcW w:w="40" w:type="dxa"/>
            <w:vAlign w:val="bottom"/>
            <w:tcBorders>
              <w:bottom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1,960</w:t>
            </w:r>
          </w:p>
        </w:tc>
      </w:tr>
      <w:tr>
        <w:trPr>
          <w:trHeight w:val="277"/>
        </w:trPr>
        <w:tc>
          <w:tcPr>
            <w:tcW w:w="6580" w:type="dxa"/>
            <w:vAlign w:val="bottom"/>
            <w:gridSpan w:val="2"/>
          </w:tcPr>
          <w:p>
            <w:pPr>
              <w:ind w:left="20"/>
              <w:spacing w:after="0"/>
              <w:rPr>
                <w:sz w:val="20"/>
                <w:szCs w:val="20"/>
                <w:color w:val="auto"/>
              </w:rPr>
            </w:pPr>
            <w:r>
              <w:rPr>
                <w:rFonts w:ascii="Arial" w:cs="Arial" w:eastAsia="Arial" w:hAnsi="Arial"/>
                <w:sz w:val="19"/>
                <w:szCs w:val="19"/>
                <w:color w:val="auto"/>
              </w:rPr>
              <w:t>Change in plan assets: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Fair value of plan assets at beginning of year</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11,520</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17,194</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Actual return on plan assets</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2,111</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(4,290 )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Company contributions</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1,059</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387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Acquisitions</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53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Benefits paid</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(1,111 )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(1,140 )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186</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(684 )</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r>
      <w:tr>
        <w:trPr>
          <w:trHeight w:val="34"/>
        </w:trPr>
        <w:tc>
          <w:tcPr>
            <w:tcW w:w="9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Fair value of plan assets at end of year</w:t>
            </w:r>
          </w:p>
        </w:tc>
        <w:tc>
          <w:tcPr>
            <w:tcW w:w="20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13,765</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11,520</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304"/>
        </w:trPr>
        <w:tc>
          <w:tcPr>
            <w:tcW w:w="6580" w:type="dxa"/>
            <w:vAlign w:val="bottom"/>
            <w:gridSpan w:val="2"/>
          </w:tcPr>
          <w:p>
            <w:pPr>
              <w:ind w:left="20"/>
              <w:spacing w:after="0"/>
              <w:rPr>
                <w:sz w:val="20"/>
                <w:szCs w:val="20"/>
                <w:color w:val="auto"/>
              </w:rPr>
            </w:pPr>
            <w:r>
              <w:rPr>
                <w:rFonts w:ascii="Arial" w:cs="Arial" w:eastAsia="Arial" w:hAnsi="Arial"/>
                <w:sz w:val="19"/>
                <w:szCs w:val="19"/>
                <w:color w:val="auto"/>
              </w:rPr>
              <w:t>Funded status of plans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(4,121 )</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(3,526 )</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(1,748 )</w:t>
            </w: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(1,960 )</w:t>
            </w:r>
          </w:p>
        </w:tc>
      </w:tr>
      <w:tr>
        <w:trPr>
          <w:trHeight w:val="20"/>
        </w:trPr>
        <w:tc>
          <w:tcPr>
            <w:tcW w:w="9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9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3"/>
        </w:trPr>
        <w:tc>
          <w:tcPr>
            <w:tcW w:w="65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Amounts recognized in Consolidated Balance Sheet consist of:</w:t>
            </w: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Prepaid pension benefit cost(1)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58</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62</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Accrued liabilities</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(197 )</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(197 )</w:t>
            </w:r>
          </w:p>
        </w:tc>
      </w:tr>
      <w:tr>
        <w:trPr>
          <w:trHeight w:val="270"/>
        </w:trPr>
        <w:tc>
          <w:tcPr>
            <w:tcW w:w="6580" w:type="dxa"/>
            <w:vAlign w:val="bottom"/>
            <w:gridSpan w:val="2"/>
          </w:tcPr>
          <w:p>
            <w:pPr>
              <w:ind w:left="380"/>
              <w:spacing w:after="0"/>
              <w:rPr>
                <w:sz w:val="20"/>
                <w:szCs w:val="20"/>
                <w:color w:val="auto"/>
              </w:rPr>
            </w:pPr>
            <w:r>
              <w:rPr>
                <w:rFonts w:ascii="Arial" w:cs="Arial" w:eastAsia="Arial" w:hAnsi="Arial"/>
                <w:sz w:val="19"/>
                <w:szCs w:val="19"/>
                <w:color w:val="auto"/>
              </w:rPr>
              <w:t>Postretirement benefit obligations other than pensions(2)</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(1,551 )</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(1,763 )</w:t>
            </w:r>
          </w:p>
        </w:tc>
      </w:tr>
      <w:tr>
        <w:trPr>
          <w:trHeight w:val="270"/>
        </w:trPr>
        <w:tc>
          <w:tcPr>
            <w:tcW w:w="65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Accrued pension liability(3)</w:t>
            </w:r>
          </w:p>
        </w:tc>
        <w:tc>
          <w:tcPr>
            <w:tcW w:w="20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(4,179 )</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(3,588 )</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304"/>
        </w:trPr>
        <w:tc>
          <w:tcPr>
            <w:tcW w:w="6580" w:type="dxa"/>
            <w:vAlign w:val="bottom"/>
            <w:gridSpan w:val="2"/>
          </w:tcPr>
          <w:p>
            <w:pPr>
              <w:ind w:left="20"/>
              <w:spacing w:after="0"/>
              <w:rPr>
                <w:sz w:val="20"/>
                <w:szCs w:val="20"/>
                <w:color w:val="auto"/>
              </w:rPr>
            </w:pPr>
            <w:r>
              <w:rPr>
                <w:rFonts w:ascii="Arial" w:cs="Arial" w:eastAsia="Arial" w:hAnsi="Arial"/>
                <w:sz w:val="19"/>
                <w:szCs w:val="19"/>
                <w:color w:val="auto"/>
              </w:rPr>
              <w:t>Net amount recognized</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(4,121 )</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(3,526 )</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(1,748 )</w:t>
            </w: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(1,960 )</w:t>
            </w:r>
          </w:p>
        </w:tc>
      </w:tr>
      <w:tr>
        <w:trPr>
          <w:trHeight w:val="20"/>
        </w:trPr>
        <w:tc>
          <w:tcPr>
            <w:tcW w:w="9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90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hanging="332"/>
        <w:spacing w:after="0"/>
        <w:tabs>
          <w:tab w:leader="none" w:pos="4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Included in Other Assets on Consolidated Balance Sheet</w:t>
      </w:r>
    </w:p>
    <w:p>
      <w:pPr>
        <w:spacing w:after="0" w:line="119" w:lineRule="exact"/>
        <w:rPr>
          <w:rFonts w:ascii="Arial" w:cs="Arial" w:eastAsia="Arial" w:hAnsi="Arial"/>
          <w:sz w:val="19"/>
          <w:szCs w:val="19"/>
          <w:color w:val="auto"/>
        </w:rPr>
      </w:pPr>
    </w:p>
    <w:p>
      <w:pPr>
        <w:ind w:left="400" w:hanging="332"/>
        <w:spacing w:after="0"/>
        <w:tabs>
          <w:tab w:leader="none" w:pos="4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Excludes Non-U.S. plans of $43 and $36 million in 2009 and 2008, respectively.</w:t>
      </w:r>
    </w:p>
    <w:p>
      <w:pPr>
        <w:spacing w:after="0" w:line="119" w:lineRule="exact"/>
        <w:rPr>
          <w:rFonts w:ascii="Arial" w:cs="Arial" w:eastAsia="Arial" w:hAnsi="Arial"/>
          <w:sz w:val="19"/>
          <w:szCs w:val="19"/>
          <w:color w:val="auto"/>
        </w:rPr>
      </w:pPr>
    </w:p>
    <w:p>
      <w:pPr>
        <w:ind w:left="400" w:hanging="332"/>
        <w:spacing w:after="0"/>
        <w:tabs>
          <w:tab w:leader="none" w:pos="4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Included in Other Liabilities—Non-Current on Consolidated Balance Sheet.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420" w:firstLine="357"/>
        <w:spacing w:after="0" w:line="253" w:lineRule="auto"/>
        <w:rPr>
          <w:sz w:val="20"/>
          <w:szCs w:val="20"/>
          <w:color w:val="auto"/>
        </w:rPr>
      </w:pPr>
      <w:r>
        <w:rPr>
          <w:rFonts w:ascii="Arial" w:cs="Arial" w:eastAsia="Arial" w:hAnsi="Arial"/>
          <w:sz w:val="19"/>
          <w:szCs w:val="19"/>
          <w:color w:val="auto"/>
        </w:rPr>
        <w:t>Amounts recognized in Accumulated Other Comprehensive (Income) Loss associated with our significant pension and other postretirement benefit plans at December 31, 2009 and 2008 are as follows.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8"/>
              </w:rPr>
              <w:t>Other</w:t>
            </w:r>
          </w:p>
        </w:tc>
        <w:tc>
          <w:tcPr>
            <w:tcW w:w="620" w:type="dxa"/>
            <w:vAlign w:val="bottom"/>
          </w:tcPr>
          <w:p>
            <w:pPr>
              <w:spacing w:after="0"/>
              <w:rPr>
                <w:sz w:val="16"/>
                <w:szCs w:val="16"/>
                <w:color w:val="auto"/>
              </w:rPr>
            </w:pPr>
          </w:p>
        </w:tc>
      </w:tr>
      <w:tr>
        <w:trPr>
          <w:trHeight w:val="176"/>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5"/>
          </w:tcPr>
          <w:p>
            <w:pPr>
              <w:jc w:val="center"/>
              <w:ind w:right="87"/>
              <w:spacing w:after="0" w:line="176" w:lineRule="exact"/>
              <w:rPr>
                <w:sz w:val="20"/>
                <w:szCs w:val="20"/>
                <w:color w:val="auto"/>
              </w:rPr>
            </w:pPr>
            <w:r>
              <w:rPr>
                <w:rFonts w:ascii="Arial" w:cs="Arial" w:eastAsia="Arial" w:hAnsi="Arial"/>
                <w:sz w:val="16"/>
                <w:szCs w:val="16"/>
                <w:b w:val="1"/>
                <w:bCs w:val="1"/>
                <w:color w:val="auto"/>
                <w:w w:val="99"/>
              </w:rPr>
              <w:t>Postretirement</w:t>
            </w:r>
          </w:p>
        </w:tc>
      </w:tr>
      <w:tr>
        <w:trPr>
          <w:trHeight w:val="204"/>
        </w:trPr>
        <w:tc>
          <w:tcPr>
            <w:tcW w:w="6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8"/>
              </w:rPr>
              <w:t>Benefits</w:t>
            </w:r>
          </w:p>
        </w:tc>
        <w:tc>
          <w:tcPr>
            <w:tcW w:w="620" w:type="dxa"/>
            <w:vAlign w:val="bottom"/>
            <w:tcBorders>
              <w:bottom w:val="single" w:sz="8" w:color="auto"/>
            </w:tcBorders>
          </w:tcPr>
          <w:p>
            <w:pPr>
              <w:spacing w:after="0"/>
              <w:rPr>
                <w:sz w:val="17"/>
                <w:szCs w:val="17"/>
                <w:color w:val="auto"/>
              </w:rPr>
            </w:pPr>
          </w:p>
        </w:tc>
      </w:tr>
      <w:tr>
        <w:trPr>
          <w:trHeight w:val="250"/>
        </w:trPr>
        <w:tc>
          <w:tcPr>
            <w:tcW w:w="6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2009</w:t>
            </w:r>
          </w:p>
        </w:tc>
        <w:tc>
          <w:tcPr>
            <w:tcW w:w="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2008</w:t>
            </w:r>
          </w:p>
        </w:tc>
      </w:tr>
      <w:tr>
        <w:trPr>
          <w:trHeight w:val="264"/>
        </w:trPr>
        <w:tc>
          <w:tcPr>
            <w:tcW w:w="6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Transition obligation</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11</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w:t>
            </w:r>
          </w:p>
        </w:tc>
      </w:tr>
      <w:tr>
        <w:trPr>
          <w:trHeight w:val="270"/>
        </w:trPr>
        <w:tc>
          <w:tcPr>
            <w:tcW w:w="6700" w:type="dxa"/>
            <w:vAlign w:val="bottom"/>
          </w:tcPr>
          <w:p>
            <w:pPr>
              <w:ind w:left="20"/>
              <w:spacing w:after="0"/>
              <w:rPr>
                <w:sz w:val="20"/>
                <w:szCs w:val="20"/>
                <w:color w:val="auto"/>
              </w:rPr>
            </w:pPr>
            <w:r>
              <w:rPr>
                <w:rFonts w:ascii="Arial" w:cs="Arial" w:eastAsia="Arial" w:hAnsi="Arial"/>
                <w:sz w:val="19"/>
                <w:szCs w:val="19"/>
                <w:color w:val="auto"/>
              </w:rPr>
              <w:t>Prior service cost (credit)</w:t>
            </w:r>
          </w:p>
        </w:tc>
        <w:tc>
          <w:tcPr>
            <w:tcW w:w="200" w:type="dxa"/>
            <w:vAlign w:val="bottom"/>
          </w:tcPr>
          <w:p>
            <w:pPr>
              <w:spacing w:after="0"/>
              <w:rPr>
                <w:sz w:val="23"/>
                <w:szCs w:val="23"/>
                <w:color w:val="auto"/>
              </w:rPr>
            </w:pPr>
          </w:p>
        </w:tc>
        <w:tc>
          <w:tcPr>
            <w:tcW w:w="640" w:type="dxa"/>
            <w:vAlign w:val="bottom"/>
          </w:tcPr>
          <w:p>
            <w:pPr>
              <w:jc w:val="right"/>
              <w:ind w:right="9"/>
              <w:spacing w:after="0"/>
              <w:rPr>
                <w:sz w:val="20"/>
                <w:szCs w:val="20"/>
                <w:color w:val="auto"/>
              </w:rPr>
            </w:pPr>
            <w:r>
              <w:rPr>
                <w:rFonts w:ascii="Arial" w:cs="Arial" w:eastAsia="Arial" w:hAnsi="Arial"/>
                <w:sz w:val="19"/>
                <w:szCs w:val="19"/>
                <w:color w:val="auto"/>
              </w:rPr>
              <w:t>73</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97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(179 )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(140 )</w:t>
            </w:r>
          </w:p>
        </w:tc>
      </w:tr>
      <w:tr>
        <w:trPr>
          <w:trHeight w:val="270"/>
        </w:trPr>
        <w:tc>
          <w:tcPr>
            <w:tcW w:w="6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Actuarial losses</w:t>
            </w: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7,566</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5,958</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299</w:t>
            </w:r>
          </w:p>
        </w:tc>
        <w:tc>
          <w:tcPr>
            <w:tcW w:w="14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9"/>
                <w:szCs w:val="19"/>
                <w:color w:val="auto"/>
              </w:rPr>
              <w:t>265</w:t>
            </w:r>
          </w:p>
        </w:tc>
      </w:tr>
      <w:tr>
        <w:trPr>
          <w:trHeight w:val="304"/>
        </w:trPr>
        <w:tc>
          <w:tcPr>
            <w:tcW w:w="6700" w:type="dxa"/>
            <w:vAlign w:val="bottom"/>
          </w:tcPr>
          <w:p>
            <w:pPr>
              <w:ind w:left="20"/>
              <w:spacing w:after="0"/>
              <w:rPr>
                <w:sz w:val="20"/>
                <w:szCs w:val="20"/>
                <w:color w:val="auto"/>
              </w:rPr>
            </w:pPr>
            <w:r>
              <w:rPr>
                <w:rFonts w:ascii="Arial" w:cs="Arial" w:eastAsia="Arial" w:hAnsi="Arial"/>
                <w:sz w:val="19"/>
                <w:szCs w:val="19"/>
                <w:color w:val="auto"/>
              </w:rPr>
              <w:t>Net amount recognized</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9"/>
              <w:spacing w:after="0"/>
              <w:rPr>
                <w:sz w:val="20"/>
                <w:szCs w:val="20"/>
                <w:color w:val="auto"/>
              </w:rPr>
            </w:pPr>
            <w:r>
              <w:rPr>
                <w:rFonts w:ascii="Arial" w:cs="Arial" w:eastAsia="Arial" w:hAnsi="Arial"/>
                <w:sz w:val="19"/>
                <w:szCs w:val="19"/>
                <w:color w:val="auto"/>
              </w:rPr>
              <w:t>7,650</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6,066</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120</w:t>
            </w:r>
          </w:p>
        </w:tc>
        <w:tc>
          <w:tcPr>
            <w:tcW w:w="66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67"/>
              <w:spacing w:after="0"/>
              <w:rPr>
                <w:sz w:val="20"/>
                <w:szCs w:val="20"/>
                <w:color w:val="auto"/>
              </w:rPr>
            </w:pPr>
            <w:r>
              <w:rPr>
                <w:rFonts w:ascii="Arial" w:cs="Arial" w:eastAsia="Arial" w:hAnsi="Arial"/>
                <w:sz w:val="19"/>
                <w:szCs w:val="19"/>
                <w:color w:val="auto"/>
              </w:rPr>
              <w:t>125</w:t>
            </w:r>
          </w:p>
        </w:tc>
      </w:tr>
      <w:tr>
        <w:trPr>
          <w:trHeight w:val="20"/>
        </w:trPr>
        <w:tc>
          <w:tcPr>
            <w:tcW w:w="6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700" w:firstLine="357"/>
        <w:spacing w:after="0" w:line="253" w:lineRule="auto"/>
        <w:rPr>
          <w:sz w:val="20"/>
          <w:szCs w:val="20"/>
          <w:color w:val="auto"/>
        </w:rPr>
      </w:pPr>
      <w:r>
        <w:rPr>
          <w:rFonts w:ascii="Arial" w:cs="Arial" w:eastAsia="Arial" w:hAnsi="Arial"/>
          <w:sz w:val="19"/>
          <w:szCs w:val="19"/>
          <w:color w:val="auto"/>
        </w:rPr>
        <w:t>The components of net periodic benefit cost and other amounts recognized in other comprehensive (income) loss for our significant plans include the following components:</w:t>
      </w:r>
    </w:p>
    <w:p>
      <w:pPr>
        <w:spacing w:after="0" w:line="78"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6"/>
                <w:szCs w:val="16"/>
                <w:b w:val="1"/>
                <w:bCs w:val="1"/>
                <w:color w:val="auto"/>
                <w:w w:val="98"/>
              </w:rPr>
              <w:t>Pension Benefits</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9"/>
          </w:tcPr>
          <w:p>
            <w:pPr>
              <w:jc w:val="center"/>
              <w:ind w:right="65"/>
              <w:spacing w:after="0"/>
              <w:rPr>
                <w:sz w:val="20"/>
                <w:szCs w:val="20"/>
                <w:color w:val="auto"/>
              </w:rPr>
            </w:pPr>
            <w:r>
              <w:rPr>
                <w:rFonts w:ascii="Arial" w:cs="Arial" w:eastAsia="Arial" w:hAnsi="Arial"/>
                <w:sz w:val="16"/>
                <w:szCs w:val="16"/>
                <w:b w:val="1"/>
                <w:bCs w:val="1"/>
                <w:color w:val="auto"/>
                <w:w w:val="98"/>
              </w:rPr>
              <w:t>Other Postretirement Benefits</w:t>
            </w: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12"/>
          </w:tcPr>
          <w:p>
            <w:pPr>
              <w:jc w:val="center"/>
              <w:ind w:right="180"/>
              <w:spacing w:after="0"/>
              <w:rPr>
                <w:sz w:val="20"/>
                <w:szCs w:val="20"/>
                <w:color w:val="auto"/>
              </w:rPr>
            </w:pPr>
            <w:r>
              <w:rPr>
                <w:rFonts w:ascii="Arial" w:cs="Arial" w:eastAsia="Arial" w:hAnsi="Arial"/>
                <w:sz w:val="16"/>
                <w:szCs w:val="16"/>
                <w:b w:val="1"/>
                <w:bCs w:val="1"/>
                <w:color w:val="auto"/>
                <w:w w:val="98"/>
              </w:rPr>
              <w:t>Years Ended December 31,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9"/>
          </w:tcPr>
          <w:p>
            <w:pPr>
              <w:jc w:val="center"/>
              <w:ind w:right="45"/>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Benefit Cost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65"/>
              <w:spacing w:after="0"/>
              <w:rPr>
                <w:sz w:val="20"/>
                <w:szCs w:val="20"/>
                <w:color w:val="auto"/>
              </w:rPr>
            </w:pPr>
            <w:r>
              <w:rPr>
                <w:rFonts w:ascii="Arial" w:cs="Arial" w:eastAsia="Arial" w:hAnsi="Arial"/>
                <w:sz w:val="16"/>
                <w:szCs w:val="16"/>
                <w:b w:val="1"/>
                <w:bCs w:val="1"/>
                <w:color w:val="auto"/>
                <w:w w:val="95"/>
              </w:rPr>
              <w:t>2008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2007</w:t>
            </w:r>
          </w:p>
        </w:tc>
        <w:tc>
          <w:tcPr>
            <w:tcW w:w="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2009</w:t>
            </w: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ind w:right="64"/>
              <w:spacing w:after="0"/>
              <w:rPr>
                <w:sz w:val="20"/>
                <w:szCs w:val="20"/>
                <w:color w:val="auto"/>
              </w:rPr>
            </w:pPr>
            <w:r>
              <w:rPr>
                <w:rFonts w:ascii="Arial" w:cs="Arial" w:eastAsia="Arial" w:hAnsi="Arial"/>
                <w:sz w:val="16"/>
                <w:szCs w:val="16"/>
                <w:b w:val="1"/>
                <w:bCs w:val="1"/>
                <w:color w:val="auto"/>
                <w:w w:val="95"/>
              </w:rPr>
              <w:t>2008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64"/>
        </w:trPr>
        <w:tc>
          <w:tcPr>
            <w:tcW w:w="4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Service cost</w:t>
            </w:r>
          </w:p>
        </w:tc>
        <w:tc>
          <w:tcPr>
            <w:tcW w:w="48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224</w:t>
            </w:r>
          </w:p>
        </w:tc>
        <w:tc>
          <w:tcPr>
            <w:tcW w:w="120" w:type="dxa"/>
            <w:vAlign w:val="bottom"/>
            <w:shd w:val="clear" w:color="auto" w:fill="E5FFFF"/>
          </w:tcPr>
          <w:p>
            <w:pPr>
              <w:spacing w:after="0"/>
              <w:rPr>
                <w:sz w:val="22"/>
                <w:szCs w:val="22"/>
                <w:color w:val="auto"/>
              </w:rPr>
            </w:pPr>
          </w:p>
        </w:tc>
        <w:tc>
          <w:tcPr>
            <w:tcW w:w="3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255</w:t>
            </w:r>
          </w:p>
        </w:tc>
        <w:tc>
          <w:tcPr>
            <w:tcW w:w="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264</w:t>
            </w:r>
          </w:p>
        </w:tc>
        <w:tc>
          <w:tcPr>
            <w:tcW w:w="140" w:type="dxa"/>
            <w:vAlign w:val="bottom"/>
            <w:shd w:val="clear" w:color="auto" w:fill="E5FFFF"/>
          </w:tcPr>
          <w:p>
            <w:pPr>
              <w:spacing w:after="0"/>
              <w:rPr>
                <w:sz w:val="22"/>
                <w:szCs w:val="22"/>
                <w:color w:val="auto"/>
              </w:rPr>
            </w:pPr>
          </w:p>
        </w:tc>
        <w:tc>
          <w:tcPr>
            <w:tcW w:w="440" w:type="dxa"/>
            <w:vAlign w:val="bottom"/>
            <w:gridSpan w:val="3"/>
            <w:shd w:val="clear" w:color="auto" w:fill="E5FFFF"/>
          </w:tcPr>
          <w:p>
            <w:pPr>
              <w:ind w:left="340"/>
              <w:spacing w:after="0"/>
              <w:rPr>
                <w:sz w:val="20"/>
                <w:szCs w:val="20"/>
                <w:color w:val="auto"/>
              </w:rPr>
            </w:pPr>
            <w:r>
              <w:rPr>
                <w:rFonts w:ascii="Arial" w:cs="Arial" w:eastAsia="Arial" w:hAnsi="Arial"/>
                <w:sz w:val="19"/>
                <w:szCs w:val="19"/>
                <w:color w:val="auto"/>
                <w:w w:val="75"/>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w:t>
            </w:r>
          </w:p>
        </w:tc>
        <w:tc>
          <w:tcPr>
            <w:tcW w:w="80" w:type="dxa"/>
            <w:vAlign w:val="bottom"/>
            <w:shd w:val="clear" w:color="auto" w:fill="E5FFFF"/>
          </w:tcPr>
          <w:p>
            <w:pPr>
              <w:spacing w:after="0"/>
              <w:rPr>
                <w:sz w:val="22"/>
                <w:szCs w:val="22"/>
                <w:color w:val="auto"/>
              </w:rPr>
            </w:pP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13</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459"/>
        </w:trPr>
        <w:tc>
          <w:tcPr>
            <w:tcW w:w="4180" w:type="dxa"/>
            <w:vAlign w:val="bottom"/>
          </w:tcPr>
          <w:p>
            <w:pPr>
              <w:ind w:left="20"/>
              <w:spacing w:after="0"/>
              <w:rPr>
                <w:sz w:val="20"/>
                <w:szCs w:val="20"/>
                <w:color w:val="auto"/>
              </w:rPr>
            </w:pPr>
            <w:r>
              <w:rPr>
                <w:rFonts w:ascii="Arial" w:cs="Arial" w:eastAsia="Arial" w:hAnsi="Arial"/>
                <w:sz w:val="19"/>
                <w:szCs w:val="19"/>
                <w:color w:val="auto"/>
              </w:rPr>
              <w:t>Interest cost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993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1,009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960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44"/>
              <w:spacing w:after="0"/>
              <w:rPr>
                <w:sz w:val="20"/>
                <w:szCs w:val="20"/>
                <w:color w:val="auto"/>
              </w:rPr>
            </w:pPr>
            <w:r>
              <w:rPr>
                <w:rFonts w:ascii="Arial" w:cs="Arial" w:eastAsia="Arial" w:hAnsi="Arial"/>
                <w:sz w:val="19"/>
                <w:szCs w:val="19"/>
                <w:color w:val="auto"/>
              </w:rPr>
              <w:t>122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65"/>
              <w:spacing w:after="0"/>
              <w:rPr>
                <w:sz w:val="20"/>
                <w:szCs w:val="20"/>
                <w:color w:val="auto"/>
              </w:rPr>
            </w:pPr>
            <w:r>
              <w:rPr>
                <w:rFonts w:ascii="Arial" w:cs="Arial" w:eastAsia="Arial" w:hAnsi="Arial"/>
                <w:sz w:val="19"/>
                <w:szCs w:val="19"/>
                <w:color w:val="auto"/>
              </w:rPr>
              <w:t>128</w:t>
            </w:r>
          </w:p>
        </w:tc>
        <w:tc>
          <w:tcPr>
            <w:tcW w:w="0" w:type="dxa"/>
            <w:vAlign w:val="bottom"/>
          </w:tcPr>
          <w:p>
            <w:pPr>
              <w:spacing w:after="0"/>
              <w:rPr>
                <w:sz w:val="1"/>
                <w:szCs w:val="1"/>
                <w:color w:val="auto"/>
              </w:rPr>
            </w:pPr>
          </w:p>
        </w:tc>
      </w:tr>
      <w:tr>
        <w:trPr>
          <w:trHeight w:val="270"/>
        </w:trPr>
        <w:tc>
          <w:tcPr>
            <w:tcW w:w="4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Expected return on plan assets</w:t>
            </w:r>
          </w:p>
        </w:tc>
        <w:tc>
          <w:tcPr>
            <w:tcW w:w="1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(1,322 )</w:t>
            </w: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(1,404 )</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w w:val="97"/>
              </w:rPr>
              <w:t>(1,347 )</w:t>
            </w:r>
          </w:p>
        </w:tc>
        <w:tc>
          <w:tcPr>
            <w:tcW w:w="14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6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22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180" w:type="dxa"/>
            <w:vAlign w:val="bottom"/>
          </w:tcPr>
          <w:p>
            <w:pPr>
              <w:ind w:left="20"/>
              <w:spacing w:after="0"/>
              <w:rPr>
                <w:sz w:val="20"/>
                <w:szCs w:val="20"/>
                <w:color w:val="auto"/>
              </w:rPr>
            </w:pPr>
            <w:r>
              <w:rPr>
                <w:rFonts w:ascii="Arial" w:cs="Arial" w:eastAsia="Arial" w:hAnsi="Arial"/>
                <w:sz w:val="19"/>
                <w:szCs w:val="19"/>
                <w:color w:val="auto"/>
              </w:rPr>
              <w:t>Amortization of transition obligation</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Amortization of prior service cost</w:t>
            </w: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4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(credit)</w:t>
            </w: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25</w:t>
            </w:r>
          </w:p>
        </w:tc>
        <w:tc>
          <w:tcPr>
            <w:tcW w:w="1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29</w:t>
            </w: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(44 )</w:t>
            </w: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(43 )</w:t>
            </w: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(37 )</w:t>
            </w:r>
          </w:p>
        </w:tc>
        <w:tc>
          <w:tcPr>
            <w:tcW w:w="0" w:type="dxa"/>
            <w:vAlign w:val="bottom"/>
          </w:tcPr>
          <w:p>
            <w:pPr>
              <w:spacing w:after="0"/>
              <w:rPr>
                <w:sz w:val="1"/>
                <w:szCs w:val="1"/>
                <w:color w:val="auto"/>
              </w:rPr>
            </w:pPr>
          </w:p>
        </w:tc>
      </w:tr>
      <w:tr>
        <w:trPr>
          <w:trHeight w:val="270"/>
        </w:trPr>
        <w:tc>
          <w:tcPr>
            <w:tcW w:w="4180" w:type="dxa"/>
            <w:vAlign w:val="bottom"/>
          </w:tcPr>
          <w:p>
            <w:pPr>
              <w:ind w:left="20"/>
              <w:spacing w:after="0"/>
              <w:rPr>
                <w:sz w:val="20"/>
                <w:szCs w:val="20"/>
                <w:color w:val="auto"/>
              </w:rPr>
            </w:pPr>
            <w:r>
              <w:rPr>
                <w:rFonts w:ascii="Arial" w:cs="Arial" w:eastAsia="Arial" w:hAnsi="Arial"/>
                <w:sz w:val="19"/>
                <w:szCs w:val="19"/>
                <w:color w:val="auto"/>
              </w:rPr>
              <w:t>Recognition of actuarial losses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47</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210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44"/>
              <w:spacing w:after="0"/>
              <w:rPr>
                <w:sz w:val="20"/>
                <w:szCs w:val="20"/>
                <w:color w:val="auto"/>
              </w:rPr>
            </w:pPr>
            <w:r>
              <w:rPr>
                <w:rFonts w:ascii="Arial" w:cs="Arial" w:eastAsia="Arial" w:hAnsi="Arial"/>
                <w:sz w:val="19"/>
                <w:szCs w:val="19"/>
                <w:color w:val="auto"/>
              </w:rPr>
              <w:t>33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65"/>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70"/>
        </w:trPr>
        <w:tc>
          <w:tcPr>
            <w:tcW w:w="4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Settlements and curtailments</w:t>
            </w:r>
          </w:p>
        </w:tc>
        <w:tc>
          <w:tcPr>
            <w:tcW w:w="1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2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18</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w:t>
            </w:r>
          </w:p>
        </w:tc>
        <w:tc>
          <w:tcPr>
            <w:tcW w:w="140" w:type="dxa"/>
            <w:vAlign w:val="bottom"/>
            <w:tcBorders>
              <w:bottom w:val="single" w:sz="8" w:color="auto"/>
            </w:tcBorders>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(98 )</w:t>
            </w:r>
          </w:p>
        </w:tc>
        <w:tc>
          <w:tcPr>
            <w:tcW w:w="22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04"/>
        </w:trPr>
        <w:tc>
          <w:tcPr>
            <w:tcW w:w="4180" w:type="dxa"/>
            <w:vAlign w:val="bottom"/>
          </w:tcPr>
          <w:p>
            <w:pPr>
              <w:ind w:left="20"/>
              <w:spacing w:after="0"/>
              <w:rPr>
                <w:sz w:val="20"/>
                <w:szCs w:val="20"/>
                <w:color w:val="auto"/>
              </w:rPr>
            </w:pPr>
            <w:r>
              <w:rPr>
                <w:rFonts w:ascii="Arial" w:cs="Arial" w:eastAsia="Arial" w:hAnsi="Arial"/>
                <w:sz w:val="19"/>
                <w:szCs w:val="19"/>
                <w:color w:val="auto"/>
              </w:rPr>
              <w:t>Net periodic benefit cost</w:t>
            </w:r>
          </w:p>
        </w:tc>
        <w:tc>
          <w:tcPr>
            <w:tcW w:w="48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82</w:t>
            </w:r>
          </w:p>
        </w:tc>
        <w:tc>
          <w:tcPr>
            <w:tcW w:w="1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(45 )</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148</w:t>
            </w:r>
          </w:p>
        </w:tc>
        <w:tc>
          <w:tcPr>
            <w:tcW w:w="140" w:type="dxa"/>
            <w:vAlign w:val="bottom"/>
          </w:tcPr>
          <w:p>
            <w:pPr>
              <w:spacing w:after="0"/>
              <w:rPr>
                <w:sz w:val="24"/>
                <w:szCs w:val="24"/>
                <w:color w:val="auto"/>
              </w:rPr>
            </w:pPr>
          </w:p>
        </w:tc>
        <w:tc>
          <w:tcPr>
            <w:tcW w:w="440" w:type="dxa"/>
            <w:vAlign w:val="bottom"/>
            <w:gridSpan w:val="3"/>
          </w:tcPr>
          <w:p>
            <w:pPr>
              <w:ind w:left="340"/>
              <w:spacing w:after="0"/>
              <w:rPr>
                <w:sz w:val="20"/>
                <w:szCs w:val="20"/>
                <w:color w:val="auto"/>
              </w:rPr>
            </w:pPr>
            <w:r>
              <w:rPr>
                <w:rFonts w:ascii="Arial" w:cs="Arial" w:eastAsia="Arial" w:hAnsi="Arial"/>
                <w:sz w:val="19"/>
                <w:szCs w:val="19"/>
                <w:color w:val="auto"/>
                <w:w w:val="75"/>
              </w:rPr>
              <w:t>$</w:t>
            </w:r>
          </w:p>
        </w:tc>
        <w:tc>
          <w:tcPr>
            <w:tcW w:w="560" w:type="dxa"/>
            <w:vAlign w:val="bottom"/>
            <w:gridSpan w:val="2"/>
          </w:tcPr>
          <w:p>
            <w:pPr>
              <w:jc w:val="right"/>
              <w:ind w:right="60"/>
              <w:spacing w:after="0"/>
              <w:rPr>
                <w:sz w:val="20"/>
                <w:szCs w:val="20"/>
                <w:color w:val="auto"/>
              </w:rPr>
            </w:pPr>
            <w:r>
              <w:rPr>
                <w:rFonts w:ascii="Arial" w:cs="Arial" w:eastAsia="Arial" w:hAnsi="Arial"/>
                <w:sz w:val="19"/>
                <w:szCs w:val="19"/>
                <w:color w:val="auto"/>
              </w:rPr>
              <w:t>(19 )</w:t>
            </w: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44"/>
              <w:spacing w:after="0"/>
              <w:rPr>
                <w:sz w:val="20"/>
                <w:szCs w:val="20"/>
                <w:color w:val="auto"/>
              </w:rPr>
            </w:pPr>
            <w:r>
              <w:rPr>
                <w:rFonts w:ascii="Arial" w:cs="Arial" w:eastAsia="Arial" w:hAnsi="Arial"/>
                <w:sz w:val="19"/>
                <w:szCs w:val="19"/>
                <w:color w:val="auto"/>
              </w:rPr>
              <w:t>125</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65"/>
              <w:spacing w:after="0"/>
              <w:rPr>
                <w:sz w:val="20"/>
                <w:szCs w:val="20"/>
                <w:color w:val="auto"/>
              </w:rPr>
            </w:pPr>
            <w:r>
              <w:rPr>
                <w:rFonts w:ascii="Arial" w:cs="Arial" w:eastAsia="Arial" w:hAnsi="Arial"/>
                <w:sz w:val="19"/>
                <w:szCs w:val="19"/>
                <w:color w:val="auto"/>
              </w:rPr>
              <w:t>152</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Changes in Plan Assets and</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Benefit Obligations Recognized in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2009</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2008</w:t>
            </w: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2009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64"/>
        </w:trPr>
        <w:tc>
          <w:tcPr>
            <w:tcW w:w="4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Actuarial (gains) losses</w:t>
            </w:r>
          </w:p>
        </w:tc>
        <w:tc>
          <w:tcPr>
            <w:tcW w:w="1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$ 1,708</w:t>
            </w:r>
          </w:p>
        </w:tc>
        <w:tc>
          <w:tcPr>
            <w:tcW w:w="1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$ 4,499</w:t>
            </w:r>
          </w:p>
        </w:tc>
        <w:tc>
          <w:tcPr>
            <w:tcW w:w="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(581 )</w:t>
            </w:r>
          </w:p>
        </w:tc>
        <w:tc>
          <w:tcPr>
            <w:tcW w:w="140" w:type="dxa"/>
            <w:vAlign w:val="bottom"/>
            <w:shd w:val="clear" w:color="auto" w:fill="E5FFFF"/>
          </w:tcPr>
          <w:p>
            <w:pPr>
              <w:spacing w:after="0"/>
              <w:rPr>
                <w:sz w:val="22"/>
                <w:szCs w:val="22"/>
                <w:color w:val="auto"/>
              </w:rPr>
            </w:pPr>
          </w:p>
        </w:tc>
        <w:tc>
          <w:tcPr>
            <w:tcW w:w="440" w:type="dxa"/>
            <w:vAlign w:val="bottom"/>
            <w:gridSpan w:val="3"/>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47</w:t>
            </w:r>
          </w:p>
        </w:tc>
        <w:tc>
          <w:tcPr>
            <w:tcW w:w="80" w:type="dxa"/>
            <w:vAlign w:val="bottom"/>
            <w:shd w:val="clear" w:color="auto" w:fill="E5FFFF"/>
          </w:tcPr>
          <w:p>
            <w:pPr>
              <w:spacing w:after="0"/>
              <w:rPr>
                <w:sz w:val="22"/>
                <w:szCs w:val="22"/>
                <w:color w:val="auto"/>
              </w:rPr>
            </w:pPr>
          </w:p>
        </w:tc>
        <w:tc>
          <w:tcPr>
            <w:tcW w:w="46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(131 )</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(11 )</w:t>
            </w:r>
          </w:p>
        </w:tc>
        <w:tc>
          <w:tcPr>
            <w:tcW w:w="0" w:type="dxa"/>
            <w:vAlign w:val="bottom"/>
          </w:tcPr>
          <w:p>
            <w:pPr>
              <w:spacing w:after="0"/>
              <w:rPr>
                <w:sz w:val="1"/>
                <w:szCs w:val="1"/>
                <w:color w:val="auto"/>
              </w:rPr>
            </w:pPr>
          </w:p>
        </w:tc>
      </w:tr>
      <w:tr>
        <w:trPr>
          <w:trHeight w:val="270"/>
        </w:trPr>
        <w:tc>
          <w:tcPr>
            <w:tcW w:w="4180" w:type="dxa"/>
            <w:vAlign w:val="bottom"/>
          </w:tcPr>
          <w:p>
            <w:pPr>
              <w:ind w:left="20"/>
              <w:spacing w:after="0"/>
              <w:rPr>
                <w:sz w:val="20"/>
                <w:szCs w:val="20"/>
                <w:color w:val="auto"/>
              </w:rPr>
            </w:pPr>
            <w:r>
              <w:rPr>
                <w:rFonts w:ascii="Arial" w:cs="Arial" w:eastAsia="Arial" w:hAnsi="Arial"/>
                <w:sz w:val="19"/>
                <w:szCs w:val="19"/>
                <w:color w:val="auto"/>
              </w:rPr>
              <w:t>Prior service cost (credit)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right"/>
              <w:ind w:right="5"/>
              <w:spacing w:after="0"/>
              <w:rPr>
                <w:sz w:val="20"/>
                <w:szCs w:val="20"/>
                <w:color w:val="auto"/>
              </w:rPr>
            </w:pPr>
            <w:r>
              <w:rPr>
                <w:rFonts w:ascii="Arial" w:cs="Arial" w:eastAsia="Arial" w:hAnsi="Arial"/>
                <w:sz w:val="19"/>
                <w:szCs w:val="19"/>
                <w:color w:val="auto"/>
              </w:rPr>
              <w:t>27</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22</w:t>
            </w:r>
          </w:p>
        </w:tc>
        <w:tc>
          <w:tcPr>
            <w:tcW w:w="14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9"/>
                <w:szCs w:val="19"/>
                <w:color w:val="auto"/>
              </w:rPr>
              <w:t>(180 )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(67 )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(7 )</w:t>
            </w:r>
          </w:p>
        </w:tc>
        <w:tc>
          <w:tcPr>
            <w:tcW w:w="0" w:type="dxa"/>
            <w:vAlign w:val="bottom"/>
          </w:tcPr>
          <w:p>
            <w:pPr>
              <w:spacing w:after="0"/>
              <w:rPr>
                <w:sz w:val="1"/>
                <w:szCs w:val="1"/>
                <w:color w:val="auto"/>
              </w:rPr>
            </w:pPr>
          </w:p>
        </w:tc>
      </w:tr>
      <w:tr>
        <w:trPr>
          <w:trHeight w:val="230"/>
        </w:trPr>
        <w:tc>
          <w:tcPr>
            <w:tcW w:w="4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Transition obligation recognized</w:t>
            </w: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4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during year</w:t>
            </w: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(1 )</w:t>
            </w:r>
          </w:p>
        </w:tc>
        <w:tc>
          <w:tcPr>
            <w:tcW w:w="1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(1 )</w:t>
            </w: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20" w:type="dxa"/>
            <w:vAlign w:val="bottom"/>
            <w:gridSpan w:val="2"/>
            <w:shd w:val="clear" w:color="auto" w:fill="E5FFFF"/>
          </w:tcPr>
          <w:p>
            <w:pPr>
              <w:jc w:val="right"/>
              <w:ind w:right="280"/>
              <w:spacing w:after="0"/>
              <w:rPr>
                <w:sz w:val="20"/>
                <w:szCs w:val="20"/>
                <w:color w:val="auto"/>
              </w:rPr>
            </w:pPr>
            <w:r>
              <w:rPr>
                <w:rFonts w:ascii="Arial" w:cs="Arial" w:eastAsia="Arial" w:hAnsi="Arial"/>
                <w:sz w:val="19"/>
                <w:szCs w:val="19"/>
                <w:color w:val="auto"/>
              </w:rPr>
              <w:t>—</w:t>
            </w: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60" w:type="dxa"/>
            <w:vAlign w:val="bottom"/>
            <w:gridSpan w:val="2"/>
            <w:shd w:val="clear" w:color="auto" w:fill="E5FFFF"/>
          </w:tcPr>
          <w:p>
            <w:pPr>
              <w:jc w:val="right"/>
              <w:ind w:right="220"/>
              <w:spacing w:after="0"/>
              <w:rPr>
                <w:sz w:val="20"/>
                <w:szCs w:val="20"/>
                <w:color w:val="auto"/>
              </w:rPr>
            </w:pPr>
            <w:r>
              <w:rPr>
                <w:rFonts w:ascii="Arial" w:cs="Arial" w:eastAsia="Arial" w:hAnsi="Arial"/>
                <w:sz w:val="19"/>
                <w:szCs w:val="19"/>
                <w:color w:val="auto"/>
              </w:rPr>
              <w:t>—</w:t>
            </w: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9"/>
                <w:szCs w:val="19"/>
                <w:color w:val="auto"/>
              </w:rPr>
              <w:t>Prior service (cost) credit recognized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0"/>
              <w:spacing w:after="0"/>
              <w:rPr>
                <w:sz w:val="20"/>
                <w:szCs w:val="20"/>
                <w:color w:val="auto"/>
              </w:rPr>
            </w:pPr>
            <w:r>
              <w:rPr>
                <w:rFonts w:ascii="Arial" w:cs="Arial" w:eastAsia="Arial" w:hAnsi="Arial"/>
                <w:sz w:val="19"/>
                <w:szCs w:val="19"/>
                <w:color w:val="auto"/>
              </w:rPr>
              <w:t>during year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9"/>
                <w:szCs w:val="19"/>
                <w:color w:val="auto"/>
              </w:rPr>
              <w:t>(25 )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(30 )</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(26 )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46"/>
              <w:spacing w:after="0"/>
              <w:rPr>
                <w:sz w:val="20"/>
                <w:szCs w:val="20"/>
                <w:color w:val="auto"/>
              </w:rPr>
            </w:pPr>
            <w:r>
              <w:rPr>
                <w:rFonts w:ascii="Arial" w:cs="Arial" w:eastAsia="Arial" w:hAnsi="Arial"/>
                <w:sz w:val="19"/>
                <w:szCs w:val="19"/>
                <w:color w:val="auto"/>
              </w:rPr>
              <w:t>141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44"/>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65"/>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30"/>
        </w:trPr>
        <w:tc>
          <w:tcPr>
            <w:tcW w:w="4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Actuarial losses recognized during</w:t>
            </w: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4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year</w:t>
            </w: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(161 )</w:t>
            </w:r>
          </w:p>
        </w:tc>
        <w:tc>
          <w:tcPr>
            <w:tcW w:w="1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(63 )</w:t>
            </w: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(210 )</w:t>
            </w: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(13 )</w:t>
            </w:r>
          </w:p>
        </w:tc>
        <w:tc>
          <w:tcPr>
            <w:tcW w:w="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(33 )</w:t>
            </w: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(46 )</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9"/>
                <w:szCs w:val="19"/>
                <w:color w:val="auto"/>
              </w:rPr>
              <w:t>Foreign exchange translation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0"/>
              <w:spacing w:after="0"/>
              <w:rPr>
                <w:sz w:val="20"/>
                <w:szCs w:val="20"/>
                <w:color w:val="auto"/>
              </w:rPr>
            </w:pPr>
            <w:r>
              <w:rPr>
                <w:rFonts w:ascii="Arial" w:cs="Arial" w:eastAsia="Arial" w:hAnsi="Arial"/>
                <w:sz w:val="19"/>
                <w:szCs w:val="19"/>
                <w:color w:val="auto"/>
              </w:rPr>
              <w:t>adjustments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(147 )</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 recognized in other</w:t>
            </w: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4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E5FFFF"/>
          </w:tcPr>
          <w:p>
            <w:pPr>
              <w:ind w:left="560"/>
              <w:spacing w:after="0" w:line="216" w:lineRule="exact"/>
              <w:rPr>
                <w:sz w:val="20"/>
                <w:szCs w:val="20"/>
                <w:color w:val="auto"/>
              </w:rPr>
            </w:pPr>
            <w:r>
              <w:rPr>
                <w:rFonts w:ascii="Arial" w:cs="Arial" w:eastAsia="Arial" w:hAnsi="Arial"/>
                <w:sz w:val="19"/>
                <w:szCs w:val="19"/>
                <w:color w:val="auto"/>
              </w:rPr>
              <w:t>comprehensive (income)</w:t>
            </w: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E5FFFF"/>
          </w:tcPr>
          <w:p>
            <w:pPr>
              <w:ind w:left="560"/>
              <w:spacing w:after="0"/>
              <w:rPr>
                <w:sz w:val="20"/>
                <w:szCs w:val="20"/>
                <w:color w:val="auto"/>
              </w:rPr>
            </w:pPr>
            <w:r>
              <w:rPr>
                <w:rFonts w:ascii="Arial" w:cs="Arial" w:eastAsia="Arial" w:hAnsi="Arial"/>
                <w:sz w:val="19"/>
                <w:szCs w:val="19"/>
                <w:color w:val="auto"/>
              </w:rPr>
              <w:t>loss</w:t>
            </w: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$ 1,584</w:t>
            </w:r>
          </w:p>
        </w:tc>
        <w:tc>
          <w:tcPr>
            <w:tcW w:w="1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$ 4,285</w:t>
            </w: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(776 )</w:t>
            </w:r>
          </w:p>
        </w:tc>
        <w:tc>
          <w:tcPr>
            <w:tcW w:w="140" w:type="dxa"/>
            <w:vAlign w:val="bottom"/>
            <w:shd w:val="clear" w:color="auto" w:fill="E5FFFF"/>
          </w:tcPr>
          <w:p>
            <w:pPr>
              <w:spacing w:after="0"/>
              <w:rPr>
                <w:sz w:val="19"/>
                <w:szCs w:val="19"/>
                <w:color w:val="auto"/>
              </w:rPr>
            </w:pPr>
          </w:p>
        </w:tc>
        <w:tc>
          <w:tcPr>
            <w:tcW w:w="440" w:type="dxa"/>
            <w:vAlign w:val="bottom"/>
            <w:gridSpan w:val="3"/>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(5 )</w:t>
            </w:r>
          </w:p>
        </w:tc>
        <w:tc>
          <w:tcPr>
            <w:tcW w:w="80" w:type="dxa"/>
            <w:vAlign w:val="bottom"/>
            <w:shd w:val="clear" w:color="auto" w:fill="E5FFFF"/>
          </w:tcPr>
          <w:p>
            <w:pPr>
              <w:spacing w:after="0"/>
              <w:rPr>
                <w:sz w:val="19"/>
                <w:szCs w:val="19"/>
                <w:color w:val="auto"/>
              </w:rPr>
            </w:pPr>
          </w:p>
        </w:tc>
        <w:tc>
          <w:tcPr>
            <w:tcW w:w="46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(188 )</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(27 )</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380"/>
              <w:spacing w:after="0"/>
              <w:rPr>
                <w:sz w:val="20"/>
                <w:szCs w:val="20"/>
                <w:color w:val="auto"/>
              </w:rPr>
            </w:pPr>
            <w:r>
              <w:rPr>
                <w:rFonts w:ascii="Arial" w:cs="Arial" w:eastAsia="Arial" w:hAnsi="Arial"/>
                <w:sz w:val="19"/>
                <w:szCs w:val="19"/>
                <w:color w:val="auto"/>
              </w:rPr>
              <w:t>Total recognized in net</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560"/>
              <w:spacing w:after="0" w:line="216" w:lineRule="exact"/>
              <w:rPr>
                <w:sz w:val="20"/>
                <w:szCs w:val="20"/>
                <w:color w:val="auto"/>
              </w:rPr>
            </w:pPr>
            <w:r>
              <w:rPr>
                <w:rFonts w:ascii="Arial" w:cs="Arial" w:eastAsia="Arial" w:hAnsi="Arial"/>
                <w:sz w:val="19"/>
                <w:szCs w:val="19"/>
                <w:color w:val="auto"/>
              </w:rPr>
              <w:t>periodic benefit cost 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560"/>
              <w:spacing w:after="0" w:line="216" w:lineRule="exact"/>
              <w:rPr>
                <w:sz w:val="20"/>
                <w:szCs w:val="20"/>
                <w:color w:val="auto"/>
              </w:rPr>
            </w:pPr>
            <w:r>
              <w:rPr>
                <w:rFonts w:ascii="Arial" w:cs="Arial" w:eastAsia="Arial" w:hAnsi="Arial"/>
                <w:sz w:val="19"/>
                <w:szCs w:val="19"/>
                <w:color w:val="auto"/>
              </w:rPr>
              <w:t>other comprehensive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560"/>
              <w:spacing w:after="0"/>
              <w:rPr>
                <w:sz w:val="20"/>
                <w:szCs w:val="20"/>
                <w:color w:val="auto"/>
              </w:rPr>
            </w:pPr>
            <w:r>
              <w:rPr>
                <w:rFonts w:ascii="Arial" w:cs="Arial" w:eastAsia="Arial" w:hAnsi="Arial"/>
                <w:sz w:val="19"/>
                <w:szCs w:val="19"/>
                <w:color w:val="auto"/>
              </w:rPr>
              <w:t>(income) 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$ 1,666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ind w:right="5"/>
              <w:spacing w:after="0"/>
              <w:rPr>
                <w:sz w:val="20"/>
                <w:szCs w:val="20"/>
                <w:color w:val="auto"/>
              </w:rPr>
            </w:pPr>
            <w:r>
              <w:rPr>
                <w:rFonts w:ascii="Arial" w:cs="Arial" w:eastAsia="Arial" w:hAnsi="Arial"/>
                <w:sz w:val="19"/>
                <w:szCs w:val="19"/>
                <w:color w:val="auto"/>
              </w:rPr>
              <w:t>$ 4,240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(628 )</w:t>
            </w:r>
          </w:p>
        </w:tc>
        <w:tc>
          <w:tcPr>
            <w:tcW w:w="14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(24 )</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(63 )</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65"/>
              <w:spacing w:after="0"/>
              <w:rPr>
                <w:sz w:val="20"/>
                <w:szCs w:val="20"/>
                <w:color w:val="auto"/>
              </w:rPr>
            </w:pPr>
            <w:r>
              <w:rPr>
                <w:rFonts w:ascii="Arial" w:cs="Arial" w:eastAsia="Arial" w:hAnsi="Arial"/>
                <w:sz w:val="19"/>
                <w:szCs w:val="19"/>
                <w:color w:val="auto"/>
              </w:rPr>
              <w:t>125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The estimated net loss and prior service cost for pension benefits that will be amortized from accumulated other comprehensive (income) loss into net periodic benefit cost in 2010 are expected to be $706 and $20 million, respectively. The estimated net loss and prior service (credit) for other postretirement benefits that will be amortized from accumulated other comprehensive (income) loss into net periodic benefit cost in 2010 are expected to be $21 and $(41) million, respectively.</w:t>
      </w:r>
    </w:p>
    <w:p>
      <w:pPr>
        <w:sectPr>
          <w:pgSz w:w="11900" w:h="16838" w:orient="portrait"/>
          <w:cols w:equalWidth="0" w:num="1">
            <w:col w:w="11400"/>
          </w:cols>
          <w:pgMar w:left="240" w:top="105"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60" w:firstLine="357"/>
        <w:spacing w:after="0" w:line="245" w:lineRule="auto"/>
        <w:rPr>
          <w:sz w:val="20"/>
          <w:szCs w:val="20"/>
          <w:color w:val="auto"/>
        </w:rPr>
      </w:pPr>
      <w:r>
        <w:rPr>
          <w:rFonts w:ascii="Arial" w:cs="Arial" w:eastAsia="Arial" w:hAnsi="Arial"/>
          <w:sz w:val="19"/>
          <w:szCs w:val="19"/>
          <w:color w:val="auto"/>
        </w:rPr>
        <w:t>Major actuarial assumptions used in determining the benefit obligations and net periodic benefit cost for our U.S. benefit plans are presented in the following table. For non-U.S. benefit plans, none of which was individually material, assumptions reflect economic assumptions applicable to each country.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4"/>
        </w:trPr>
        <w:tc>
          <w:tcPr>
            <w:tcW w:w="53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7"/>
              </w:rPr>
              <w:t>Pension Benefits</w:t>
            </w:r>
          </w:p>
        </w:tc>
        <w:tc>
          <w:tcPr>
            <w:tcW w:w="7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Postretirement Benefits</w:t>
            </w:r>
          </w:p>
        </w:tc>
      </w:tr>
      <w:tr>
        <w:trPr>
          <w:trHeight w:val="250"/>
        </w:trPr>
        <w:tc>
          <w:tcPr>
            <w:tcW w:w="5360" w:type="dxa"/>
            <w:vAlign w:val="bottom"/>
          </w:tcPr>
          <w:p>
            <w:pPr>
              <w:spacing w:after="0"/>
              <w:rPr>
                <w:sz w:val="21"/>
                <w:szCs w:val="21"/>
                <w:color w:val="auto"/>
              </w:rPr>
            </w:pPr>
          </w:p>
        </w:tc>
        <w:tc>
          <w:tcPr>
            <w:tcW w:w="760" w:type="dxa"/>
            <w:vAlign w:val="bottom"/>
          </w:tcPr>
          <w:p>
            <w:pPr>
              <w:jc w:val="right"/>
              <w:ind w:right="106"/>
              <w:spacing w:after="0"/>
              <w:rPr>
                <w:sz w:val="20"/>
                <w:szCs w:val="20"/>
                <w:color w:val="auto"/>
              </w:rPr>
            </w:pPr>
            <w:r>
              <w:rPr>
                <w:rFonts w:ascii="Arial" w:cs="Arial" w:eastAsia="Arial" w:hAnsi="Arial"/>
                <w:sz w:val="16"/>
                <w:szCs w:val="16"/>
                <w:b w:val="1"/>
                <w:bCs w:val="1"/>
                <w:color w:val="auto"/>
              </w:rPr>
              <w:t>2009</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21"/>
                <w:szCs w:val="21"/>
                <w:color w:val="auto"/>
              </w:rPr>
            </w:pPr>
          </w:p>
        </w:tc>
        <w:tc>
          <w:tcPr>
            <w:tcW w:w="780" w:type="dxa"/>
            <w:vAlign w:val="bottom"/>
          </w:tcPr>
          <w:p>
            <w:pPr>
              <w:jc w:val="right"/>
              <w:ind w:right="126"/>
              <w:spacing w:after="0"/>
              <w:rPr>
                <w:sz w:val="20"/>
                <w:szCs w:val="20"/>
                <w:color w:val="auto"/>
              </w:rPr>
            </w:pPr>
            <w:r>
              <w:rPr>
                <w:rFonts w:ascii="Arial" w:cs="Arial" w:eastAsia="Arial" w:hAnsi="Arial"/>
                <w:sz w:val="16"/>
                <w:szCs w:val="16"/>
                <w:b w:val="1"/>
                <w:bCs w:val="1"/>
                <w:color w:val="auto"/>
              </w:rPr>
              <w:t>2007</w:t>
            </w:r>
          </w:p>
        </w:tc>
        <w:tc>
          <w:tcPr>
            <w:tcW w:w="1020" w:type="dxa"/>
            <w:vAlign w:val="bottom"/>
            <w:gridSpan w:val="2"/>
          </w:tcPr>
          <w:p>
            <w:pPr>
              <w:jc w:val="right"/>
              <w:ind w:right="108"/>
              <w:spacing w:after="0"/>
              <w:rPr>
                <w:sz w:val="20"/>
                <w:szCs w:val="20"/>
                <w:color w:val="auto"/>
              </w:rPr>
            </w:pPr>
            <w:r>
              <w:rPr>
                <w:rFonts w:ascii="Arial" w:cs="Arial" w:eastAsia="Arial" w:hAnsi="Arial"/>
                <w:sz w:val="16"/>
                <w:szCs w:val="16"/>
                <w:b w:val="1"/>
                <w:bCs w:val="1"/>
                <w:color w:val="auto"/>
              </w:rPr>
              <w:t>2009</w:t>
            </w:r>
          </w:p>
        </w:tc>
        <w:tc>
          <w:tcPr>
            <w:tcW w:w="1040" w:type="dxa"/>
            <w:vAlign w:val="bottom"/>
            <w:gridSpan w:val="2"/>
          </w:tcPr>
          <w:p>
            <w:pPr>
              <w:jc w:val="center"/>
              <w:ind w:left="169"/>
              <w:spacing w:after="0"/>
              <w:rPr>
                <w:sz w:val="20"/>
                <w:szCs w:val="20"/>
                <w:color w:val="auto"/>
              </w:rPr>
            </w:pPr>
            <w:r>
              <w:rPr>
                <w:rFonts w:ascii="Arial" w:cs="Arial" w:eastAsia="Arial" w:hAnsi="Arial"/>
                <w:sz w:val="16"/>
                <w:szCs w:val="16"/>
                <w:b w:val="1"/>
                <w:bCs w:val="1"/>
                <w:color w:val="auto"/>
                <w:w w:val="95"/>
              </w:rPr>
              <w:t>2008</w:t>
            </w:r>
          </w:p>
        </w:tc>
        <w:tc>
          <w:tcPr>
            <w:tcW w:w="1020" w:type="dxa"/>
            <w:vAlign w:val="bottom"/>
            <w:gridSpan w:val="2"/>
          </w:tcPr>
          <w:p>
            <w:pPr>
              <w:jc w:val="right"/>
              <w:ind w:right="123"/>
              <w:spacing w:after="0"/>
              <w:rPr>
                <w:sz w:val="20"/>
                <w:szCs w:val="20"/>
                <w:color w:val="auto"/>
              </w:rPr>
            </w:pPr>
            <w:r>
              <w:rPr>
                <w:rFonts w:ascii="Arial" w:cs="Arial" w:eastAsia="Arial" w:hAnsi="Arial"/>
                <w:sz w:val="16"/>
                <w:szCs w:val="16"/>
                <w:b w:val="1"/>
                <w:bCs w:val="1"/>
                <w:color w:val="auto"/>
              </w:rPr>
              <w:t>2007</w:t>
            </w:r>
          </w:p>
        </w:tc>
      </w:tr>
      <w:tr>
        <w:trPr>
          <w:trHeight w:val="223"/>
        </w:trPr>
        <w:tc>
          <w:tcPr>
            <w:tcW w:w="53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Actuarial assumptions used to determine benefit</w:t>
            </w:r>
          </w:p>
        </w:tc>
        <w:tc>
          <w:tcPr>
            <w:tcW w:w="760" w:type="dxa"/>
            <w:vAlign w:val="bottom"/>
            <w:tcBorders>
              <w:top w:val="single" w:sz="8" w:color="auto"/>
            </w:tcBorders>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tcBorders>
              <w:top w:val="single" w:sz="8" w:color="auto"/>
            </w:tcBorders>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tcBorders>
              <w:top w:val="single" w:sz="8" w:color="auto"/>
            </w:tcBorders>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60" w:type="dxa"/>
            <w:vAlign w:val="bottom"/>
            <w:tcBorders>
              <w:top w:val="single" w:sz="8" w:color="auto"/>
            </w:tcBorders>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tcBorders>
              <w:top w:val="single" w:sz="8" w:color="auto"/>
            </w:tcBorders>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tcBorders>
              <w:top w:val="single" w:sz="8" w:color="auto"/>
            </w:tcBorders>
            <w:shd w:val="clear" w:color="auto" w:fill="E5FFFF"/>
          </w:tcPr>
          <w:p>
            <w:pPr>
              <w:spacing w:after="0"/>
              <w:rPr>
                <w:sz w:val="19"/>
                <w:szCs w:val="19"/>
                <w:color w:val="auto"/>
              </w:rPr>
            </w:pPr>
          </w:p>
        </w:tc>
      </w:tr>
      <w:tr>
        <w:trPr>
          <w:trHeight w:val="230"/>
        </w:trPr>
        <w:tc>
          <w:tcPr>
            <w:tcW w:w="53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obligations as of December 31:</w:t>
            </w:r>
          </w:p>
        </w:tc>
        <w:tc>
          <w:tcPr>
            <w:tcW w:w="7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r>
      <w:tr>
        <w:trPr>
          <w:trHeight w:val="270"/>
        </w:trPr>
        <w:tc>
          <w:tcPr>
            <w:tcW w:w="5360" w:type="dxa"/>
            <w:vAlign w:val="bottom"/>
          </w:tcPr>
          <w:p>
            <w:pPr>
              <w:ind w:left="380"/>
              <w:spacing w:after="0"/>
              <w:rPr>
                <w:sz w:val="20"/>
                <w:szCs w:val="20"/>
                <w:color w:val="auto"/>
              </w:rPr>
            </w:pPr>
            <w:r>
              <w:rPr>
                <w:rFonts w:ascii="Arial" w:cs="Arial" w:eastAsia="Arial" w:hAnsi="Arial"/>
                <w:sz w:val="19"/>
                <w:szCs w:val="19"/>
                <w:color w:val="auto"/>
              </w:rPr>
              <w:t>Discount rate</w:t>
            </w:r>
          </w:p>
        </w:tc>
        <w:tc>
          <w:tcPr>
            <w:tcW w:w="760" w:type="dxa"/>
            <w:vAlign w:val="bottom"/>
          </w:tcPr>
          <w:p>
            <w:pPr>
              <w:jc w:val="right"/>
              <w:spacing w:after="0"/>
              <w:rPr>
                <w:sz w:val="20"/>
                <w:szCs w:val="20"/>
                <w:color w:val="auto"/>
              </w:rPr>
            </w:pPr>
            <w:r>
              <w:rPr>
                <w:rFonts w:ascii="Arial" w:cs="Arial" w:eastAsia="Arial" w:hAnsi="Arial"/>
                <w:sz w:val="19"/>
                <w:szCs w:val="19"/>
                <w:color w:val="auto"/>
              </w:rPr>
              <w:t>5.75 %</w:t>
            </w:r>
          </w:p>
        </w:tc>
        <w:tc>
          <w:tcPr>
            <w:tcW w:w="1040" w:type="dxa"/>
            <w:vAlign w:val="bottom"/>
            <w:gridSpan w:val="2"/>
          </w:tcPr>
          <w:p>
            <w:pPr>
              <w:jc w:val="right"/>
              <w:ind w:right="60"/>
              <w:spacing w:after="0"/>
              <w:rPr>
                <w:sz w:val="20"/>
                <w:szCs w:val="20"/>
                <w:color w:val="auto"/>
              </w:rPr>
            </w:pPr>
            <w:r>
              <w:rPr>
                <w:rFonts w:ascii="Arial" w:cs="Arial" w:eastAsia="Arial" w:hAnsi="Arial"/>
                <w:sz w:val="19"/>
                <w:szCs w:val="19"/>
                <w:color w:val="auto"/>
              </w:rPr>
              <w:t>6.95 %</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6.50 %</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5.25 %</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6.00 %</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5.90 %</w:t>
            </w:r>
          </w:p>
        </w:tc>
      </w:tr>
      <w:tr>
        <w:trPr>
          <w:trHeight w:val="230"/>
        </w:trPr>
        <w:tc>
          <w:tcPr>
            <w:tcW w:w="53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Expected annual rate of compensation</w:t>
            </w:r>
          </w:p>
        </w:tc>
        <w:tc>
          <w:tcPr>
            <w:tcW w:w="7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r>
      <w:tr>
        <w:trPr>
          <w:trHeight w:val="230"/>
        </w:trPr>
        <w:tc>
          <w:tcPr>
            <w:tcW w:w="5360" w:type="dxa"/>
            <w:vAlign w:val="bottom"/>
            <w:shd w:val="clear" w:color="auto" w:fill="E5FFFF"/>
          </w:tcPr>
          <w:p>
            <w:pPr>
              <w:ind w:left="560"/>
              <w:spacing w:after="0"/>
              <w:rPr>
                <w:sz w:val="20"/>
                <w:szCs w:val="20"/>
                <w:color w:val="auto"/>
              </w:rPr>
            </w:pPr>
            <w:r>
              <w:rPr>
                <w:rFonts w:ascii="Arial" w:cs="Arial" w:eastAsia="Arial" w:hAnsi="Arial"/>
                <w:sz w:val="19"/>
                <w:szCs w:val="19"/>
                <w:color w:val="auto"/>
              </w:rPr>
              <w:t>increase</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4.50 %</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4.50 %</w:t>
            </w: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4.50 %</w:t>
            </w:r>
          </w:p>
        </w:tc>
        <w:tc>
          <w:tcPr>
            <w:tcW w:w="260" w:type="dxa"/>
            <w:vAlign w:val="bottom"/>
            <w:shd w:val="clear" w:color="auto" w:fill="E5FFFF"/>
          </w:tcPr>
          <w:p>
            <w:pPr>
              <w:spacing w:after="0"/>
              <w:rPr>
                <w:sz w:val="19"/>
                <w:szCs w:val="19"/>
                <w:color w:val="auto"/>
              </w:rPr>
            </w:pPr>
          </w:p>
        </w:tc>
        <w:tc>
          <w:tcPr>
            <w:tcW w:w="760" w:type="dxa"/>
            <w:vAlign w:val="bottom"/>
            <w:shd w:val="clear" w:color="auto" w:fill="E5FFFF"/>
          </w:tcPr>
          <w:p>
            <w:pPr>
              <w:jc w:val="right"/>
              <w:ind w:right="168"/>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jc w:val="right"/>
              <w:ind w:right="168"/>
              <w:spacing w:after="0"/>
              <w:rPr>
                <w:sz w:val="20"/>
                <w:szCs w:val="20"/>
                <w:color w:val="auto"/>
              </w:rPr>
            </w:pPr>
            <w:r>
              <w:rPr>
                <w:rFonts w:ascii="Arial" w:cs="Arial" w:eastAsia="Arial" w:hAnsi="Arial"/>
                <w:sz w:val="19"/>
                <w:szCs w:val="19"/>
                <w:color w:val="auto"/>
              </w:rPr>
              <w:t>—</w:t>
            </w: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jc w:val="right"/>
              <w:ind w:right="163"/>
              <w:spacing w:after="0"/>
              <w:rPr>
                <w:sz w:val="20"/>
                <w:szCs w:val="20"/>
                <w:color w:val="auto"/>
              </w:rPr>
            </w:pPr>
            <w:r>
              <w:rPr>
                <w:rFonts w:ascii="Arial" w:cs="Arial" w:eastAsia="Arial" w:hAnsi="Arial"/>
                <w:sz w:val="19"/>
                <w:szCs w:val="19"/>
                <w:color w:val="auto"/>
              </w:rPr>
              <w:t>—</w:t>
            </w:r>
          </w:p>
        </w:tc>
      </w:tr>
      <w:tr>
        <w:trPr>
          <w:trHeight w:val="230"/>
        </w:trPr>
        <w:tc>
          <w:tcPr>
            <w:tcW w:w="5360" w:type="dxa"/>
            <w:vAlign w:val="bottom"/>
          </w:tcPr>
          <w:p>
            <w:pPr>
              <w:ind w:left="20"/>
              <w:spacing w:after="0"/>
              <w:rPr>
                <w:sz w:val="20"/>
                <w:szCs w:val="20"/>
                <w:color w:val="auto"/>
              </w:rPr>
            </w:pPr>
            <w:r>
              <w:rPr>
                <w:rFonts w:ascii="Arial" w:cs="Arial" w:eastAsia="Arial" w:hAnsi="Arial"/>
                <w:sz w:val="19"/>
                <w:szCs w:val="19"/>
                <w:color w:val="auto"/>
              </w:rPr>
              <w:t>Actuarial assumptions used to determine net periodic</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5360" w:type="dxa"/>
            <w:vAlign w:val="bottom"/>
          </w:tcPr>
          <w:p>
            <w:pPr>
              <w:ind w:left="200"/>
              <w:spacing w:after="0" w:line="216" w:lineRule="exact"/>
              <w:rPr>
                <w:sz w:val="20"/>
                <w:szCs w:val="20"/>
                <w:color w:val="auto"/>
              </w:rPr>
            </w:pPr>
            <w:r>
              <w:rPr>
                <w:rFonts w:ascii="Arial" w:cs="Arial" w:eastAsia="Arial" w:hAnsi="Arial"/>
                <w:sz w:val="19"/>
                <w:szCs w:val="19"/>
                <w:color w:val="auto"/>
              </w:rPr>
              <w:t>benefit cost for years ended</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9"/>
                <w:szCs w:val="19"/>
                <w:color w:val="auto"/>
              </w:rPr>
              <w:t>December 31:</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53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Discount rate</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6.95 %</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6.50 %</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6.00 %</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6.00 %</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5.90 %</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5.70 %</w:t>
            </w:r>
          </w:p>
        </w:tc>
      </w:tr>
      <w:tr>
        <w:trPr>
          <w:trHeight w:val="270"/>
        </w:trPr>
        <w:tc>
          <w:tcPr>
            <w:tcW w:w="5360" w:type="dxa"/>
            <w:vAlign w:val="bottom"/>
          </w:tcPr>
          <w:p>
            <w:pPr>
              <w:ind w:left="380"/>
              <w:spacing w:after="0"/>
              <w:rPr>
                <w:sz w:val="20"/>
                <w:szCs w:val="20"/>
                <w:color w:val="auto"/>
              </w:rPr>
            </w:pPr>
            <w:r>
              <w:rPr>
                <w:rFonts w:ascii="Arial" w:cs="Arial" w:eastAsia="Arial" w:hAnsi="Arial"/>
                <w:sz w:val="19"/>
                <w:szCs w:val="19"/>
                <w:color w:val="auto"/>
              </w:rPr>
              <w:t>Expected rate of return on plan assets</w:t>
            </w:r>
          </w:p>
        </w:tc>
        <w:tc>
          <w:tcPr>
            <w:tcW w:w="760" w:type="dxa"/>
            <w:vAlign w:val="bottom"/>
          </w:tcPr>
          <w:p>
            <w:pPr>
              <w:jc w:val="right"/>
              <w:spacing w:after="0"/>
              <w:rPr>
                <w:sz w:val="20"/>
                <w:szCs w:val="20"/>
                <w:color w:val="auto"/>
              </w:rPr>
            </w:pPr>
            <w:r>
              <w:rPr>
                <w:rFonts w:ascii="Arial" w:cs="Arial" w:eastAsia="Arial" w:hAnsi="Arial"/>
                <w:sz w:val="19"/>
                <w:szCs w:val="19"/>
                <w:color w:val="auto"/>
              </w:rPr>
              <w:t>9.00 %</w:t>
            </w:r>
          </w:p>
        </w:tc>
        <w:tc>
          <w:tcPr>
            <w:tcW w:w="1040" w:type="dxa"/>
            <w:vAlign w:val="bottom"/>
            <w:gridSpan w:val="2"/>
          </w:tcPr>
          <w:p>
            <w:pPr>
              <w:jc w:val="right"/>
              <w:ind w:right="60"/>
              <w:spacing w:after="0"/>
              <w:rPr>
                <w:sz w:val="20"/>
                <w:szCs w:val="20"/>
                <w:color w:val="auto"/>
              </w:rPr>
            </w:pPr>
            <w:r>
              <w:rPr>
                <w:rFonts w:ascii="Arial" w:cs="Arial" w:eastAsia="Arial" w:hAnsi="Arial"/>
                <w:sz w:val="19"/>
                <w:szCs w:val="19"/>
                <w:color w:val="auto"/>
              </w:rPr>
              <w:t>9.00 %</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9.00 %</w:t>
            </w:r>
          </w:p>
        </w:tc>
        <w:tc>
          <w:tcPr>
            <w:tcW w:w="260" w:type="dxa"/>
            <w:vAlign w:val="bottom"/>
          </w:tcPr>
          <w:p>
            <w:pPr>
              <w:spacing w:after="0"/>
              <w:rPr>
                <w:sz w:val="23"/>
                <w:szCs w:val="23"/>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780" w:type="dxa"/>
            <w:vAlign w:val="bottom"/>
          </w:tcPr>
          <w:p>
            <w:pPr>
              <w:jc w:val="right"/>
              <w:ind w:right="168"/>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3"/>
                <w:szCs w:val="23"/>
                <w:color w:val="auto"/>
              </w:rPr>
            </w:pPr>
          </w:p>
        </w:tc>
        <w:tc>
          <w:tcPr>
            <w:tcW w:w="780" w:type="dxa"/>
            <w:vAlign w:val="bottom"/>
          </w:tcPr>
          <w:p>
            <w:pPr>
              <w:jc w:val="right"/>
              <w:ind w:right="163"/>
              <w:spacing w:after="0"/>
              <w:rPr>
                <w:sz w:val="20"/>
                <w:szCs w:val="20"/>
                <w:color w:val="auto"/>
              </w:rPr>
            </w:pPr>
            <w:r>
              <w:rPr>
                <w:rFonts w:ascii="Arial" w:cs="Arial" w:eastAsia="Arial" w:hAnsi="Arial"/>
                <w:sz w:val="19"/>
                <w:szCs w:val="19"/>
                <w:color w:val="auto"/>
              </w:rPr>
              <w:t>—</w:t>
            </w:r>
          </w:p>
        </w:tc>
      </w:tr>
      <w:tr>
        <w:trPr>
          <w:trHeight w:val="230"/>
        </w:trPr>
        <w:tc>
          <w:tcPr>
            <w:tcW w:w="53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Expected annual rate of compensation</w:t>
            </w:r>
          </w:p>
        </w:tc>
        <w:tc>
          <w:tcPr>
            <w:tcW w:w="7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r>
      <w:tr>
        <w:trPr>
          <w:trHeight w:val="230"/>
        </w:trPr>
        <w:tc>
          <w:tcPr>
            <w:tcW w:w="5360" w:type="dxa"/>
            <w:vAlign w:val="bottom"/>
            <w:shd w:val="clear" w:color="auto" w:fill="E5FFFF"/>
          </w:tcPr>
          <w:p>
            <w:pPr>
              <w:ind w:left="560"/>
              <w:spacing w:after="0"/>
              <w:rPr>
                <w:sz w:val="20"/>
                <w:szCs w:val="20"/>
                <w:color w:val="auto"/>
              </w:rPr>
            </w:pPr>
            <w:r>
              <w:rPr>
                <w:rFonts w:ascii="Arial" w:cs="Arial" w:eastAsia="Arial" w:hAnsi="Arial"/>
                <w:sz w:val="19"/>
                <w:szCs w:val="19"/>
                <w:color w:val="auto"/>
              </w:rPr>
              <w:t>increase</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4.50 %</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4.50 %</w:t>
            </w: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4.00 %</w:t>
            </w:r>
          </w:p>
        </w:tc>
        <w:tc>
          <w:tcPr>
            <w:tcW w:w="260" w:type="dxa"/>
            <w:vAlign w:val="bottom"/>
            <w:shd w:val="clear" w:color="auto" w:fill="E5FFFF"/>
          </w:tcPr>
          <w:p>
            <w:pPr>
              <w:spacing w:after="0"/>
              <w:rPr>
                <w:sz w:val="19"/>
                <w:szCs w:val="19"/>
                <w:color w:val="auto"/>
              </w:rPr>
            </w:pPr>
          </w:p>
        </w:tc>
        <w:tc>
          <w:tcPr>
            <w:tcW w:w="760" w:type="dxa"/>
            <w:vAlign w:val="bottom"/>
            <w:shd w:val="clear" w:color="auto" w:fill="E5FFFF"/>
          </w:tcPr>
          <w:p>
            <w:pPr>
              <w:jc w:val="right"/>
              <w:ind w:right="168"/>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jc w:val="right"/>
              <w:ind w:right="168"/>
              <w:spacing w:after="0"/>
              <w:rPr>
                <w:sz w:val="20"/>
                <w:szCs w:val="20"/>
                <w:color w:val="auto"/>
              </w:rPr>
            </w:pPr>
            <w:r>
              <w:rPr>
                <w:rFonts w:ascii="Arial" w:cs="Arial" w:eastAsia="Arial" w:hAnsi="Arial"/>
                <w:sz w:val="19"/>
                <w:szCs w:val="19"/>
                <w:color w:val="auto"/>
              </w:rPr>
              <w:t>—</w:t>
            </w: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jc w:val="right"/>
              <w:ind w:right="163"/>
              <w:spacing w:after="0"/>
              <w:rPr>
                <w:sz w:val="20"/>
                <w:szCs w:val="20"/>
                <w:color w:val="auto"/>
              </w:rPr>
            </w:pPr>
            <w:r>
              <w:rPr>
                <w:rFonts w:ascii="Arial" w:cs="Arial" w:eastAsia="Arial" w:hAnsi="Arial"/>
                <w:sz w:val="19"/>
                <w:szCs w:val="19"/>
                <w:color w:val="auto"/>
              </w:rPr>
              <w:t>—</w:t>
            </w:r>
          </w:p>
        </w:tc>
      </w:tr>
    </w:tbl>
    <w:p>
      <w:pPr>
        <w:spacing w:after="0" w:line="108" w:lineRule="exact"/>
        <w:rPr>
          <w:sz w:val="20"/>
          <w:szCs w:val="20"/>
          <w:color w:val="auto"/>
        </w:rPr>
      </w:pPr>
    </w:p>
    <w:p>
      <w:pPr>
        <w:ind w:right="200" w:firstLine="357"/>
        <w:spacing w:after="0" w:line="241" w:lineRule="auto"/>
        <w:rPr>
          <w:sz w:val="20"/>
          <w:szCs w:val="20"/>
          <w:color w:val="auto"/>
        </w:rPr>
      </w:pPr>
      <w:r>
        <w:rPr>
          <w:rFonts w:ascii="Arial" w:cs="Arial" w:eastAsia="Arial" w:hAnsi="Arial"/>
          <w:sz w:val="19"/>
          <w:szCs w:val="19"/>
          <w:color w:val="auto"/>
        </w:rPr>
        <w:t>To select a discount rate for our retirement benefit plans, we use a modeling process that involves matching the expected cash outflows of our benefit plans to a yield curve constructed from a portfolio of double A rated fixed-income debt instruments. We use the average yield of this hypothetical portfolio as a discount rate benchmark. The discount rate used to determine the other postretirement benefit obligation is lower principally due to a shorter expected duration of other postretirement plan obligations as compared to pension plan obligations.</w:t>
      </w:r>
    </w:p>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Our expected rate of return on plan assets of 9 percent is a long-term rate based on historic plan asset returns over varying long-term periods combined with current market conditions and broad asset mix considerations. The expected rate of return is a long-term assumption and generally does not change annually.</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Pension Benefits</w:t>
      </w:r>
    </w:p>
    <w:p>
      <w:pPr>
        <w:spacing w:after="0" w:line="130" w:lineRule="exact"/>
        <w:rPr>
          <w:sz w:val="20"/>
          <w:szCs w:val="20"/>
          <w:color w:val="auto"/>
        </w:rPr>
      </w:pPr>
    </w:p>
    <w:p>
      <w:pPr>
        <w:ind w:right="360" w:firstLine="357"/>
        <w:spacing w:after="0" w:line="253" w:lineRule="auto"/>
        <w:rPr>
          <w:sz w:val="20"/>
          <w:szCs w:val="20"/>
          <w:color w:val="auto"/>
        </w:rPr>
      </w:pPr>
      <w:r>
        <w:rPr>
          <w:rFonts w:ascii="Arial" w:cs="Arial" w:eastAsia="Arial" w:hAnsi="Arial"/>
          <w:sz w:val="19"/>
          <w:szCs w:val="19"/>
          <w:color w:val="auto"/>
        </w:rPr>
        <w:t>Included in the aggregate data in the tables above are the amounts applicable to our pension plans with accumulated benefit obligations exceeding the fair value of plan assets. Amounts related to such plans were as follows:</w:t>
      </w:r>
    </w:p>
    <w:p>
      <w:pPr>
        <w:spacing w:after="0" w:line="78"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2008</w:t>
            </w:r>
          </w:p>
        </w:tc>
      </w:tr>
      <w:tr>
        <w:trPr>
          <w:trHeight w:val="264"/>
        </w:trPr>
        <w:tc>
          <w:tcPr>
            <w:tcW w:w="8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Projected benefit obligations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17,159</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ind w:left="80"/>
              <w:spacing w:after="0"/>
              <w:rPr>
                <w:sz w:val="20"/>
                <w:szCs w:val="20"/>
                <w:color w:val="auto"/>
              </w:rPr>
            </w:pPr>
            <w:r>
              <w:rPr>
                <w:rFonts w:ascii="Arial" w:cs="Arial" w:eastAsia="Arial" w:hAnsi="Arial"/>
                <w:sz w:val="19"/>
                <w:szCs w:val="19"/>
                <w:color w:val="auto"/>
              </w:rPr>
              <w:t>14,713</w:t>
            </w:r>
          </w:p>
        </w:tc>
      </w:tr>
      <w:tr>
        <w:trPr>
          <w:trHeight w:val="270"/>
        </w:trPr>
        <w:tc>
          <w:tcPr>
            <w:tcW w:w="8160" w:type="dxa"/>
            <w:vAlign w:val="bottom"/>
          </w:tcPr>
          <w:p>
            <w:pPr>
              <w:ind w:left="20"/>
              <w:spacing w:after="0"/>
              <w:rPr>
                <w:sz w:val="20"/>
                <w:szCs w:val="20"/>
                <w:color w:val="auto"/>
              </w:rPr>
            </w:pPr>
            <w:r>
              <w:rPr>
                <w:rFonts w:ascii="Arial" w:cs="Arial" w:eastAsia="Arial" w:hAnsi="Arial"/>
                <w:sz w:val="19"/>
                <w:szCs w:val="19"/>
                <w:color w:val="auto"/>
              </w:rPr>
              <w:t>Accumulated benefit obligations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10"/>
              <w:spacing w:after="0"/>
              <w:rPr>
                <w:sz w:val="20"/>
                <w:szCs w:val="20"/>
                <w:color w:val="auto"/>
              </w:rPr>
            </w:pPr>
            <w:r>
              <w:rPr>
                <w:rFonts w:ascii="Arial" w:cs="Arial" w:eastAsia="Arial" w:hAnsi="Arial"/>
                <w:sz w:val="19"/>
                <w:szCs w:val="19"/>
                <w:color w:val="auto"/>
              </w:rPr>
              <w:t>16,102</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tcPr>
          <w:p>
            <w:pPr>
              <w:ind w:left="80"/>
              <w:spacing w:after="0"/>
              <w:rPr>
                <w:sz w:val="20"/>
                <w:szCs w:val="20"/>
                <w:color w:val="auto"/>
              </w:rPr>
            </w:pPr>
            <w:r>
              <w:rPr>
                <w:rFonts w:ascii="Arial" w:cs="Arial" w:eastAsia="Arial" w:hAnsi="Arial"/>
                <w:sz w:val="19"/>
                <w:szCs w:val="19"/>
                <w:color w:val="auto"/>
              </w:rPr>
              <w:t>14,012</w:t>
            </w:r>
          </w:p>
        </w:tc>
      </w:tr>
      <w:tr>
        <w:trPr>
          <w:trHeight w:val="270"/>
        </w:trPr>
        <w:tc>
          <w:tcPr>
            <w:tcW w:w="8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Fair value of plan assets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12,999</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ind w:left="80"/>
              <w:spacing w:after="0"/>
              <w:rPr>
                <w:sz w:val="20"/>
                <w:szCs w:val="20"/>
                <w:color w:val="auto"/>
              </w:rPr>
            </w:pPr>
            <w:r>
              <w:rPr>
                <w:rFonts w:ascii="Arial" w:cs="Arial" w:eastAsia="Arial" w:hAnsi="Arial"/>
                <w:sz w:val="19"/>
                <w:szCs w:val="19"/>
                <w:color w:val="auto"/>
              </w:rPr>
              <w:t>11,125</w:t>
            </w:r>
          </w:p>
        </w:tc>
      </w:tr>
    </w:tbl>
    <w:p>
      <w:pPr>
        <w:spacing w:after="0" w:line="95"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The accumulated benefit obligation for our defined benefit pension plans was $16.8 and $14.3 billion at December 31, 2009 and 2008, respectively.</w:t>
      </w:r>
    </w:p>
    <w:p>
      <w:pPr>
        <w:spacing w:after="0" w:line="80"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Our asset investment strategy focuses on maintaining a diversified portfolio using various asset classes in order to achieve our long-term investment objectives on a risk adjusted basis. Our actual invested positions in various securities change over time based on short and longer-term investment opportunities. To achieve our objectives, we have established long-term target allocations as follows: 60-70 percent equity securities, 10-20 percent fixed income securities and cash, 5-15 percent real estate investments, and 10-20 percent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00"/>
        <w:spacing w:after="0" w:line="245" w:lineRule="auto"/>
        <w:rPr>
          <w:sz w:val="20"/>
          <w:szCs w:val="20"/>
          <w:color w:val="auto"/>
        </w:rPr>
      </w:pPr>
      <w:r>
        <w:rPr>
          <w:rFonts w:ascii="Arial" w:cs="Arial" w:eastAsia="Arial" w:hAnsi="Arial"/>
          <w:sz w:val="19"/>
          <w:szCs w:val="19"/>
          <w:color w:val="auto"/>
        </w:rPr>
        <w:t>investments in real estate funds. Other types of investments include investments in private equity and hedge funds that follow several different strategies. Our non-U.S. investment policies are different for each country, but the long-term investment objectives remain the same.</w:t>
      </w:r>
    </w:p>
    <w:p>
      <w:pPr>
        <w:spacing w:after="0" w:line="195"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Our U.S. pension plans assets were $10.3 and $8.7 billion and our non-U.S. pension plans assets were $3.5 and $2.8 billion at December 31, 2009 and 2008, respectively. The fair values of our pension plans assets at December 31, 2009 by asset category are as follows:</w:t>
      </w:r>
    </w:p>
    <w:p>
      <w:pPr>
        <w:spacing w:after="0" w:line="86"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8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w w:val="95"/>
              </w:rPr>
              <w:t>Level 3</w:t>
            </w:r>
          </w:p>
        </w:tc>
      </w:tr>
      <w:tr>
        <w:trPr>
          <w:trHeight w:val="237"/>
        </w:trPr>
        <w:tc>
          <w:tcPr>
            <w:tcW w:w="6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Equity securities:</w:t>
            </w:r>
          </w:p>
        </w:tc>
        <w:tc>
          <w:tcPr>
            <w:tcW w:w="20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r>
      <w:tr>
        <w:trPr>
          <w:trHeight w:val="270"/>
        </w:trPr>
        <w:tc>
          <w:tcPr>
            <w:tcW w:w="6060" w:type="dxa"/>
            <w:vAlign w:val="bottom"/>
          </w:tcPr>
          <w:p>
            <w:pPr>
              <w:ind w:left="380"/>
              <w:spacing w:after="0"/>
              <w:rPr>
                <w:sz w:val="20"/>
                <w:szCs w:val="20"/>
                <w:color w:val="auto"/>
              </w:rPr>
            </w:pPr>
            <w:r>
              <w:rPr>
                <w:rFonts w:ascii="Arial" w:cs="Arial" w:eastAsia="Arial" w:hAnsi="Arial"/>
                <w:sz w:val="19"/>
                <w:szCs w:val="19"/>
                <w:color w:val="auto"/>
              </w:rPr>
              <w:t>U.S. companies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5,181</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$ 5,099</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82</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0"/>
        </w:trPr>
        <w:tc>
          <w:tcPr>
            <w:tcW w:w="60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Non-U.S. companies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3,324</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2,269</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1,055</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6060" w:type="dxa"/>
            <w:vAlign w:val="bottom"/>
          </w:tcPr>
          <w:p>
            <w:pPr>
              <w:ind w:left="20"/>
              <w:spacing w:after="0"/>
              <w:rPr>
                <w:sz w:val="20"/>
                <w:szCs w:val="20"/>
                <w:color w:val="auto"/>
              </w:rPr>
            </w:pPr>
            <w:r>
              <w:rPr>
                <w:rFonts w:ascii="Arial" w:cs="Arial" w:eastAsia="Arial" w:hAnsi="Arial"/>
                <w:sz w:val="19"/>
                <w:szCs w:val="19"/>
                <w:color w:val="auto"/>
              </w:rPr>
              <w:t>Fixed income securities: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60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Short-term investments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439</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439</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70"/>
        </w:trPr>
        <w:tc>
          <w:tcPr>
            <w:tcW w:w="6060" w:type="dxa"/>
            <w:vAlign w:val="bottom"/>
          </w:tcPr>
          <w:p>
            <w:pPr>
              <w:ind w:left="380"/>
              <w:spacing w:after="0"/>
              <w:rPr>
                <w:sz w:val="20"/>
                <w:szCs w:val="20"/>
                <w:color w:val="auto"/>
              </w:rPr>
            </w:pPr>
            <w:r>
              <w:rPr>
                <w:rFonts w:ascii="Arial" w:cs="Arial" w:eastAsia="Arial" w:hAnsi="Arial"/>
                <w:sz w:val="19"/>
                <w:szCs w:val="19"/>
                <w:color w:val="auto"/>
              </w:rPr>
              <w:t>Government securities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955</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258</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697</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0"/>
        </w:trPr>
        <w:tc>
          <w:tcPr>
            <w:tcW w:w="60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 securities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1,281</w:t>
            </w:r>
          </w:p>
        </w:tc>
        <w:tc>
          <w:tcPr>
            <w:tcW w:w="28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1,281</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70"/>
        </w:trPr>
        <w:tc>
          <w:tcPr>
            <w:tcW w:w="6060" w:type="dxa"/>
            <w:vAlign w:val="bottom"/>
          </w:tcPr>
          <w:p>
            <w:pPr>
              <w:ind w:left="380"/>
              <w:spacing w:after="0"/>
              <w:rPr>
                <w:sz w:val="20"/>
                <w:szCs w:val="20"/>
                <w:color w:val="auto"/>
              </w:rPr>
            </w:pPr>
            <w:r>
              <w:rPr>
                <w:rFonts w:ascii="Arial" w:cs="Arial" w:eastAsia="Arial" w:hAnsi="Arial"/>
                <w:sz w:val="19"/>
                <w:szCs w:val="19"/>
                <w:color w:val="auto"/>
              </w:rPr>
              <w:t>Mortgage/Asset-Backed securities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357</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357</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0"/>
        </w:trPr>
        <w:tc>
          <w:tcPr>
            <w:tcW w:w="60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Insurance contracts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216</w:t>
            </w:r>
          </w:p>
        </w:tc>
        <w:tc>
          <w:tcPr>
            <w:tcW w:w="28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216</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70"/>
        </w:trPr>
        <w:tc>
          <w:tcPr>
            <w:tcW w:w="6060" w:type="dxa"/>
            <w:vAlign w:val="bottom"/>
          </w:tcPr>
          <w:p>
            <w:pPr>
              <w:ind w:left="20"/>
              <w:spacing w:after="0"/>
              <w:rPr>
                <w:sz w:val="20"/>
                <w:szCs w:val="20"/>
                <w:color w:val="auto"/>
              </w:rPr>
            </w:pPr>
            <w:r>
              <w:rPr>
                <w:rFonts w:ascii="Arial" w:cs="Arial" w:eastAsia="Arial" w:hAnsi="Arial"/>
                <w:sz w:val="19"/>
                <w:szCs w:val="19"/>
                <w:color w:val="auto"/>
              </w:rPr>
              <w:t>Real estate investments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786</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48</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738</w:t>
            </w:r>
          </w:p>
        </w:tc>
      </w:tr>
      <w:tr>
        <w:trPr>
          <w:trHeight w:val="270"/>
        </w:trPr>
        <w:tc>
          <w:tcPr>
            <w:tcW w:w="6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1,226</w:t>
            </w:r>
          </w:p>
        </w:tc>
        <w:tc>
          <w:tcPr>
            <w:tcW w:w="280" w:type="dxa"/>
            <w:vAlign w:val="bottom"/>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1,226</w:t>
            </w:r>
          </w:p>
        </w:tc>
      </w:tr>
      <w:tr>
        <w:trPr>
          <w:trHeight w:val="304"/>
        </w:trPr>
        <w:tc>
          <w:tcPr>
            <w:tcW w:w="60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13,765</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$ 8,113</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3,688</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1,964</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changes in the fair value of Level 3 assets for the year ended December 31, 2009:</w:t>
      </w:r>
    </w:p>
    <w:p>
      <w:pPr>
        <w:spacing w:after="0" w:line="4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100" w:type="dxa"/>
            <w:vAlign w:val="bottom"/>
            <w:gridSpan w:val="2"/>
          </w:tcPr>
          <w:p>
            <w:pPr>
              <w:jc w:val="right"/>
              <w:ind w:right="43"/>
              <w:spacing w:after="0"/>
              <w:rPr>
                <w:sz w:val="20"/>
                <w:szCs w:val="20"/>
                <w:color w:val="auto"/>
              </w:rPr>
            </w:pPr>
            <w:r>
              <w:rPr>
                <w:rFonts w:ascii="Arial" w:cs="Arial" w:eastAsia="Arial" w:hAnsi="Arial"/>
                <w:sz w:val="16"/>
                <w:szCs w:val="16"/>
                <w:b w:val="1"/>
                <w:bCs w:val="1"/>
                <w:color w:val="auto"/>
              </w:rPr>
              <w:t>Real estate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4"/>
        </w:trPr>
        <w:tc>
          <w:tcPr>
            <w:tcW w:w="806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investments</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Other</w:t>
            </w:r>
          </w:p>
        </w:tc>
      </w:tr>
      <w:tr>
        <w:trPr>
          <w:trHeight w:val="264"/>
        </w:trPr>
        <w:tc>
          <w:tcPr>
            <w:tcW w:w="8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2008</w:t>
            </w:r>
          </w:p>
        </w:tc>
        <w:tc>
          <w:tcPr>
            <w:tcW w:w="300" w:type="dxa"/>
            <w:vAlign w:val="bottom"/>
            <w:shd w:val="clear" w:color="auto" w:fill="E5FFFF"/>
          </w:tcPr>
          <w:p>
            <w:pPr>
              <w:jc w:val="right"/>
              <w:ind w:right="52"/>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83"/>
              <w:spacing w:after="0"/>
              <w:rPr>
                <w:sz w:val="20"/>
                <w:szCs w:val="20"/>
                <w:color w:val="auto"/>
              </w:rPr>
            </w:pPr>
            <w:r>
              <w:rPr>
                <w:rFonts w:ascii="Arial" w:cs="Arial" w:eastAsia="Arial" w:hAnsi="Arial"/>
                <w:sz w:val="19"/>
                <w:szCs w:val="19"/>
                <w:color w:val="auto"/>
              </w:rPr>
              <w:t>1,001</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1,161</w:t>
            </w:r>
          </w:p>
        </w:tc>
      </w:tr>
      <w:tr>
        <w:trPr>
          <w:trHeight w:val="243"/>
        </w:trPr>
        <w:tc>
          <w:tcPr>
            <w:tcW w:w="8060" w:type="dxa"/>
            <w:vAlign w:val="bottom"/>
          </w:tcPr>
          <w:p>
            <w:pPr>
              <w:ind w:left="20"/>
              <w:spacing w:after="0"/>
              <w:rPr>
                <w:sz w:val="20"/>
                <w:szCs w:val="20"/>
                <w:color w:val="auto"/>
              </w:rPr>
            </w:pPr>
            <w:r>
              <w:rPr>
                <w:rFonts w:ascii="Arial" w:cs="Arial" w:eastAsia="Arial" w:hAnsi="Arial"/>
                <w:sz w:val="19"/>
                <w:szCs w:val="19"/>
                <w:color w:val="auto"/>
              </w:rPr>
              <w:t>Actual return on plan assets: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80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Relating to assets still held at year-end</w:t>
            </w:r>
          </w:p>
        </w:tc>
        <w:tc>
          <w:tcPr>
            <w:tcW w:w="30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(331 )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(46 )</w:t>
            </w:r>
          </w:p>
        </w:tc>
      </w:tr>
      <w:tr>
        <w:trPr>
          <w:trHeight w:val="270"/>
        </w:trPr>
        <w:tc>
          <w:tcPr>
            <w:tcW w:w="8060" w:type="dxa"/>
            <w:vAlign w:val="bottom"/>
          </w:tcPr>
          <w:p>
            <w:pPr>
              <w:ind w:left="380"/>
              <w:spacing w:after="0"/>
              <w:rPr>
                <w:sz w:val="20"/>
                <w:szCs w:val="20"/>
                <w:color w:val="auto"/>
              </w:rPr>
            </w:pPr>
            <w:r>
              <w:rPr>
                <w:rFonts w:ascii="Arial" w:cs="Arial" w:eastAsia="Arial" w:hAnsi="Arial"/>
                <w:sz w:val="19"/>
                <w:szCs w:val="19"/>
                <w:color w:val="auto"/>
              </w:rPr>
              <w:t>Relating to assets sold during the year</w:t>
            </w:r>
          </w:p>
        </w:tc>
        <w:tc>
          <w:tcPr>
            <w:tcW w:w="30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9"/>
                <w:szCs w:val="19"/>
                <w:color w:val="auto"/>
              </w:rPr>
              <w:t>(4 )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7</w:t>
            </w:r>
          </w:p>
        </w:tc>
      </w:tr>
      <w:tr>
        <w:trPr>
          <w:trHeight w:val="270"/>
        </w:trPr>
        <w:tc>
          <w:tcPr>
            <w:tcW w:w="8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Purchases, sales and settlements</w:t>
            </w:r>
          </w:p>
        </w:tc>
        <w:tc>
          <w:tcPr>
            <w:tcW w:w="30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83"/>
              <w:spacing w:after="0"/>
              <w:rPr>
                <w:sz w:val="20"/>
                <w:szCs w:val="20"/>
                <w:color w:val="auto"/>
              </w:rPr>
            </w:pPr>
            <w:r>
              <w:rPr>
                <w:rFonts w:ascii="Arial" w:cs="Arial" w:eastAsia="Arial" w:hAnsi="Arial"/>
                <w:sz w:val="19"/>
                <w:szCs w:val="19"/>
                <w:color w:val="auto"/>
              </w:rPr>
              <w:t>72</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104</w:t>
            </w:r>
          </w:p>
        </w:tc>
      </w:tr>
      <w:tr>
        <w:trPr>
          <w:trHeight w:val="304"/>
        </w:trPr>
        <w:tc>
          <w:tcPr>
            <w:tcW w:w="8060" w:type="dxa"/>
            <w:vAlign w:val="bottom"/>
          </w:tcPr>
          <w:p>
            <w:pPr>
              <w:ind w:left="20"/>
              <w:spacing w:after="0"/>
              <w:rPr>
                <w:sz w:val="20"/>
                <w:szCs w:val="20"/>
                <w:color w:val="auto"/>
              </w:rPr>
            </w:pPr>
            <w:r>
              <w:rPr>
                <w:rFonts w:ascii="Arial" w:cs="Arial" w:eastAsia="Arial" w:hAnsi="Arial"/>
                <w:sz w:val="19"/>
                <w:szCs w:val="19"/>
                <w:color w:val="auto"/>
              </w:rPr>
              <w:t>Balance at December 31, 2009</w:t>
            </w:r>
          </w:p>
        </w:tc>
        <w:tc>
          <w:tcPr>
            <w:tcW w:w="300" w:type="dxa"/>
            <w:vAlign w:val="bottom"/>
          </w:tcPr>
          <w:p>
            <w:pPr>
              <w:jc w:val="right"/>
              <w:ind w:right="52"/>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83"/>
              <w:spacing w:after="0"/>
              <w:rPr>
                <w:sz w:val="20"/>
                <w:szCs w:val="20"/>
                <w:color w:val="auto"/>
              </w:rPr>
            </w:pPr>
            <w:r>
              <w:rPr>
                <w:rFonts w:ascii="Arial" w:cs="Arial" w:eastAsia="Arial" w:hAnsi="Arial"/>
                <w:sz w:val="19"/>
                <w:szCs w:val="19"/>
                <w:color w:val="auto"/>
              </w:rPr>
              <w:t>738</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1,226</w:t>
            </w:r>
          </w:p>
        </w:tc>
      </w:tr>
      <w:tr>
        <w:trPr>
          <w:trHeight w:val="20"/>
        </w:trPr>
        <w:tc>
          <w:tcPr>
            <w:tcW w:w="8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Our general funding policy for qualified pension plans is to contribute amounts at least sufficient to satisfy regulatory funding standards. In 2009, 2008 and 2007, we made voluntary contributions of $ 740, $242 and $42 million, respectively, to our U.S. defined benefit pension plans primarily to improve the funded status of our plans. At December 31, 2009 and 2008, the fair value of our pension plans assets invested in Honeywell common stock was $1.1 billion and $204 million, respectively. During 2010, we plan to make additional voluntary contributions of Honeywell common stock to our U.S. plans to improve the funded status of our plans. In 2010, we also expect to contribute approximately $150 million to our non-U.S. defined benefit pension plans to satisfy regulatory funding standards and to fund benefits to be paid directly from Company assets.</w:t>
      </w:r>
    </w:p>
    <w:p>
      <w:pPr>
        <w:spacing w:after="0" w:line="91"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Benefit payments, including amounts to be paid from Company assets, and reflecting expected future service, as appropriate, are expected to be paid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 w:type="dxa"/>
            <w:vAlign w:val="bottom"/>
          </w:tcPr>
          <w:p>
            <w:pPr>
              <w:spacing w:after="0"/>
              <w:rPr>
                <w:sz w:val="23"/>
                <w:szCs w:val="23"/>
                <w:color w:val="auto"/>
              </w:rPr>
            </w:pPr>
          </w:p>
        </w:tc>
        <w:tc>
          <w:tcPr>
            <w:tcW w:w="3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2010</w:t>
            </w:r>
          </w:p>
        </w:tc>
        <w:tc>
          <w:tcPr>
            <w:tcW w:w="7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1,106</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3020" w:type="dxa"/>
            <w:vAlign w:val="bottom"/>
          </w:tcPr>
          <w:p>
            <w:pPr>
              <w:ind w:left="20"/>
              <w:spacing w:after="0"/>
              <w:rPr>
                <w:sz w:val="20"/>
                <w:szCs w:val="20"/>
                <w:color w:val="auto"/>
              </w:rPr>
            </w:pPr>
            <w:r>
              <w:rPr>
                <w:rFonts w:ascii="Arial" w:cs="Arial" w:eastAsia="Arial" w:hAnsi="Arial"/>
                <w:sz w:val="19"/>
                <w:szCs w:val="19"/>
                <w:color w:val="auto"/>
              </w:rPr>
              <w:t>2011</w:t>
            </w:r>
          </w:p>
        </w:tc>
        <w:tc>
          <w:tcPr>
            <w:tcW w:w="7380" w:type="dxa"/>
            <w:vAlign w:val="bottom"/>
          </w:tcPr>
          <w:p>
            <w:pPr>
              <w:jc w:val="right"/>
              <w:spacing w:after="0"/>
              <w:rPr>
                <w:sz w:val="20"/>
                <w:szCs w:val="20"/>
                <w:color w:val="auto"/>
              </w:rPr>
            </w:pPr>
            <w:r>
              <w:rPr>
                <w:rFonts w:ascii="Arial" w:cs="Arial" w:eastAsia="Arial" w:hAnsi="Arial"/>
                <w:sz w:val="19"/>
                <w:szCs w:val="19"/>
                <w:color w:val="auto"/>
              </w:rPr>
              <w:t>1,143</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3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2012</w:t>
            </w:r>
          </w:p>
        </w:tc>
        <w:tc>
          <w:tcPr>
            <w:tcW w:w="7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1,161</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3020" w:type="dxa"/>
            <w:vAlign w:val="bottom"/>
          </w:tcPr>
          <w:p>
            <w:pPr>
              <w:ind w:left="20"/>
              <w:spacing w:after="0"/>
              <w:rPr>
                <w:sz w:val="20"/>
                <w:szCs w:val="20"/>
                <w:color w:val="auto"/>
              </w:rPr>
            </w:pPr>
            <w:r>
              <w:rPr>
                <w:rFonts w:ascii="Arial" w:cs="Arial" w:eastAsia="Arial" w:hAnsi="Arial"/>
                <w:sz w:val="19"/>
                <w:szCs w:val="19"/>
                <w:color w:val="auto"/>
              </w:rPr>
              <w:t>2013</w:t>
            </w:r>
          </w:p>
        </w:tc>
        <w:tc>
          <w:tcPr>
            <w:tcW w:w="7380" w:type="dxa"/>
            <w:vAlign w:val="bottom"/>
          </w:tcPr>
          <w:p>
            <w:pPr>
              <w:jc w:val="right"/>
              <w:spacing w:after="0"/>
              <w:rPr>
                <w:sz w:val="20"/>
                <w:szCs w:val="20"/>
                <w:color w:val="auto"/>
              </w:rPr>
            </w:pPr>
            <w:r>
              <w:rPr>
                <w:rFonts w:ascii="Arial" w:cs="Arial" w:eastAsia="Arial" w:hAnsi="Arial"/>
                <w:sz w:val="19"/>
                <w:szCs w:val="19"/>
                <w:color w:val="auto"/>
              </w:rPr>
              <w:t>1,173</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3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2014</w:t>
            </w:r>
          </w:p>
        </w:tc>
        <w:tc>
          <w:tcPr>
            <w:tcW w:w="7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1,189</w:t>
            </w:r>
          </w:p>
        </w:tc>
        <w:tc>
          <w:tcPr>
            <w:tcW w:w="520" w:type="dxa"/>
            <w:vAlign w:val="bottom"/>
          </w:tcPr>
          <w:p>
            <w:pPr>
              <w:spacing w:after="0"/>
              <w:rPr>
                <w:sz w:val="23"/>
                <w:szCs w:val="23"/>
                <w:color w:val="auto"/>
              </w:rPr>
            </w:pPr>
          </w:p>
        </w:tc>
      </w:tr>
      <w:tr>
        <w:trPr>
          <w:trHeight w:val="274"/>
        </w:trPr>
        <w:tc>
          <w:tcPr>
            <w:tcW w:w="500" w:type="dxa"/>
            <w:vAlign w:val="bottom"/>
          </w:tcPr>
          <w:p>
            <w:pPr>
              <w:spacing w:after="0"/>
              <w:rPr>
                <w:sz w:val="23"/>
                <w:szCs w:val="23"/>
                <w:color w:val="auto"/>
              </w:rPr>
            </w:pPr>
          </w:p>
        </w:tc>
        <w:tc>
          <w:tcPr>
            <w:tcW w:w="3020" w:type="dxa"/>
            <w:vAlign w:val="bottom"/>
          </w:tcPr>
          <w:p>
            <w:pPr>
              <w:ind w:left="20"/>
              <w:spacing w:after="0"/>
              <w:rPr>
                <w:sz w:val="20"/>
                <w:szCs w:val="20"/>
                <w:color w:val="auto"/>
              </w:rPr>
            </w:pPr>
            <w:r>
              <w:rPr>
                <w:rFonts w:ascii="Arial" w:cs="Arial" w:eastAsia="Arial" w:hAnsi="Arial"/>
                <w:sz w:val="19"/>
                <w:szCs w:val="19"/>
                <w:color w:val="auto"/>
              </w:rPr>
              <w:t>2015-2019</w:t>
            </w:r>
          </w:p>
        </w:tc>
        <w:tc>
          <w:tcPr>
            <w:tcW w:w="7380" w:type="dxa"/>
            <w:vAlign w:val="bottom"/>
          </w:tcPr>
          <w:p>
            <w:pPr>
              <w:jc w:val="right"/>
              <w:spacing w:after="0"/>
              <w:rPr>
                <w:sz w:val="20"/>
                <w:szCs w:val="20"/>
                <w:color w:val="auto"/>
              </w:rPr>
            </w:pPr>
            <w:r>
              <w:rPr>
                <w:rFonts w:ascii="Arial" w:cs="Arial" w:eastAsia="Arial" w:hAnsi="Arial"/>
                <w:sz w:val="19"/>
                <w:szCs w:val="19"/>
                <w:color w:val="auto"/>
              </w:rPr>
              <w:t>6,219</w:t>
            </w:r>
          </w:p>
        </w:tc>
        <w:tc>
          <w:tcPr>
            <w:tcW w:w="520" w:type="dxa"/>
            <w:vAlign w:val="bottom"/>
          </w:tcPr>
          <w:p>
            <w:pPr>
              <w:spacing w:after="0"/>
              <w:rPr>
                <w:sz w:val="23"/>
                <w:szCs w:val="23"/>
                <w:color w:val="auto"/>
              </w:rPr>
            </w:pPr>
          </w:p>
        </w:tc>
      </w:tr>
      <w:tr>
        <w:trPr>
          <w:trHeight w:val="338"/>
        </w:trPr>
        <w:tc>
          <w:tcPr>
            <w:tcW w:w="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380" w:type="dxa"/>
            <w:vAlign w:val="bottom"/>
          </w:tcPr>
          <w:p>
            <w:pPr>
              <w:jc w:val="right"/>
              <w:ind w:right="4983"/>
              <w:spacing w:after="0"/>
              <w:rPr>
                <w:sz w:val="20"/>
                <w:szCs w:val="20"/>
                <w:color w:val="auto"/>
              </w:rPr>
            </w:pPr>
            <w:r>
              <w:rPr>
                <w:rFonts w:ascii="Arial" w:cs="Arial" w:eastAsia="Arial" w:hAnsi="Arial"/>
                <w:sz w:val="19"/>
                <w:szCs w:val="19"/>
                <w:color w:val="auto"/>
              </w:rPr>
              <w:t>97</w:t>
            </w: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Postretirement Benefits</w:t>
      </w:r>
    </w:p>
    <w:p>
      <w:pPr>
        <w:spacing w:after="0" w:line="130"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The Medicare Prescription Drug, Improvement and Modernization Act of 2003 (the Act) provides subsidies for employers that sponsor postretirement health care plans that provide prescription drug coverage that is at least actuarially equivalent to that offered by Medicare Part D. The impact of the Act reduced other postretirement benefits expense by approximately $11, $21 and $25 million in 2009, 2008 and 2007, respectively.</w:t>
      </w:r>
    </w:p>
    <w:p>
      <w:pPr>
        <w:spacing w:after="0" w:line="90"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400" w:type="dxa"/>
            <w:vAlign w:val="bottom"/>
          </w:tcPr>
          <w:p>
            <w:pPr>
              <w:spacing w:after="0"/>
              <w:rPr>
                <w:sz w:val="17"/>
                <w:szCs w:val="17"/>
                <w:color w:val="auto"/>
              </w:rPr>
            </w:pPr>
          </w:p>
        </w:tc>
        <w:tc>
          <w:tcPr>
            <w:tcW w:w="20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40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6"/>
                <w:szCs w:val="16"/>
                <w:b w:val="1"/>
                <w:bCs w:val="1"/>
                <w:color w:val="auto"/>
              </w:rPr>
              <w:t>2009</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2008</w:t>
            </w:r>
          </w:p>
        </w:tc>
      </w:tr>
      <w:tr>
        <w:trPr>
          <w:trHeight w:val="237"/>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Assumed health care cost trend rate:</w:t>
            </w:r>
          </w:p>
        </w:tc>
        <w:tc>
          <w:tcPr>
            <w:tcW w:w="84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80" w:type="dxa"/>
            <w:vAlign w:val="bottom"/>
            <w:tcBorders>
              <w:top w:val="single" w:sz="8" w:color="auto"/>
            </w:tcBorders>
            <w:shd w:val="clear" w:color="auto" w:fill="E5FFFF"/>
          </w:tcPr>
          <w:p>
            <w:pPr>
              <w:spacing w:after="0"/>
              <w:rPr>
                <w:sz w:val="20"/>
                <w:szCs w:val="20"/>
                <w:color w:val="auto"/>
              </w:rPr>
            </w:pPr>
          </w:p>
        </w:tc>
      </w:tr>
      <w:tr>
        <w:trPr>
          <w:trHeight w:val="270"/>
        </w:trPr>
        <w:tc>
          <w:tcPr>
            <w:tcW w:w="8400" w:type="dxa"/>
            <w:vAlign w:val="bottom"/>
          </w:tcPr>
          <w:p>
            <w:pPr>
              <w:ind w:left="380"/>
              <w:spacing w:after="0"/>
              <w:rPr>
                <w:sz w:val="20"/>
                <w:szCs w:val="20"/>
                <w:color w:val="auto"/>
              </w:rPr>
            </w:pPr>
            <w:r>
              <w:rPr>
                <w:rFonts w:ascii="Arial" w:cs="Arial" w:eastAsia="Arial" w:hAnsi="Arial"/>
                <w:sz w:val="19"/>
                <w:szCs w:val="19"/>
                <w:color w:val="auto"/>
              </w:rPr>
              <w:t>Health care cost trend rate assumed for next year</w:t>
            </w:r>
          </w:p>
        </w:tc>
        <w:tc>
          <w:tcPr>
            <w:tcW w:w="840" w:type="dxa"/>
            <w:vAlign w:val="bottom"/>
          </w:tcPr>
          <w:p>
            <w:pPr>
              <w:jc w:val="right"/>
              <w:spacing w:after="0"/>
              <w:rPr>
                <w:sz w:val="20"/>
                <w:szCs w:val="20"/>
                <w:color w:val="auto"/>
              </w:rPr>
            </w:pPr>
            <w:r>
              <w:rPr>
                <w:rFonts w:ascii="Arial" w:cs="Arial" w:eastAsia="Arial" w:hAnsi="Arial"/>
                <w:sz w:val="19"/>
                <w:szCs w:val="19"/>
                <w:color w:val="auto"/>
              </w:rPr>
              <w:t>8.0 %</w:t>
            </w:r>
          </w:p>
        </w:tc>
        <w:tc>
          <w:tcPr>
            <w:tcW w:w="1160" w:type="dxa"/>
            <w:vAlign w:val="bottom"/>
            <w:gridSpan w:val="2"/>
          </w:tcPr>
          <w:p>
            <w:pPr>
              <w:jc w:val="right"/>
              <w:ind w:right="80"/>
              <w:spacing w:after="0"/>
              <w:rPr>
                <w:sz w:val="20"/>
                <w:szCs w:val="20"/>
                <w:color w:val="auto"/>
              </w:rPr>
            </w:pPr>
            <w:r>
              <w:rPr>
                <w:rFonts w:ascii="Arial" w:cs="Arial" w:eastAsia="Arial" w:hAnsi="Arial"/>
                <w:sz w:val="19"/>
                <w:szCs w:val="19"/>
                <w:color w:val="auto"/>
              </w:rPr>
              <w:t>8.0 %</w:t>
            </w:r>
          </w:p>
        </w:tc>
      </w:tr>
      <w:tr>
        <w:trPr>
          <w:trHeight w:val="270"/>
        </w:trPr>
        <w:tc>
          <w:tcPr>
            <w:tcW w:w="84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Rate that the cost trend rate gradually declines to</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5.0 %</w:t>
            </w:r>
          </w:p>
        </w:tc>
        <w:tc>
          <w:tcPr>
            <w:tcW w:w="11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5.5 %</w:t>
            </w:r>
          </w:p>
        </w:tc>
      </w:tr>
      <w:tr>
        <w:trPr>
          <w:trHeight w:val="274"/>
        </w:trPr>
        <w:tc>
          <w:tcPr>
            <w:tcW w:w="8400" w:type="dxa"/>
            <w:vAlign w:val="bottom"/>
          </w:tcPr>
          <w:p>
            <w:pPr>
              <w:ind w:left="380"/>
              <w:spacing w:after="0"/>
              <w:rPr>
                <w:sz w:val="20"/>
                <w:szCs w:val="20"/>
                <w:color w:val="auto"/>
              </w:rPr>
            </w:pPr>
            <w:r>
              <w:rPr>
                <w:rFonts w:ascii="Arial" w:cs="Arial" w:eastAsia="Arial" w:hAnsi="Arial"/>
                <w:sz w:val="19"/>
                <w:szCs w:val="19"/>
                <w:color w:val="auto"/>
              </w:rPr>
              <w:t>Year that the rate reaches the rate it is assumed to remain at</w:t>
            </w:r>
          </w:p>
        </w:tc>
        <w:tc>
          <w:tcPr>
            <w:tcW w:w="840" w:type="dxa"/>
            <w:vAlign w:val="bottom"/>
          </w:tcPr>
          <w:p>
            <w:pPr>
              <w:jc w:val="right"/>
              <w:ind w:right="150"/>
              <w:spacing w:after="0"/>
              <w:rPr>
                <w:sz w:val="20"/>
                <w:szCs w:val="20"/>
                <w:color w:val="auto"/>
              </w:rPr>
            </w:pPr>
            <w:r>
              <w:rPr>
                <w:rFonts w:ascii="Arial" w:cs="Arial" w:eastAsia="Arial" w:hAnsi="Arial"/>
                <w:sz w:val="19"/>
                <w:szCs w:val="19"/>
                <w:color w:val="auto"/>
              </w:rPr>
              <w:t>2016</w:t>
            </w:r>
          </w:p>
        </w:tc>
        <w:tc>
          <w:tcPr>
            <w:tcW w:w="1160" w:type="dxa"/>
            <w:vAlign w:val="bottom"/>
            <w:gridSpan w:val="2"/>
          </w:tcPr>
          <w:p>
            <w:pPr>
              <w:jc w:val="right"/>
              <w:ind w:right="280"/>
              <w:spacing w:after="0"/>
              <w:rPr>
                <w:sz w:val="20"/>
                <w:szCs w:val="20"/>
                <w:color w:val="auto"/>
              </w:rPr>
            </w:pPr>
            <w:r>
              <w:rPr>
                <w:rFonts w:ascii="Arial" w:cs="Arial" w:eastAsia="Arial" w:hAnsi="Arial"/>
                <w:sz w:val="19"/>
                <w:szCs w:val="19"/>
                <w:color w:val="auto"/>
              </w:rPr>
              <w:t>2014</w:t>
            </w:r>
          </w:p>
        </w:tc>
      </w:tr>
    </w:tbl>
    <w:p>
      <w:pPr>
        <w:spacing w:after="0" w:line="104"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The assumed health care cost trend rate has a significant effect on the amounts reported. A one-percentage-point change in the assumed health care cost trend rate would have the following effects:</w:t>
      </w:r>
    </w:p>
    <w:p>
      <w:pPr>
        <w:spacing w:after="0" w:line="78"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rPr>
              <w:t>1 percentage point</w:t>
            </w:r>
          </w:p>
        </w:tc>
      </w:tr>
      <w:tr>
        <w:trPr>
          <w:trHeight w:val="250"/>
        </w:trPr>
        <w:tc>
          <w:tcPr>
            <w:tcW w:w="8380" w:type="dxa"/>
            <w:vAlign w:val="bottom"/>
          </w:tcPr>
          <w:p>
            <w:pPr>
              <w:spacing w:after="0"/>
              <w:rPr>
                <w:sz w:val="21"/>
                <w:szCs w:val="21"/>
                <w:color w:val="auto"/>
              </w:rPr>
            </w:pPr>
          </w:p>
        </w:tc>
        <w:tc>
          <w:tcPr>
            <w:tcW w:w="8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6"/>
                <w:szCs w:val="16"/>
                <w:b w:val="1"/>
                <w:bCs w:val="1"/>
                <w:color w:val="auto"/>
              </w:rPr>
              <w:t>Increase</w:t>
            </w:r>
          </w:p>
        </w:tc>
        <w:tc>
          <w:tcPr>
            <w:tcW w:w="300" w:type="dxa"/>
            <w:vAlign w:val="bottom"/>
          </w:tcPr>
          <w:p>
            <w:pPr>
              <w:spacing w:after="0"/>
              <w:rPr>
                <w:sz w:val="21"/>
                <w:szCs w:val="21"/>
                <w:color w:val="auto"/>
              </w:rPr>
            </w:pPr>
          </w:p>
        </w:tc>
        <w:tc>
          <w:tcPr>
            <w:tcW w:w="9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Decrease</w:t>
            </w:r>
          </w:p>
        </w:tc>
      </w:tr>
      <w:tr>
        <w:trPr>
          <w:trHeight w:val="264"/>
        </w:trPr>
        <w:tc>
          <w:tcPr>
            <w:tcW w:w="8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Effect on total of service and interest cost components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29"/>
              <w:spacing w:after="0"/>
              <w:rPr>
                <w:sz w:val="20"/>
                <w:szCs w:val="20"/>
                <w:color w:val="auto"/>
              </w:rPr>
            </w:pPr>
            <w:r>
              <w:rPr>
                <w:rFonts w:ascii="Arial" w:cs="Arial" w:eastAsia="Arial" w:hAnsi="Arial"/>
                <w:sz w:val="19"/>
                <w:szCs w:val="19"/>
                <w:color w:val="auto"/>
              </w:rPr>
              <w:t>5</w:t>
            </w:r>
          </w:p>
        </w:tc>
        <w:tc>
          <w:tcPr>
            <w:tcW w:w="58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rPr>
              <w:t>(4 )</w:t>
            </w:r>
          </w:p>
        </w:tc>
      </w:tr>
      <w:tr>
        <w:trPr>
          <w:trHeight w:val="274"/>
        </w:trPr>
        <w:tc>
          <w:tcPr>
            <w:tcW w:w="8380" w:type="dxa"/>
            <w:vAlign w:val="bottom"/>
          </w:tcPr>
          <w:p>
            <w:pPr>
              <w:ind w:left="20"/>
              <w:spacing w:after="0"/>
              <w:rPr>
                <w:sz w:val="20"/>
                <w:szCs w:val="20"/>
                <w:color w:val="auto"/>
              </w:rPr>
            </w:pPr>
            <w:r>
              <w:rPr>
                <w:rFonts w:ascii="Arial" w:cs="Arial" w:eastAsia="Arial" w:hAnsi="Arial"/>
                <w:sz w:val="19"/>
                <w:szCs w:val="19"/>
                <w:color w:val="auto"/>
              </w:rPr>
              <w:t>Effect on postretirement benefit obligation</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29"/>
              <w:spacing w:after="0"/>
              <w:rPr>
                <w:sz w:val="20"/>
                <w:szCs w:val="20"/>
                <w:color w:val="auto"/>
              </w:rPr>
            </w:pPr>
            <w:r>
              <w:rPr>
                <w:rFonts w:ascii="Arial" w:cs="Arial" w:eastAsia="Arial" w:hAnsi="Arial"/>
                <w:sz w:val="19"/>
                <w:szCs w:val="19"/>
                <w:color w:val="auto"/>
              </w:rPr>
              <w:t>75</w:t>
            </w:r>
          </w:p>
        </w:tc>
        <w:tc>
          <w:tcPr>
            <w:tcW w:w="580" w:type="dxa"/>
            <w:vAlign w:val="bottom"/>
            <w:gridSpan w:val="2"/>
          </w:tcPr>
          <w:p>
            <w:pPr>
              <w:jc w:val="right"/>
              <w:ind w:right="41"/>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23"/>
              <w:spacing w:after="0"/>
              <w:rPr>
                <w:sz w:val="20"/>
                <w:szCs w:val="20"/>
                <w:color w:val="auto"/>
              </w:rPr>
            </w:pPr>
            <w:r>
              <w:rPr>
                <w:rFonts w:ascii="Arial" w:cs="Arial" w:eastAsia="Arial" w:hAnsi="Arial"/>
                <w:sz w:val="19"/>
                <w:szCs w:val="19"/>
                <w:color w:val="auto"/>
              </w:rPr>
              <w:t>(66 )</w:t>
            </w:r>
          </w:p>
        </w:tc>
      </w:tr>
    </w:tbl>
    <w:p>
      <w:pPr>
        <w:spacing w:after="0" w:line="10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Benefit payments reflecting expected future service, as appropriate, are expected to be paid as follows:</w:t>
      </w:r>
    </w:p>
    <w:p>
      <w:pPr>
        <w:spacing w:after="0" w:line="4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6"/>
                <w:szCs w:val="16"/>
                <w:b w:val="1"/>
                <w:bCs w:val="1"/>
                <w:color w:val="auto"/>
                <w:w w:val="98"/>
              </w:rPr>
              <w:t>Without Impact</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6"/>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48"/>
              <w:spacing w:after="0" w:line="176" w:lineRule="exact"/>
              <w:rPr>
                <w:sz w:val="20"/>
                <w:szCs w:val="20"/>
                <w:color w:val="auto"/>
              </w:rPr>
            </w:pPr>
            <w:r>
              <w:rPr>
                <w:rFonts w:ascii="Arial" w:cs="Arial" w:eastAsia="Arial" w:hAnsi="Arial"/>
                <w:sz w:val="16"/>
                <w:szCs w:val="16"/>
                <w:b w:val="1"/>
                <w:bCs w:val="1"/>
                <w:color w:val="auto"/>
                <w:w w:val="92"/>
              </w:rPr>
              <w:t>of</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526"/>
              <w:spacing w:after="0" w:line="176" w:lineRule="exact"/>
              <w:rPr>
                <w:sz w:val="20"/>
                <w:szCs w:val="20"/>
                <w:color w:val="auto"/>
              </w:rPr>
            </w:pPr>
            <w:r>
              <w:rPr>
                <w:rFonts w:ascii="Arial" w:cs="Arial" w:eastAsia="Arial" w:hAnsi="Arial"/>
                <w:sz w:val="16"/>
                <w:szCs w:val="16"/>
                <w:b w:val="1"/>
                <w:bCs w:val="1"/>
                <w:color w:val="auto"/>
              </w:rPr>
              <w:t>Net of</w:t>
            </w:r>
          </w:p>
        </w:tc>
      </w:tr>
      <w:tr>
        <w:trPr>
          <w:trHeight w:val="204"/>
        </w:trPr>
        <w:tc>
          <w:tcPr>
            <w:tcW w:w="6740" w:type="dxa"/>
            <w:vAlign w:val="bottom"/>
          </w:tcPr>
          <w:p>
            <w:pPr>
              <w:spacing w:after="0"/>
              <w:rPr>
                <w:sz w:val="17"/>
                <w:szCs w:val="17"/>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Medicare Subsidy</w:t>
            </w:r>
          </w:p>
        </w:tc>
        <w:tc>
          <w:tcPr>
            <w:tcW w:w="300" w:type="dxa"/>
            <w:vAlign w:val="bottom"/>
          </w:tcPr>
          <w:p>
            <w:pPr>
              <w:spacing w:after="0"/>
              <w:rPr>
                <w:sz w:val="17"/>
                <w:szCs w:val="17"/>
                <w:color w:val="auto"/>
              </w:rPr>
            </w:pPr>
          </w:p>
        </w:tc>
        <w:tc>
          <w:tcPr>
            <w:tcW w:w="170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6"/>
                <w:szCs w:val="16"/>
                <w:b w:val="1"/>
                <w:bCs w:val="1"/>
                <w:color w:val="auto"/>
              </w:rPr>
              <w:t>Medicare Subsidy</w:t>
            </w:r>
          </w:p>
        </w:tc>
      </w:tr>
      <w:tr>
        <w:trPr>
          <w:trHeight w:val="264"/>
        </w:trPr>
        <w:tc>
          <w:tcPr>
            <w:tcW w:w="6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2010</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2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206</w:t>
            </w:r>
          </w:p>
        </w:tc>
        <w:tc>
          <w:tcPr>
            <w:tcW w:w="7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w:t>
            </w:r>
          </w:p>
        </w:tc>
        <w:tc>
          <w:tcPr>
            <w:tcW w:w="1280" w:type="dxa"/>
            <w:vAlign w:val="bottom"/>
            <w:shd w:val="clear" w:color="auto" w:fill="E5FFFF"/>
          </w:tcPr>
          <w:p>
            <w:pPr>
              <w:jc w:val="right"/>
              <w:ind w:right="126"/>
              <w:spacing w:after="0"/>
              <w:rPr>
                <w:sz w:val="20"/>
                <w:szCs w:val="20"/>
                <w:color w:val="auto"/>
              </w:rPr>
            </w:pPr>
            <w:r>
              <w:rPr>
                <w:rFonts w:ascii="Arial" w:cs="Arial" w:eastAsia="Arial" w:hAnsi="Arial"/>
                <w:sz w:val="19"/>
                <w:szCs w:val="19"/>
                <w:color w:val="auto"/>
              </w:rPr>
              <w:t>192</w:t>
            </w:r>
          </w:p>
        </w:tc>
      </w:tr>
      <w:tr>
        <w:trPr>
          <w:trHeight w:val="270"/>
        </w:trPr>
        <w:tc>
          <w:tcPr>
            <w:tcW w:w="6740" w:type="dxa"/>
            <w:vAlign w:val="bottom"/>
          </w:tcPr>
          <w:p>
            <w:pPr>
              <w:ind w:left="20"/>
              <w:spacing w:after="0"/>
              <w:rPr>
                <w:sz w:val="20"/>
                <w:szCs w:val="20"/>
                <w:color w:val="auto"/>
              </w:rPr>
            </w:pPr>
            <w:r>
              <w:rPr>
                <w:rFonts w:ascii="Arial" w:cs="Arial" w:eastAsia="Arial" w:hAnsi="Arial"/>
                <w:sz w:val="19"/>
                <w:szCs w:val="19"/>
                <w:color w:val="auto"/>
              </w:rPr>
              <w:t>2011</w:t>
            </w:r>
          </w:p>
        </w:tc>
        <w:tc>
          <w:tcPr>
            <w:tcW w:w="240" w:type="dxa"/>
            <w:vAlign w:val="bottom"/>
          </w:tcPr>
          <w:p>
            <w:pPr>
              <w:spacing w:after="0"/>
              <w:rPr>
                <w:sz w:val="23"/>
                <w:szCs w:val="23"/>
                <w:color w:val="auto"/>
              </w:rPr>
            </w:pPr>
          </w:p>
        </w:tc>
        <w:tc>
          <w:tcPr>
            <w:tcW w:w="1420" w:type="dxa"/>
            <w:vAlign w:val="bottom"/>
          </w:tcPr>
          <w:p>
            <w:pPr>
              <w:jc w:val="right"/>
              <w:ind w:right="128"/>
              <w:spacing w:after="0"/>
              <w:rPr>
                <w:sz w:val="20"/>
                <w:szCs w:val="20"/>
                <w:color w:val="auto"/>
              </w:rPr>
            </w:pPr>
            <w:r>
              <w:rPr>
                <w:rFonts w:ascii="Arial" w:cs="Arial" w:eastAsia="Arial" w:hAnsi="Arial"/>
                <w:sz w:val="19"/>
                <w:szCs w:val="19"/>
                <w:color w:val="auto"/>
              </w:rPr>
              <w:t>202</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26"/>
              <w:spacing w:after="0"/>
              <w:rPr>
                <w:sz w:val="20"/>
                <w:szCs w:val="20"/>
                <w:color w:val="auto"/>
              </w:rPr>
            </w:pPr>
            <w:r>
              <w:rPr>
                <w:rFonts w:ascii="Arial" w:cs="Arial" w:eastAsia="Arial" w:hAnsi="Arial"/>
                <w:sz w:val="19"/>
                <w:szCs w:val="19"/>
                <w:color w:val="auto"/>
              </w:rPr>
              <w:t>188</w:t>
            </w:r>
          </w:p>
        </w:tc>
      </w:tr>
      <w:tr>
        <w:trPr>
          <w:trHeight w:val="270"/>
        </w:trPr>
        <w:tc>
          <w:tcPr>
            <w:tcW w:w="6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2012</w:t>
            </w:r>
          </w:p>
        </w:tc>
        <w:tc>
          <w:tcPr>
            <w:tcW w:w="24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186</w:t>
            </w:r>
          </w:p>
        </w:tc>
        <w:tc>
          <w:tcPr>
            <w:tcW w:w="3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126"/>
              <w:spacing w:after="0"/>
              <w:rPr>
                <w:sz w:val="20"/>
                <w:szCs w:val="20"/>
                <w:color w:val="auto"/>
              </w:rPr>
            </w:pPr>
            <w:r>
              <w:rPr>
                <w:rFonts w:ascii="Arial" w:cs="Arial" w:eastAsia="Arial" w:hAnsi="Arial"/>
                <w:sz w:val="19"/>
                <w:szCs w:val="19"/>
                <w:color w:val="auto"/>
              </w:rPr>
              <w:t>171</w:t>
            </w:r>
          </w:p>
        </w:tc>
      </w:tr>
      <w:tr>
        <w:trPr>
          <w:trHeight w:val="270"/>
        </w:trPr>
        <w:tc>
          <w:tcPr>
            <w:tcW w:w="6740" w:type="dxa"/>
            <w:vAlign w:val="bottom"/>
          </w:tcPr>
          <w:p>
            <w:pPr>
              <w:ind w:left="20"/>
              <w:spacing w:after="0"/>
              <w:rPr>
                <w:sz w:val="20"/>
                <w:szCs w:val="20"/>
                <w:color w:val="auto"/>
              </w:rPr>
            </w:pPr>
            <w:r>
              <w:rPr>
                <w:rFonts w:ascii="Arial" w:cs="Arial" w:eastAsia="Arial" w:hAnsi="Arial"/>
                <w:sz w:val="19"/>
                <w:szCs w:val="19"/>
                <w:color w:val="auto"/>
              </w:rPr>
              <w:t>2013</w:t>
            </w:r>
          </w:p>
        </w:tc>
        <w:tc>
          <w:tcPr>
            <w:tcW w:w="240" w:type="dxa"/>
            <w:vAlign w:val="bottom"/>
          </w:tcPr>
          <w:p>
            <w:pPr>
              <w:spacing w:after="0"/>
              <w:rPr>
                <w:sz w:val="23"/>
                <w:szCs w:val="23"/>
                <w:color w:val="auto"/>
              </w:rPr>
            </w:pPr>
          </w:p>
        </w:tc>
        <w:tc>
          <w:tcPr>
            <w:tcW w:w="1420" w:type="dxa"/>
            <w:vAlign w:val="bottom"/>
          </w:tcPr>
          <w:p>
            <w:pPr>
              <w:jc w:val="right"/>
              <w:ind w:right="128"/>
              <w:spacing w:after="0"/>
              <w:rPr>
                <w:sz w:val="20"/>
                <w:szCs w:val="20"/>
                <w:color w:val="auto"/>
              </w:rPr>
            </w:pPr>
            <w:r>
              <w:rPr>
                <w:rFonts w:ascii="Arial" w:cs="Arial" w:eastAsia="Arial" w:hAnsi="Arial"/>
                <w:sz w:val="19"/>
                <w:szCs w:val="19"/>
                <w:color w:val="auto"/>
              </w:rPr>
              <w:t>177</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26"/>
              <w:spacing w:after="0"/>
              <w:rPr>
                <w:sz w:val="20"/>
                <w:szCs w:val="20"/>
                <w:color w:val="auto"/>
              </w:rPr>
            </w:pPr>
            <w:r>
              <w:rPr>
                <w:rFonts w:ascii="Arial" w:cs="Arial" w:eastAsia="Arial" w:hAnsi="Arial"/>
                <w:sz w:val="19"/>
                <w:szCs w:val="19"/>
                <w:color w:val="auto"/>
              </w:rPr>
              <w:t>162</w:t>
            </w:r>
          </w:p>
        </w:tc>
      </w:tr>
      <w:tr>
        <w:trPr>
          <w:trHeight w:val="270"/>
        </w:trPr>
        <w:tc>
          <w:tcPr>
            <w:tcW w:w="6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2014</w:t>
            </w:r>
          </w:p>
        </w:tc>
        <w:tc>
          <w:tcPr>
            <w:tcW w:w="24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168</w:t>
            </w:r>
          </w:p>
        </w:tc>
        <w:tc>
          <w:tcPr>
            <w:tcW w:w="3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126"/>
              <w:spacing w:after="0"/>
              <w:rPr>
                <w:sz w:val="20"/>
                <w:szCs w:val="20"/>
                <w:color w:val="auto"/>
              </w:rPr>
            </w:pPr>
            <w:r>
              <w:rPr>
                <w:rFonts w:ascii="Arial" w:cs="Arial" w:eastAsia="Arial" w:hAnsi="Arial"/>
                <w:sz w:val="19"/>
                <w:szCs w:val="19"/>
                <w:color w:val="auto"/>
              </w:rPr>
              <w:t>154</w:t>
            </w:r>
          </w:p>
        </w:tc>
      </w:tr>
      <w:tr>
        <w:trPr>
          <w:trHeight w:val="274"/>
        </w:trPr>
        <w:tc>
          <w:tcPr>
            <w:tcW w:w="6740" w:type="dxa"/>
            <w:vAlign w:val="bottom"/>
          </w:tcPr>
          <w:p>
            <w:pPr>
              <w:ind w:left="20"/>
              <w:spacing w:after="0"/>
              <w:rPr>
                <w:sz w:val="20"/>
                <w:szCs w:val="20"/>
                <w:color w:val="auto"/>
              </w:rPr>
            </w:pPr>
            <w:r>
              <w:rPr>
                <w:rFonts w:ascii="Arial" w:cs="Arial" w:eastAsia="Arial" w:hAnsi="Arial"/>
                <w:sz w:val="19"/>
                <w:szCs w:val="19"/>
                <w:color w:val="auto"/>
              </w:rPr>
              <w:t>2015-2019</w:t>
            </w:r>
          </w:p>
        </w:tc>
        <w:tc>
          <w:tcPr>
            <w:tcW w:w="240" w:type="dxa"/>
            <w:vAlign w:val="bottom"/>
          </w:tcPr>
          <w:p>
            <w:pPr>
              <w:spacing w:after="0"/>
              <w:rPr>
                <w:sz w:val="23"/>
                <w:szCs w:val="23"/>
                <w:color w:val="auto"/>
              </w:rPr>
            </w:pPr>
          </w:p>
        </w:tc>
        <w:tc>
          <w:tcPr>
            <w:tcW w:w="1420" w:type="dxa"/>
            <w:vAlign w:val="bottom"/>
          </w:tcPr>
          <w:p>
            <w:pPr>
              <w:jc w:val="right"/>
              <w:ind w:right="128"/>
              <w:spacing w:after="0"/>
              <w:rPr>
                <w:sz w:val="20"/>
                <w:szCs w:val="20"/>
                <w:color w:val="auto"/>
              </w:rPr>
            </w:pPr>
            <w:r>
              <w:rPr>
                <w:rFonts w:ascii="Arial" w:cs="Arial" w:eastAsia="Arial" w:hAnsi="Arial"/>
                <w:sz w:val="19"/>
                <w:szCs w:val="19"/>
                <w:color w:val="auto"/>
              </w:rPr>
              <w:t>726</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26"/>
              <w:spacing w:after="0"/>
              <w:rPr>
                <w:sz w:val="20"/>
                <w:szCs w:val="20"/>
                <w:color w:val="auto"/>
              </w:rPr>
            </w:pPr>
            <w:r>
              <w:rPr>
                <w:rFonts w:ascii="Arial" w:cs="Arial" w:eastAsia="Arial" w:hAnsi="Arial"/>
                <w:sz w:val="19"/>
                <w:szCs w:val="19"/>
                <w:color w:val="auto"/>
              </w:rPr>
              <w:t>660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Savings Plans</w:t>
      </w:r>
    </w:p>
    <w:p>
      <w:pPr>
        <w:spacing w:after="0" w:line="130" w:lineRule="exact"/>
        <w:rPr>
          <w:sz w:val="20"/>
          <w:szCs w:val="20"/>
          <w:color w:val="auto"/>
        </w:rPr>
      </w:pPr>
    </w:p>
    <w:p>
      <w:pPr>
        <w:jc w:val="both"/>
        <w:ind w:right="360" w:firstLine="357"/>
        <w:spacing w:after="0" w:line="245" w:lineRule="auto"/>
        <w:rPr>
          <w:sz w:val="20"/>
          <w:szCs w:val="20"/>
          <w:color w:val="auto"/>
        </w:rPr>
      </w:pPr>
      <w:r>
        <w:rPr>
          <w:rFonts w:ascii="Arial" w:cs="Arial" w:eastAsia="Arial" w:hAnsi="Arial"/>
          <w:sz w:val="19"/>
          <w:szCs w:val="19"/>
          <w:color w:val="auto"/>
        </w:rPr>
        <w:t>We sponsor employee savings plans under which we match, in the form of our common stock, savings plan contributions for certain eligible employees. Shares issued under the stock match plans were 4.8, 4.9 and 3.7 million at a cost of $158, $220 and $199 million in 2009, 2008 and 2007, respectively.</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6" w:right="29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23—Segment Financial Data</w:t>
      </w:r>
    </w:p>
    <w:p>
      <w:pPr>
        <w:spacing w:after="0" w:line="130"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We globally manage our business operations through four reportable operating segments serving customers worldwide with aerospace products and services, control, sensing and security technologies for buildings, homes and industry, automotive products and chemicals. Segment information is consistent with how management reviews the businesses, makes investing and resource allocation decisions and assesses operating performance. Our four reportable segments are as follows:</w:t>
      </w:r>
    </w:p>
    <w:p>
      <w:pPr>
        <w:spacing w:after="0" w:line="145" w:lineRule="exact"/>
        <w:rPr>
          <w:sz w:val="20"/>
          <w:szCs w:val="20"/>
          <w:color w:val="auto"/>
        </w:rPr>
      </w:pPr>
    </w:p>
    <w:p>
      <w:pPr>
        <w:ind w:left="540" w:right="20" w:hanging="158"/>
        <w:spacing w:after="0" w:line="241"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Aerospace is organized by customer end-market (Air Transport and Regional, Business and General Aviation and Defense and Space) and provides products and services which include auxiliary power units; propulsion engines; environmental control systems; engine controls; repair and overhaul services; hardware; logistics; electric power systems; flight safety, communications, navigation, radar and surveillance systems; aircraft lighting; management and technical services; advanced systems and instruments; and aircraft wheels and brakes.</w:t>
      </w:r>
    </w:p>
    <w:p>
      <w:pPr>
        <w:spacing w:after="0" w:line="104" w:lineRule="exact"/>
        <w:rPr>
          <w:rFonts w:ascii="Arial" w:cs="Arial" w:eastAsia="Arial" w:hAnsi="Arial"/>
          <w:sz w:val="19"/>
          <w:szCs w:val="19"/>
          <w:color w:val="auto"/>
        </w:rPr>
      </w:pPr>
    </w:p>
    <w:p>
      <w:pPr>
        <w:ind w:left="540" w:right="6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Automation and Control Solutions includes Products (controls for heating, cooling, indoor air quality, ventilation, humidification and home automation; advanced software applications for home/building control and optimization; sensors, switches, control systems and instruments for measuring pressure, air flow, temperature and electrical current; security, fire and gas detection; personal protection equipment; access control; video surveillance; and remote patient monitoring systems); Building Solutions (installs, maintains and upgrades systems that keep buildings safe, comfortable and productive); and Process Solutions (provides a full range of automation and control solutions for industrial plants, offering advanced software and automation systems that integrate, control and monitor complex processes in many types of industrial settings).</w:t>
      </w:r>
    </w:p>
    <w:p>
      <w:pPr>
        <w:spacing w:after="0" w:line="104" w:lineRule="exact"/>
        <w:rPr>
          <w:rFonts w:ascii="Arial" w:cs="Arial" w:eastAsia="Arial" w:hAnsi="Arial"/>
          <w:sz w:val="19"/>
          <w:szCs w:val="19"/>
          <w:color w:val="auto"/>
        </w:rPr>
      </w:pPr>
    </w:p>
    <w:p>
      <w:pPr>
        <w:ind w:left="540" w:right="1240" w:hanging="158"/>
        <w:spacing w:after="0" w:line="253"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Specialty Materials includes fluorocarbons, specialty films, advanced fibers, customized research chemicals and intermediates, electronic materials and chemicals, and catalysts and adsorbents.</w:t>
      </w:r>
    </w:p>
    <w:p>
      <w:pPr>
        <w:spacing w:after="0" w:line="93" w:lineRule="exact"/>
        <w:rPr>
          <w:rFonts w:ascii="Arial" w:cs="Arial" w:eastAsia="Arial" w:hAnsi="Arial"/>
          <w:sz w:val="19"/>
          <w:szCs w:val="19"/>
          <w:color w:val="auto"/>
        </w:rPr>
      </w:pPr>
    </w:p>
    <w:p>
      <w:pPr>
        <w:ind w:left="540" w:right="60" w:hanging="158"/>
        <w:spacing w:after="0" w:line="245"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Transportation Systems includes Honeywell Turbo Technologies (turbochargers and charge-air and thermal systems); and the Consumer Products Group (car care products including antifreeze, filters, spark plugs, and cleaners, waxes and additives); and Friction Materials (brake hard parts and other friction materials).</w:t>
      </w:r>
    </w:p>
    <w:p>
      <w:pPr>
        <w:spacing w:after="0" w:line="195"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The accounting policies of the segments are the same as those described in Note 1. 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benefits (expense), stock compensation expense, repositioning and other charges and accounting changes. Beginning January 1, 2008, consistent with changes made to the measure of segment performance utilized by senior management, segment profit has been adjusted to exclude expense associated with restricted stock units (“RSU”) and to include equity income/(loss) of affiliated companies. Stock compensation expense, including RSU expense, totaled $ 112 million for the year ended December 31, 2007. Equity income/(loss) of affiliated companies, included in other income (expense), totaled $10 million for the year ended December 31, 2007. Both of these changes were applied on a prospective basis beginning January 1, 2008 and are not material to the following reportable segment data: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 w:right="2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2008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37"/>
        </w:trPr>
        <w:tc>
          <w:tcPr>
            <w:tcW w:w="4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348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Aerospace</w:t>
            </w:r>
          </w:p>
        </w:tc>
        <w:tc>
          <w:tcPr>
            <w:tcW w:w="4460" w:type="dxa"/>
            <w:vAlign w:val="bottom"/>
            <w:gridSpan w:val="4"/>
          </w:tcPr>
          <w:p>
            <w:pPr>
              <w:jc w:val="right"/>
              <w:ind w:right="44"/>
              <w:spacing w:after="0"/>
              <w:rPr>
                <w:sz w:val="20"/>
                <w:szCs w:val="20"/>
                <w:color w:val="auto"/>
              </w:rPr>
            </w:pPr>
            <w:r>
              <w:rPr>
                <w:rFonts w:ascii="Arial" w:cs="Arial" w:eastAsia="Arial" w:hAnsi="Arial"/>
                <w:sz w:val="19"/>
                <w:szCs w:val="19"/>
                <w:color w:val="auto"/>
              </w:rPr>
              <w:t>$ 10,763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right"/>
              <w:ind w:right="64"/>
              <w:spacing w:after="0"/>
              <w:rPr>
                <w:sz w:val="20"/>
                <w:szCs w:val="20"/>
                <w:color w:val="auto"/>
              </w:rPr>
            </w:pPr>
            <w:r>
              <w:rPr>
                <w:rFonts w:ascii="Arial" w:cs="Arial" w:eastAsia="Arial" w:hAnsi="Arial"/>
                <w:sz w:val="19"/>
                <w:szCs w:val="19"/>
                <w:color w:val="auto"/>
              </w:rPr>
              <w:t>$ 12,650</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w w:val="99"/>
              </w:rPr>
              <w:t>12,236</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Automation and Control Solutions</w:t>
            </w: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44"/>
              <w:spacing w:after="0"/>
              <w:rPr>
                <w:sz w:val="20"/>
                <w:szCs w:val="20"/>
                <w:color w:val="auto"/>
              </w:rPr>
            </w:pPr>
            <w:r>
              <w:rPr>
                <w:rFonts w:ascii="Arial" w:cs="Arial" w:eastAsia="Arial" w:hAnsi="Arial"/>
                <w:sz w:val="19"/>
                <w:szCs w:val="19"/>
                <w:color w:val="auto"/>
              </w:rPr>
              <w:t>12,611</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80" w:type="dxa"/>
            <w:vAlign w:val="bottom"/>
            <w:gridSpan w:val="3"/>
            <w:shd w:val="clear" w:color="auto" w:fill="E5FFFF"/>
          </w:tcPr>
          <w:p>
            <w:pPr>
              <w:jc w:val="right"/>
              <w:ind w:right="64"/>
              <w:spacing w:after="0"/>
              <w:rPr>
                <w:sz w:val="20"/>
                <w:szCs w:val="20"/>
                <w:color w:val="auto"/>
              </w:rPr>
            </w:pPr>
            <w:r>
              <w:rPr>
                <w:rFonts w:ascii="Arial" w:cs="Arial" w:eastAsia="Arial" w:hAnsi="Arial"/>
                <w:sz w:val="19"/>
                <w:szCs w:val="19"/>
                <w:color w:val="auto"/>
              </w:rPr>
              <w:t>14,018</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12,478</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Specialty Materials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4,144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5,266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4,866</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Transportation Systems</w:t>
            </w: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3,389</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4,622</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5,009</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Corporate</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4"/>
        </w:trPr>
        <w:tc>
          <w:tcPr>
            <w:tcW w:w="4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shd w:val="clear" w:color="auto" w:fill="E5FFFF"/>
          </w:tcPr>
          <w:p>
            <w:pPr>
              <w:spacing w:after="0"/>
              <w:rPr>
                <w:sz w:val="23"/>
                <w:szCs w:val="23"/>
                <w:color w:val="auto"/>
              </w:rPr>
            </w:pPr>
          </w:p>
        </w:tc>
        <w:tc>
          <w:tcPr>
            <w:tcW w:w="4460" w:type="dxa"/>
            <w:vAlign w:val="bottom"/>
            <w:gridSpan w:val="4"/>
            <w:shd w:val="clear" w:color="auto" w:fill="E5FFFF"/>
          </w:tcPr>
          <w:p>
            <w:pPr>
              <w:jc w:val="right"/>
              <w:ind w:right="44"/>
              <w:spacing w:after="0"/>
              <w:rPr>
                <w:sz w:val="20"/>
                <w:szCs w:val="20"/>
                <w:color w:val="auto"/>
              </w:rPr>
            </w:pPr>
            <w:r>
              <w:rPr>
                <w:rFonts w:ascii="Arial" w:cs="Arial" w:eastAsia="Arial" w:hAnsi="Arial"/>
                <w:sz w:val="19"/>
                <w:szCs w:val="19"/>
                <w:color w:val="auto"/>
              </w:rPr>
              <w:t>$ 30,908</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80" w:type="dxa"/>
            <w:vAlign w:val="bottom"/>
            <w:gridSpan w:val="3"/>
            <w:shd w:val="clear" w:color="auto" w:fill="E5FFFF"/>
          </w:tcPr>
          <w:p>
            <w:pPr>
              <w:jc w:val="right"/>
              <w:ind w:right="64"/>
              <w:spacing w:after="0"/>
              <w:rPr>
                <w:sz w:val="20"/>
                <w:szCs w:val="20"/>
                <w:color w:val="auto"/>
              </w:rPr>
            </w:pPr>
            <w:r>
              <w:rPr>
                <w:rFonts w:ascii="Arial" w:cs="Arial" w:eastAsia="Arial" w:hAnsi="Arial"/>
                <w:sz w:val="19"/>
                <w:szCs w:val="19"/>
                <w:color w:val="auto"/>
              </w:rPr>
              <w:t>$ 36,556</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34,589</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0"/>
              <w:spacing w:after="0"/>
              <w:rPr>
                <w:sz w:val="20"/>
                <w:szCs w:val="20"/>
                <w:color w:val="auto"/>
              </w:rPr>
            </w:pPr>
            <w:r>
              <w:rPr>
                <w:rFonts w:ascii="Arial" w:cs="Arial" w:eastAsia="Arial" w:hAnsi="Arial"/>
                <w:sz w:val="19"/>
                <w:szCs w:val="19"/>
                <w:color w:val="auto"/>
              </w:rPr>
              <w:t>Depreciation and amortization</w:t>
            </w: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20" w:type="dxa"/>
            <w:vAlign w:val="bottom"/>
            <w:vMerge w:val="continue"/>
          </w:tcPr>
          <w:p>
            <w:pPr>
              <w:spacing w:after="0"/>
              <w:rPr>
                <w:sz w:val="22"/>
                <w:szCs w:val="22"/>
                <w:color w:val="auto"/>
              </w:rPr>
            </w:pPr>
          </w:p>
        </w:tc>
        <w:tc>
          <w:tcPr>
            <w:tcW w:w="3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Aerospace</w:t>
            </w:r>
          </w:p>
        </w:tc>
        <w:tc>
          <w:tcPr>
            <w:tcW w:w="3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217</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80" w:type="dxa"/>
            <w:vAlign w:val="bottom"/>
            <w:gridSpan w:val="2"/>
            <w:shd w:val="clear" w:color="auto" w:fill="E5FFFF"/>
          </w:tcPr>
          <w:p>
            <w:pPr>
              <w:ind w:lef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202</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199</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Automation and Control Solutions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352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321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264</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Specialty Materials</w:t>
            </w: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209</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208</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216</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Transportation Systems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119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122</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110</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w:t>
            </w:r>
          </w:p>
        </w:tc>
        <w:tc>
          <w:tcPr>
            <w:tcW w:w="34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60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50</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304"/>
        </w:trPr>
        <w:tc>
          <w:tcPr>
            <w:tcW w:w="4420" w:type="dxa"/>
            <w:vAlign w:val="bottom"/>
          </w:tcPr>
          <w:p>
            <w:pPr>
              <w:spacing w:after="0"/>
              <w:rPr>
                <w:sz w:val="24"/>
                <w:szCs w:val="24"/>
                <w:color w:val="auto"/>
              </w:rPr>
            </w:pPr>
          </w:p>
        </w:tc>
        <w:tc>
          <w:tcPr>
            <w:tcW w:w="36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957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ind w:lef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903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837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34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Aerospace</w:t>
            </w:r>
          </w:p>
        </w:tc>
        <w:tc>
          <w:tcPr>
            <w:tcW w:w="36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1,893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gridSpan w:val="2"/>
          </w:tcPr>
          <w:p>
            <w:pPr>
              <w:ind w:lef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2,300</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2,197</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Automation and Control Solutions</w:t>
            </w: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1,588</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1,622</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1,405</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Specialty Materials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605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721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658</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Transportation Systems</w:t>
            </w: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156</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406</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583</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Corporate</w:t>
            </w:r>
          </w:p>
        </w:tc>
        <w:tc>
          <w:tcPr>
            <w:tcW w:w="34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(145 )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(204 )</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(189 )</w:t>
            </w:r>
          </w:p>
        </w:tc>
        <w:tc>
          <w:tcPr>
            <w:tcW w:w="0" w:type="dxa"/>
            <w:vAlign w:val="bottom"/>
          </w:tcPr>
          <w:p>
            <w:pPr>
              <w:spacing w:after="0"/>
              <w:rPr>
                <w:sz w:val="1"/>
                <w:szCs w:val="1"/>
                <w:color w:val="auto"/>
              </w:rPr>
            </w:pPr>
          </w:p>
        </w:tc>
      </w:tr>
      <w:tr>
        <w:trPr>
          <w:trHeight w:val="34"/>
        </w:trPr>
        <w:tc>
          <w:tcPr>
            <w:tcW w:w="4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shd w:val="clear" w:color="auto" w:fill="E5FFFF"/>
          </w:tcPr>
          <w:p>
            <w:pPr>
              <w:spacing w:after="0"/>
              <w:rPr>
                <w:sz w:val="23"/>
                <w:szCs w:val="23"/>
                <w:color w:val="auto"/>
              </w:rPr>
            </w:pPr>
          </w:p>
        </w:tc>
        <w:tc>
          <w:tcPr>
            <w:tcW w:w="3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4,097</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80" w:type="dxa"/>
            <w:vAlign w:val="bottom"/>
            <w:gridSpan w:val="2"/>
            <w:shd w:val="clear" w:color="auto" w:fill="E5FFFF"/>
          </w:tcPr>
          <w:p>
            <w:pPr>
              <w:ind w:lef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4,845</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4,654</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0"/>
              <w:spacing w:after="0"/>
              <w:rPr>
                <w:sz w:val="20"/>
                <w:szCs w:val="20"/>
                <w:color w:val="auto"/>
              </w:rPr>
            </w:pPr>
            <w:r>
              <w:rPr>
                <w:rFonts w:ascii="Arial" w:cs="Arial" w:eastAsia="Arial" w:hAnsi="Arial"/>
                <w:sz w:val="19"/>
                <w:szCs w:val="19"/>
                <w:color w:val="auto"/>
              </w:rPr>
              <w:t>Capital expenditures</w:t>
            </w: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20" w:type="dxa"/>
            <w:vAlign w:val="bottom"/>
            <w:vMerge w:val="continue"/>
          </w:tcPr>
          <w:p>
            <w:pPr>
              <w:spacing w:after="0"/>
              <w:rPr>
                <w:sz w:val="22"/>
                <w:szCs w:val="22"/>
                <w:color w:val="auto"/>
              </w:rPr>
            </w:pPr>
          </w:p>
        </w:tc>
        <w:tc>
          <w:tcPr>
            <w:tcW w:w="3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Aerospace</w:t>
            </w:r>
          </w:p>
        </w:tc>
        <w:tc>
          <w:tcPr>
            <w:tcW w:w="3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184</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80" w:type="dxa"/>
            <w:vAlign w:val="bottom"/>
            <w:gridSpan w:val="2"/>
            <w:shd w:val="clear" w:color="auto" w:fill="E5FFFF"/>
          </w:tcPr>
          <w:p>
            <w:pPr>
              <w:ind w:lef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246</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172</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Automation and Control Solutions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114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208</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186</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Specialty Materials</w:t>
            </w: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153</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194</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215</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Transportation Systems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9"/>
                <w:szCs w:val="19"/>
                <w:color w:val="auto"/>
              </w:rPr>
              <w:t>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110</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w:t>
            </w:r>
          </w:p>
        </w:tc>
        <w:tc>
          <w:tcPr>
            <w:tcW w:w="34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88</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126</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63</w:t>
            </w:r>
          </w:p>
        </w:tc>
        <w:tc>
          <w:tcPr>
            <w:tcW w:w="0" w:type="dxa"/>
            <w:vAlign w:val="bottom"/>
          </w:tcPr>
          <w:p>
            <w:pPr>
              <w:spacing w:after="0"/>
              <w:rPr>
                <w:sz w:val="1"/>
                <w:szCs w:val="1"/>
                <w:color w:val="auto"/>
              </w:rPr>
            </w:pPr>
          </w:p>
        </w:tc>
      </w:tr>
      <w:tr>
        <w:trPr>
          <w:trHeight w:val="304"/>
        </w:trPr>
        <w:tc>
          <w:tcPr>
            <w:tcW w:w="4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609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884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767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2009</w:t>
            </w:r>
          </w:p>
        </w:tc>
        <w:tc>
          <w:tcPr>
            <w:tcW w:w="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2008</w:t>
            </w:r>
          </w:p>
        </w:tc>
        <w:tc>
          <w:tcPr>
            <w:tcW w:w="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37"/>
        </w:trPr>
        <w:tc>
          <w:tcPr>
            <w:tcW w:w="4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assets</w:t>
            </w:r>
          </w:p>
        </w:tc>
        <w:tc>
          <w:tcPr>
            <w:tcW w:w="348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Aerospace</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9"/>
                <w:szCs w:val="19"/>
                <w:color w:val="auto"/>
              </w:rPr>
              <w:t>8,386</w:t>
            </w:r>
          </w:p>
        </w:tc>
        <w:tc>
          <w:tcPr>
            <w:tcW w:w="200" w:type="dxa"/>
            <w:vAlign w:val="bottom"/>
          </w:tcPr>
          <w:p>
            <w:pPr>
              <w:spacing w:after="0"/>
              <w:rPr>
                <w:sz w:val="23"/>
                <w:szCs w:val="23"/>
                <w:color w:val="auto"/>
              </w:rPr>
            </w:pPr>
          </w:p>
        </w:tc>
        <w:tc>
          <w:tcPr>
            <w:tcW w:w="280" w:type="dxa"/>
            <w:vAlign w:val="bottom"/>
            <w:gridSpan w:val="2"/>
          </w:tcPr>
          <w:p>
            <w:pPr>
              <w:ind w:left="160"/>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8,476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8,743</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Automation and Control Solutions</w:t>
            </w: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15,474</w:t>
            </w: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14,609</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12,999</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Specialty Materials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9"/>
                <w:szCs w:val="19"/>
                <w:color w:val="auto"/>
              </w:rPr>
              <w:t>4,657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5,232</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5,065</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Transportation Systems</w:t>
            </w: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2,773</w:t>
            </w: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2,787</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3,304</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Corporate</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4,714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4,386</w:t>
            </w:r>
          </w:p>
        </w:tc>
        <w:tc>
          <w:tcPr>
            <w:tcW w:w="4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3,694</w:t>
            </w:r>
          </w:p>
        </w:tc>
        <w:tc>
          <w:tcPr>
            <w:tcW w:w="0" w:type="dxa"/>
            <w:vAlign w:val="bottom"/>
          </w:tcPr>
          <w:p>
            <w:pPr>
              <w:spacing w:after="0"/>
              <w:rPr>
                <w:sz w:val="1"/>
                <w:szCs w:val="1"/>
                <w:color w:val="auto"/>
              </w:rPr>
            </w:pPr>
          </w:p>
        </w:tc>
      </w:tr>
      <w:tr>
        <w:trPr>
          <w:trHeight w:val="34"/>
        </w:trPr>
        <w:tc>
          <w:tcPr>
            <w:tcW w:w="4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shd w:val="clear" w:color="auto" w:fill="E5FFFF"/>
          </w:tcPr>
          <w:p>
            <w:pPr>
              <w:spacing w:after="0"/>
              <w:rPr>
                <w:sz w:val="23"/>
                <w:szCs w:val="23"/>
                <w:color w:val="auto"/>
              </w:rPr>
            </w:pPr>
          </w:p>
        </w:tc>
        <w:tc>
          <w:tcPr>
            <w:tcW w:w="34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36,004</w:t>
            </w:r>
          </w:p>
        </w:tc>
        <w:tc>
          <w:tcPr>
            <w:tcW w:w="200" w:type="dxa"/>
            <w:vAlign w:val="bottom"/>
            <w:shd w:val="clear" w:color="auto" w:fill="E5FFFF"/>
          </w:tcPr>
          <w:p>
            <w:pPr>
              <w:spacing w:after="0"/>
              <w:rPr>
                <w:sz w:val="23"/>
                <w:szCs w:val="23"/>
                <w:color w:val="auto"/>
              </w:rPr>
            </w:pPr>
          </w:p>
        </w:tc>
        <w:tc>
          <w:tcPr>
            <w:tcW w:w="9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$ 35,490</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33,805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80" w:type="dxa"/>
            <w:vAlign w:val="bottom"/>
            <w:vMerge w:val="restart"/>
          </w:tcPr>
          <w:p>
            <w:pPr>
              <w:jc w:val="right"/>
              <w:ind w:right="1923"/>
              <w:spacing w:after="0"/>
              <w:rPr>
                <w:sz w:val="20"/>
                <w:szCs w:val="20"/>
                <w:color w:val="auto"/>
              </w:rPr>
            </w:pPr>
            <w:r>
              <w:rPr>
                <w:rFonts w:ascii="Arial" w:cs="Arial" w:eastAsia="Arial" w:hAnsi="Arial"/>
                <w:sz w:val="19"/>
                <w:szCs w:val="19"/>
                <w:color w:val="auto"/>
              </w:rPr>
              <w:t>100</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04" w:name="page105"/>
    <w:bookmarkEnd w:id="104"/>
    <w:p>
      <w:pPr>
        <w:jc w:val="center"/>
        <w:ind w:right="-15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reconciliation of segment profit to consolidated income from continuing operations before taxes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60" w:type="dxa"/>
            <w:vAlign w:val="bottom"/>
            <w:tcBorders>
              <w:bottom w:val="single" w:sz="8" w:color="auto"/>
            </w:tcBorders>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88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2007</w:t>
            </w:r>
          </w:p>
        </w:tc>
      </w:tr>
      <w:tr>
        <w:trPr>
          <w:trHeight w:val="264"/>
        </w:trPr>
        <w:tc>
          <w:tcPr>
            <w:tcW w:w="500" w:type="dxa"/>
            <w:vAlign w:val="bottom"/>
          </w:tcPr>
          <w:p>
            <w:pPr>
              <w:spacing w:after="0"/>
              <w:rPr>
                <w:sz w:val="22"/>
                <w:szCs w:val="22"/>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8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$ 4,097</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4,845</w:t>
            </w:r>
          </w:p>
        </w:tc>
        <w:tc>
          <w:tcPr>
            <w:tcW w:w="56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4,654</w:t>
            </w:r>
          </w:p>
        </w:tc>
      </w:tr>
      <w:tr>
        <w:trPr>
          <w:trHeight w:val="270"/>
        </w:trPr>
        <w:tc>
          <w:tcPr>
            <w:tcW w:w="50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9"/>
                <w:szCs w:val="19"/>
                <w:color w:val="auto"/>
              </w:rPr>
              <w:t>Other income (expense)(1)</w:t>
            </w:r>
          </w:p>
        </w:tc>
        <w:tc>
          <w:tcPr>
            <w:tcW w:w="880" w:type="dxa"/>
            <w:vAlign w:val="bottom"/>
          </w:tcPr>
          <w:p>
            <w:pPr>
              <w:jc w:val="right"/>
              <w:ind w:right="47"/>
              <w:spacing w:after="0"/>
              <w:rPr>
                <w:sz w:val="20"/>
                <w:szCs w:val="20"/>
                <w:color w:val="auto"/>
              </w:rPr>
            </w:pPr>
            <w:r>
              <w:rPr>
                <w:rFonts w:ascii="Arial" w:cs="Arial" w:eastAsia="Arial" w:hAnsi="Arial"/>
                <w:sz w:val="19"/>
                <w:szCs w:val="19"/>
                <w:color w:val="auto"/>
              </w:rPr>
              <w:t>29</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9"/>
                <w:szCs w:val="19"/>
                <w:color w:val="auto"/>
              </w:rPr>
              <w:t>685</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65"/>
              <w:spacing w:after="0"/>
              <w:rPr>
                <w:sz w:val="20"/>
                <w:szCs w:val="20"/>
                <w:color w:val="auto"/>
              </w:rPr>
            </w:pPr>
            <w:r>
              <w:rPr>
                <w:rFonts w:ascii="Arial" w:cs="Arial" w:eastAsia="Arial" w:hAnsi="Arial"/>
                <w:sz w:val="19"/>
                <w:szCs w:val="19"/>
                <w:color w:val="auto"/>
              </w:rPr>
              <w:t>69</w:t>
            </w:r>
          </w:p>
        </w:tc>
      </w:tr>
      <w:tr>
        <w:trPr>
          <w:trHeight w:val="270"/>
        </w:trPr>
        <w:tc>
          <w:tcPr>
            <w:tcW w:w="500" w:type="dxa"/>
            <w:vAlign w:val="bottom"/>
          </w:tcPr>
          <w:p>
            <w:pPr>
              <w:spacing w:after="0"/>
              <w:rPr>
                <w:sz w:val="23"/>
                <w:szCs w:val="23"/>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Interest and other financial charges</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(459 )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(456 )</w:t>
            </w:r>
          </w:p>
        </w:tc>
        <w:tc>
          <w:tcPr>
            <w:tcW w:w="2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(456 )</w:t>
            </w:r>
          </w:p>
        </w:tc>
      </w:tr>
      <w:tr>
        <w:trPr>
          <w:trHeight w:val="270"/>
        </w:trPr>
        <w:tc>
          <w:tcPr>
            <w:tcW w:w="50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9"/>
                <w:szCs w:val="19"/>
                <w:color w:val="auto"/>
              </w:rPr>
              <w:t>Stock compensation expense(2),(3)</w:t>
            </w:r>
          </w:p>
        </w:tc>
        <w:tc>
          <w:tcPr>
            <w:tcW w:w="880" w:type="dxa"/>
            <w:vAlign w:val="bottom"/>
          </w:tcPr>
          <w:p>
            <w:pPr>
              <w:jc w:val="right"/>
              <w:spacing w:after="0"/>
              <w:rPr>
                <w:sz w:val="20"/>
                <w:szCs w:val="20"/>
                <w:color w:val="auto"/>
              </w:rPr>
            </w:pPr>
            <w:r>
              <w:rPr>
                <w:rFonts w:ascii="Arial" w:cs="Arial" w:eastAsia="Arial" w:hAnsi="Arial"/>
                <w:sz w:val="19"/>
                <w:szCs w:val="19"/>
                <w:color w:val="auto"/>
              </w:rPr>
              <w:t>(118 )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(128 )</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(65 )</w:t>
            </w:r>
          </w:p>
        </w:tc>
      </w:tr>
      <w:tr>
        <w:trPr>
          <w:trHeight w:val="270"/>
        </w:trPr>
        <w:tc>
          <w:tcPr>
            <w:tcW w:w="500" w:type="dxa"/>
            <w:vAlign w:val="bottom"/>
          </w:tcPr>
          <w:p>
            <w:pPr>
              <w:spacing w:after="0"/>
              <w:rPr>
                <w:sz w:val="23"/>
                <w:szCs w:val="23"/>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 and other postretirement benefits expense(2)</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(93 )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(113 )</w:t>
            </w:r>
          </w:p>
        </w:tc>
        <w:tc>
          <w:tcPr>
            <w:tcW w:w="2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(322 )</w:t>
            </w:r>
          </w:p>
        </w:tc>
      </w:tr>
      <w:tr>
        <w:trPr>
          <w:trHeight w:val="270"/>
        </w:trPr>
        <w:tc>
          <w:tcPr>
            <w:tcW w:w="50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9"/>
                <w:szCs w:val="19"/>
                <w:color w:val="auto"/>
              </w:rPr>
              <w:t>Repositioning and other charges(2)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(478 )</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(1,012 )</w:t>
            </w:r>
          </w:p>
        </w:tc>
        <w:tc>
          <w:tcPr>
            <w:tcW w:w="2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(543 )</w:t>
            </w: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from continuing operations before taxes</w:t>
            </w:r>
          </w:p>
        </w:tc>
        <w:tc>
          <w:tcPr>
            <w:tcW w:w="8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$ 2,978</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3,821</w:t>
            </w:r>
          </w:p>
        </w:tc>
        <w:tc>
          <w:tcPr>
            <w:tcW w:w="56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3,337</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jc w:val="both"/>
        <w:ind w:left="400" w:right="240" w:hanging="332"/>
        <w:spacing w:after="0" w:line="245" w:lineRule="auto"/>
        <w:tabs>
          <w:tab w:leader="none" w:pos="4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Equity income/(loss) of affiliated companies was included in Segment Profit, on a prospective basis, commencing January 1, 2008. Other income/(expense) as presented above includes equity income of affiliated companies of $10 million for the year ended December 31, 2007.</w:t>
      </w:r>
    </w:p>
    <w:p>
      <w:pPr>
        <w:spacing w:after="0" w:line="100" w:lineRule="exact"/>
        <w:rPr>
          <w:rFonts w:ascii="Arial" w:cs="Arial" w:eastAsia="Arial" w:hAnsi="Arial"/>
          <w:sz w:val="19"/>
          <w:szCs w:val="19"/>
          <w:color w:val="auto"/>
        </w:rPr>
      </w:pPr>
    </w:p>
    <w:p>
      <w:pPr>
        <w:ind w:left="400" w:hanging="332"/>
        <w:spacing w:after="0"/>
        <w:tabs>
          <w:tab w:leader="none" w:pos="4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Amounts included in cost of products and services sold and selling, general and administrative expenses.</w:t>
      </w:r>
    </w:p>
    <w:p>
      <w:pPr>
        <w:spacing w:after="0" w:line="119" w:lineRule="exact"/>
        <w:rPr>
          <w:rFonts w:ascii="Arial" w:cs="Arial" w:eastAsia="Arial" w:hAnsi="Arial"/>
          <w:sz w:val="19"/>
          <w:szCs w:val="19"/>
          <w:color w:val="auto"/>
        </w:rPr>
      </w:pPr>
    </w:p>
    <w:p>
      <w:pPr>
        <w:ind w:left="400" w:right="40" w:hanging="332"/>
        <w:spacing w:after="0" w:line="245" w:lineRule="auto"/>
        <w:tabs>
          <w:tab w:leader="none" w:pos="4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Costs associated with restricted stock units (“RSU”) were excluded from Segment Profit, on a prospective basis, commencing January 1, 2008. Stock compensation expense, including RSU expense, totaled $112 million for the year ended December 31, 2007. Stock option expense is included for all periods presented.</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24—Geographic Areas—Financial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Net Sales(1)</w:t>
            </w:r>
          </w:p>
        </w:tc>
        <w:tc>
          <w:tcPr>
            <w:tcW w:w="9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Long-lived Assets(2)</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3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280" w:type="dxa"/>
            <w:vAlign w:val="bottom"/>
          </w:tcPr>
          <w:p>
            <w:pPr>
              <w:spacing w:after="0"/>
              <w:rPr>
                <w:sz w:val="21"/>
                <w:szCs w:val="21"/>
                <w:color w:val="auto"/>
              </w:rPr>
            </w:pPr>
          </w:p>
        </w:tc>
        <w:tc>
          <w:tcPr>
            <w:tcW w:w="274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6"/>
                <w:szCs w:val="16"/>
                <w:b w:val="1"/>
                <w:bCs w:val="1"/>
                <w:color w:val="auto"/>
                <w:w w:val="98"/>
              </w:rPr>
              <w:t>Years Ended December 31,</w:t>
            </w:r>
          </w:p>
        </w:tc>
        <w:tc>
          <w:tcPr>
            <w:tcW w:w="700" w:type="dxa"/>
            <w:vAlign w:val="bottom"/>
            <w:tcBorders>
              <w:bottom w:val="single" w:sz="8" w:color="auto"/>
            </w:tcBorders>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21"/>
                <w:szCs w:val="21"/>
                <w:color w:val="auto"/>
              </w:rPr>
            </w:pPr>
          </w:p>
        </w:tc>
        <w:tc>
          <w:tcPr>
            <w:tcW w:w="94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b w:val="1"/>
                <w:bCs w:val="1"/>
                <w:color w:val="auto"/>
              </w:rPr>
              <w:t>2007</w:t>
            </w:r>
          </w:p>
        </w:tc>
        <w:tc>
          <w:tcPr>
            <w:tcW w:w="280" w:type="dxa"/>
            <w:vAlign w:val="bottom"/>
          </w:tcPr>
          <w:p>
            <w:pPr>
              <w:spacing w:after="0"/>
              <w:rPr>
                <w:sz w:val="21"/>
                <w:szCs w:val="21"/>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2008</w:t>
            </w:r>
          </w:p>
        </w:tc>
        <w:tc>
          <w:tcPr>
            <w:tcW w:w="2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b w:val="1"/>
                <w:bCs w:val="1"/>
                <w:color w:val="auto"/>
              </w:rPr>
              <w:t>2007</w:t>
            </w:r>
          </w:p>
        </w:tc>
      </w:tr>
      <w:tr>
        <w:trPr>
          <w:trHeight w:val="264"/>
        </w:trPr>
        <w:tc>
          <w:tcPr>
            <w:tcW w:w="500" w:type="dxa"/>
            <w:vAlign w:val="bottom"/>
          </w:tcPr>
          <w:p>
            <w:pPr>
              <w:spacing w:after="0"/>
              <w:rPr>
                <w:sz w:val="22"/>
                <w:szCs w:val="22"/>
                <w:color w:val="auto"/>
              </w:rPr>
            </w:pPr>
          </w:p>
        </w:tc>
        <w:tc>
          <w:tcPr>
            <w:tcW w:w="3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United States</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$ 18,742</w:t>
            </w:r>
          </w:p>
        </w:tc>
        <w:tc>
          <w:tcPr>
            <w:tcW w:w="122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$ 22,291</w:t>
            </w:r>
          </w:p>
        </w:tc>
        <w:tc>
          <w:tcPr>
            <w:tcW w:w="280" w:type="dxa"/>
            <w:vAlign w:val="bottom"/>
            <w:shd w:val="clear" w:color="auto" w:fill="E5FFFF"/>
          </w:tcPr>
          <w:p>
            <w:pPr>
              <w:spacing w:after="0"/>
              <w:rPr>
                <w:sz w:val="22"/>
                <w:szCs w:val="22"/>
                <w:color w:val="auto"/>
              </w:rPr>
            </w:pPr>
          </w:p>
        </w:tc>
        <w:tc>
          <w:tcPr>
            <w:tcW w:w="94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$ 21,101</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$ 13,493</w:t>
            </w:r>
          </w:p>
        </w:tc>
        <w:tc>
          <w:tcPr>
            <w:tcW w:w="124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$ 14,193</w:t>
            </w:r>
          </w:p>
        </w:tc>
        <w:tc>
          <w:tcPr>
            <w:tcW w:w="28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4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11,916</w:t>
            </w:r>
          </w:p>
        </w:tc>
      </w:tr>
      <w:tr>
        <w:trPr>
          <w:trHeight w:val="270"/>
        </w:trPr>
        <w:tc>
          <w:tcPr>
            <w:tcW w:w="500" w:type="dxa"/>
            <w:vAlign w:val="bottom"/>
          </w:tcPr>
          <w:p>
            <w:pPr>
              <w:spacing w:after="0"/>
              <w:rPr>
                <w:sz w:val="23"/>
                <w:szCs w:val="23"/>
                <w:color w:val="auto"/>
              </w:rPr>
            </w:pPr>
          </w:p>
        </w:tc>
        <w:tc>
          <w:tcPr>
            <w:tcW w:w="3320" w:type="dxa"/>
            <w:vAlign w:val="bottom"/>
            <w:gridSpan w:val="2"/>
          </w:tcPr>
          <w:p>
            <w:pPr>
              <w:ind w:left="20"/>
              <w:spacing w:after="0"/>
              <w:rPr>
                <w:sz w:val="20"/>
                <w:szCs w:val="20"/>
                <w:color w:val="auto"/>
              </w:rPr>
            </w:pPr>
            <w:r>
              <w:rPr>
                <w:rFonts w:ascii="Arial" w:cs="Arial" w:eastAsia="Arial" w:hAnsi="Arial"/>
                <w:sz w:val="19"/>
                <w:szCs w:val="19"/>
                <w:color w:val="auto"/>
              </w:rPr>
              <w:t>Europe</w:t>
            </w:r>
          </w:p>
        </w:tc>
        <w:tc>
          <w:tcPr>
            <w:tcW w:w="920" w:type="dxa"/>
            <w:vAlign w:val="bottom"/>
          </w:tcPr>
          <w:p>
            <w:pPr>
              <w:jc w:val="right"/>
              <w:spacing w:after="0"/>
              <w:rPr>
                <w:sz w:val="20"/>
                <w:szCs w:val="20"/>
                <w:color w:val="auto"/>
              </w:rPr>
            </w:pPr>
            <w:r>
              <w:rPr>
                <w:rFonts w:ascii="Arial" w:cs="Arial" w:eastAsia="Arial" w:hAnsi="Arial"/>
                <w:sz w:val="19"/>
                <w:szCs w:val="19"/>
                <w:color w:val="auto"/>
              </w:rPr>
              <w:t>7,632</w:t>
            </w:r>
          </w:p>
        </w:tc>
        <w:tc>
          <w:tcPr>
            <w:tcW w:w="1220" w:type="dxa"/>
            <w:vAlign w:val="bottom"/>
            <w:gridSpan w:val="2"/>
          </w:tcPr>
          <w:p>
            <w:pPr>
              <w:jc w:val="right"/>
              <w:ind w:right="15"/>
              <w:spacing w:after="0"/>
              <w:rPr>
                <w:sz w:val="20"/>
                <w:szCs w:val="20"/>
                <w:color w:val="auto"/>
              </w:rPr>
            </w:pPr>
            <w:r>
              <w:rPr>
                <w:rFonts w:ascii="Arial" w:cs="Arial" w:eastAsia="Arial" w:hAnsi="Arial"/>
                <w:sz w:val="19"/>
                <w:szCs w:val="19"/>
                <w:color w:val="auto"/>
              </w:rPr>
              <w:t>9,484</w:t>
            </w:r>
          </w:p>
        </w:tc>
        <w:tc>
          <w:tcPr>
            <w:tcW w:w="280" w:type="dxa"/>
            <w:vAlign w:val="bottom"/>
          </w:tcPr>
          <w:p>
            <w:pPr>
              <w:spacing w:after="0"/>
              <w:rPr>
                <w:sz w:val="23"/>
                <w:szCs w:val="23"/>
                <w:color w:val="auto"/>
              </w:rPr>
            </w:pPr>
          </w:p>
        </w:tc>
        <w:tc>
          <w:tcPr>
            <w:tcW w:w="940" w:type="dxa"/>
            <w:vAlign w:val="bottom"/>
          </w:tcPr>
          <w:p>
            <w:pPr>
              <w:jc w:val="right"/>
              <w:ind w:right="7"/>
              <w:spacing w:after="0"/>
              <w:rPr>
                <w:sz w:val="20"/>
                <w:szCs w:val="20"/>
                <w:color w:val="auto"/>
              </w:rPr>
            </w:pPr>
            <w:r>
              <w:rPr>
                <w:rFonts w:ascii="Arial" w:cs="Arial" w:eastAsia="Arial" w:hAnsi="Arial"/>
                <w:sz w:val="19"/>
                <w:szCs w:val="19"/>
                <w:color w:val="auto"/>
              </w:rPr>
              <w:t>9,104</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2,232</w:t>
            </w:r>
          </w:p>
        </w:tc>
        <w:tc>
          <w:tcPr>
            <w:tcW w:w="1240" w:type="dxa"/>
            <w:vAlign w:val="bottom"/>
            <w:gridSpan w:val="2"/>
          </w:tcPr>
          <w:p>
            <w:pPr>
              <w:jc w:val="right"/>
              <w:ind w:right="12"/>
              <w:spacing w:after="0"/>
              <w:rPr>
                <w:sz w:val="20"/>
                <w:szCs w:val="20"/>
                <w:color w:val="auto"/>
              </w:rPr>
            </w:pPr>
            <w:r>
              <w:rPr>
                <w:rFonts w:ascii="Arial" w:cs="Arial" w:eastAsia="Arial" w:hAnsi="Arial"/>
                <w:sz w:val="19"/>
                <w:szCs w:val="19"/>
                <w:color w:val="auto"/>
              </w:rPr>
              <w:t>2,050</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2,706</w:t>
            </w:r>
          </w:p>
        </w:tc>
      </w:tr>
      <w:tr>
        <w:trPr>
          <w:trHeight w:val="270"/>
        </w:trPr>
        <w:tc>
          <w:tcPr>
            <w:tcW w:w="500" w:type="dxa"/>
            <w:vAlign w:val="bottom"/>
          </w:tcPr>
          <w:p>
            <w:pPr>
              <w:spacing w:after="0"/>
              <w:rPr>
                <w:sz w:val="23"/>
                <w:szCs w:val="23"/>
                <w:color w:val="auto"/>
              </w:rPr>
            </w:pPr>
          </w:p>
        </w:tc>
        <w:tc>
          <w:tcPr>
            <w:tcW w:w="3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Other International</w:t>
            </w: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4,534</w:t>
            </w:r>
          </w:p>
        </w:tc>
        <w:tc>
          <w:tcPr>
            <w:tcW w:w="280" w:type="dxa"/>
            <w:vAlign w:val="bottom"/>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9"/>
                <w:szCs w:val="19"/>
                <w:color w:val="auto"/>
              </w:rPr>
              <w:t>4,781</w:t>
            </w:r>
          </w:p>
        </w:tc>
        <w:tc>
          <w:tcPr>
            <w:tcW w:w="280" w:type="dxa"/>
            <w:vAlign w:val="bottom"/>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4,384</w:t>
            </w:r>
          </w:p>
        </w:tc>
        <w:tc>
          <w:tcPr>
            <w:tcW w:w="280" w:type="dxa"/>
            <w:vAlign w:val="bottom"/>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1,790</w:t>
            </w:r>
          </w:p>
        </w:tc>
        <w:tc>
          <w:tcPr>
            <w:tcW w:w="300" w:type="dxa"/>
            <w:vAlign w:val="bottom"/>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9"/>
                <w:szCs w:val="19"/>
                <w:color w:val="auto"/>
              </w:rPr>
              <w:t>1,143</w:t>
            </w:r>
          </w:p>
        </w:tc>
        <w:tc>
          <w:tcPr>
            <w:tcW w:w="28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1,036</w:t>
            </w:r>
          </w:p>
        </w:tc>
      </w:tr>
      <w:tr>
        <w:trPr>
          <w:trHeight w:val="304"/>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$ 30,908</w:t>
            </w:r>
          </w:p>
        </w:tc>
        <w:tc>
          <w:tcPr>
            <w:tcW w:w="1220" w:type="dxa"/>
            <w:vAlign w:val="bottom"/>
            <w:gridSpan w:val="2"/>
          </w:tcPr>
          <w:p>
            <w:pPr>
              <w:jc w:val="right"/>
              <w:ind w:right="15"/>
              <w:spacing w:after="0"/>
              <w:rPr>
                <w:sz w:val="20"/>
                <w:szCs w:val="20"/>
                <w:color w:val="auto"/>
              </w:rPr>
            </w:pPr>
            <w:r>
              <w:rPr>
                <w:rFonts w:ascii="Arial" w:cs="Arial" w:eastAsia="Arial" w:hAnsi="Arial"/>
                <w:sz w:val="19"/>
                <w:szCs w:val="19"/>
                <w:color w:val="auto"/>
              </w:rPr>
              <w:t>$ 36,556</w:t>
            </w:r>
          </w:p>
        </w:tc>
        <w:tc>
          <w:tcPr>
            <w:tcW w:w="28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Arial" w:cs="Arial" w:eastAsia="Arial" w:hAnsi="Arial"/>
                <w:sz w:val="19"/>
                <w:szCs w:val="19"/>
                <w:color w:val="auto"/>
              </w:rPr>
              <w:t>$ 34,589</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$ 17,515</w:t>
            </w:r>
          </w:p>
        </w:tc>
        <w:tc>
          <w:tcPr>
            <w:tcW w:w="1240" w:type="dxa"/>
            <w:vAlign w:val="bottom"/>
            <w:gridSpan w:val="2"/>
          </w:tcPr>
          <w:p>
            <w:pPr>
              <w:jc w:val="right"/>
              <w:ind w:right="12"/>
              <w:spacing w:after="0"/>
              <w:rPr>
                <w:sz w:val="20"/>
                <w:szCs w:val="20"/>
                <w:color w:val="auto"/>
              </w:rPr>
            </w:pPr>
            <w:r>
              <w:rPr>
                <w:rFonts w:ascii="Arial" w:cs="Arial" w:eastAsia="Arial" w:hAnsi="Arial"/>
                <w:sz w:val="19"/>
                <w:szCs w:val="19"/>
                <w:color w:val="auto"/>
              </w:rPr>
              <w:t>$ 17,386</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ind w:right="23"/>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15,658</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9" w:lineRule="exact"/>
        <w:rPr>
          <w:sz w:val="20"/>
          <w:szCs w:val="20"/>
          <w:color w:val="auto"/>
        </w:rPr>
      </w:pPr>
    </w:p>
    <w:p>
      <w:pPr>
        <w:ind w:left="400" w:hanging="332"/>
        <w:spacing w:after="0" w:line="245" w:lineRule="auto"/>
        <w:tabs>
          <w:tab w:leader="none" w:pos="4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Sales between geographic areas approximate market and are not significant. Net sales are classified according to their country of origin. Included in United States net sales are export sales of $3,585, $3,506 and $3,427 million in 2009, 2008 and 2007, respectively.</w:t>
      </w:r>
    </w:p>
    <w:p>
      <w:pPr>
        <w:spacing w:after="0" w:line="100" w:lineRule="exact"/>
        <w:rPr>
          <w:rFonts w:ascii="Arial" w:cs="Arial" w:eastAsia="Arial" w:hAnsi="Arial"/>
          <w:sz w:val="19"/>
          <w:szCs w:val="19"/>
          <w:color w:val="auto"/>
        </w:rPr>
      </w:pPr>
    </w:p>
    <w:p>
      <w:pPr>
        <w:ind w:left="400" w:hanging="332"/>
        <w:spacing w:after="0"/>
        <w:tabs>
          <w:tab w:leader="none" w:pos="4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Long-lived assets are comprised of property, plant and equipment, goodwill and other intangible assets.</w:t>
      </w: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05" w:right="3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25—Supplemental Cash Flow Information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14"/>
          </w:tcPr>
          <w:p>
            <w:pPr>
              <w:jc w:val="right"/>
              <w:ind w:right="1040"/>
              <w:spacing w:after="0"/>
              <w:rPr>
                <w:sz w:val="20"/>
                <w:szCs w:val="20"/>
                <w:color w:val="auto"/>
              </w:rPr>
            </w:pPr>
            <w:r>
              <w:rPr>
                <w:rFonts w:ascii="Arial" w:cs="Arial" w:eastAsia="Arial" w:hAnsi="Arial"/>
                <w:sz w:val="16"/>
                <w:szCs w:val="16"/>
                <w:b w:val="1"/>
                <w:bCs w:val="1"/>
                <w:color w:val="auto"/>
              </w:rPr>
              <w:t>Years Ended December 31,</w:t>
            </w:r>
          </w:p>
        </w:tc>
      </w:tr>
      <w:tr>
        <w:trPr>
          <w:trHeight w:val="250"/>
        </w:trPr>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2009</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2008</w:t>
            </w:r>
          </w:p>
        </w:tc>
        <w:tc>
          <w:tcPr>
            <w:tcW w:w="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5"/>
          </w:tcPr>
          <w:p>
            <w:pPr>
              <w:jc w:val="right"/>
              <w:ind w:right="169"/>
              <w:spacing w:after="0"/>
              <w:rPr>
                <w:sz w:val="20"/>
                <w:szCs w:val="20"/>
                <w:color w:val="auto"/>
              </w:rPr>
            </w:pPr>
            <w:r>
              <w:rPr>
                <w:rFonts w:ascii="Arial" w:cs="Arial" w:eastAsia="Arial" w:hAnsi="Arial"/>
                <w:sz w:val="16"/>
                <w:szCs w:val="16"/>
                <w:b w:val="1"/>
                <w:bCs w:val="1"/>
                <w:color w:val="auto"/>
              </w:rPr>
              <w:t>2007</w:t>
            </w:r>
          </w:p>
        </w:tc>
        <w:tc>
          <w:tcPr>
            <w:tcW w:w="520" w:type="dxa"/>
            <w:vAlign w:val="bottom"/>
          </w:tcPr>
          <w:p>
            <w:pPr>
              <w:spacing w:after="0"/>
              <w:rPr>
                <w:sz w:val="21"/>
                <w:szCs w:val="21"/>
                <w:color w:val="auto"/>
              </w:rPr>
            </w:pPr>
          </w:p>
        </w:tc>
      </w:tr>
      <w:tr>
        <w:trPr>
          <w:trHeight w:val="237"/>
        </w:trPr>
        <w:tc>
          <w:tcPr>
            <w:tcW w:w="500" w:type="dxa"/>
            <w:vAlign w:val="bottom"/>
          </w:tcPr>
          <w:p>
            <w:pPr>
              <w:spacing w:after="0"/>
              <w:rPr>
                <w:sz w:val="20"/>
                <w:szCs w:val="20"/>
                <w:color w:val="auto"/>
              </w:rPr>
            </w:pPr>
          </w:p>
        </w:tc>
        <w:tc>
          <w:tcPr>
            <w:tcW w:w="4360" w:type="dxa"/>
            <w:vAlign w:val="bottom"/>
            <w:gridSpan w:val="7"/>
            <w:shd w:val="clear" w:color="auto" w:fill="E5FFFF"/>
          </w:tcPr>
          <w:p>
            <w:pPr>
              <w:ind w:left="20"/>
              <w:spacing w:after="0"/>
              <w:rPr>
                <w:sz w:val="20"/>
                <w:szCs w:val="20"/>
                <w:color w:val="auto"/>
              </w:rPr>
            </w:pPr>
            <w:r>
              <w:rPr>
                <w:rFonts w:ascii="Arial" w:cs="Arial" w:eastAsia="Arial" w:hAnsi="Arial"/>
                <w:sz w:val="19"/>
                <w:szCs w:val="19"/>
                <w:color w:val="auto"/>
              </w:rPr>
              <w:t>Payments for repositioning and other charges:</w:t>
            </w:r>
          </w:p>
        </w:tc>
        <w:tc>
          <w:tcPr>
            <w:tcW w:w="16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700" w:type="dxa"/>
            <w:vAlign w:val="bottom"/>
            <w:tcBorders>
              <w:top w:val="single" w:sz="8" w:color="auto"/>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380" w:type="dxa"/>
            <w:vAlign w:val="bottom"/>
            <w:tcBorders>
              <w:top w:val="single" w:sz="8" w:color="auto"/>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520" w:type="dxa"/>
            <w:vAlign w:val="bottom"/>
          </w:tcPr>
          <w:p>
            <w:pPr>
              <w:spacing w:after="0"/>
              <w:rPr>
                <w:sz w:val="20"/>
                <w:szCs w:val="20"/>
                <w:color w:val="auto"/>
              </w:rPr>
            </w:pPr>
          </w:p>
        </w:tc>
      </w:tr>
      <w:tr>
        <w:trPr>
          <w:trHeight w:val="270"/>
        </w:trPr>
        <w:tc>
          <w:tcPr>
            <w:tcW w:w="500" w:type="dxa"/>
            <w:vAlign w:val="bottom"/>
          </w:tcPr>
          <w:p>
            <w:pPr>
              <w:spacing w:after="0"/>
              <w:rPr>
                <w:sz w:val="23"/>
                <w:szCs w:val="23"/>
                <w:color w:val="auto"/>
              </w:rPr>
            </w:pPr>
          </w:p>
        </w:tc>
        <w:tc>
          <w:tcPr>
            <w:tcW w:w="3380" w:type="dxa"/>
            <w:vAlign w:val="bottom"/>
            <w:gridSpan w:val="5"/>
          </w:tcPr>
          <w:p>
            <w:pPr>
              <w:ind w:left="380"/>
              <w:spacing w:after="0"/>
              <w:rPr>
                <w:sz w:val="20"/>
                <w:szCs w:val="20"/>
                <w:color w:val="auto"/>
              </w:rPr>
            </w:pPr>
            <w:r>
              <w:rPr>
                <w:rFonts w:ascii="Arial" w:cs="Arial" w:eastAsia="Arial" w:hAnsi="Arial"/>
                <w:sz w:val="19"/>
                <w:szCs w:val="19"/>
                <w:color w:val="auto"/>
              </w:rPr>
              <w:t>Severance and exit cost payments</w:t>
            </w: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 (200 )</w:t>
            </w:r>
          </w:p>
        </w:tc>
        <w:tc>
          <w:tcPr>
            <w:tcW w:w="460" w:type="dxa"/>
            <w:vAlign w:val="bottom"/>
            <w:gridSpan w:val="3"/>
          </w:tcPr>
          <w:p>
            <w:pPr>
              <w:ind w:left="360"/>
              <w:spacing w:after="0"/>
              <w:rPr>
                <w:sz w:val="20"/>
                <w:szCs w:val="20"/>
                <w:color w:val="auto"/>
              </w:rPr>
            </w:pPr>
            <w:r>
              <w:rPr>
                <w:rFonts w:ascii="Arial" w:cs="Arial" w:eastAsia="Arial" w:hAnsi="Arial"/>
                <w:sz w:val="19"/>
                <w:szCs w:val="19"/>
                <w:color w:val="auto"/>
                <w:w w:val="75"/>
              </w:rPr>
              <w:t>$</w:t>
            </w:r>
          </w:p>
        </w:tc>
        <w:tc>
          <w:tcPr>
            <w:tcW w:w="600" w:type="dxa"/>
            <w:vAlign w:val="bottom"/>
            <w:gridSpan w:val="2"/>
          </w:tcPr>
          <w:p>
            <w:pPr>
              <w:jc w:val="right"/>
              <w:ind w:right="20"/>
              <w:spacing w:after="0"/>
              <w:rPr>
                <w:sz w:val="20"/>
                <w:szCs w:val="20"/>
                <w:color w:val="auto"/>
              </w:rPr>
            </w:pPr>
            <w:r>
              <w:rPr>
                <w:rFonts w:ascii="Arial" w:cs="Arial" w:eastAsia="Arial" w:hAnsi="Arial"/>
                <w:sz w:val="19"/>
                <w:szCs w:val="19"/>
                <w:color w:val="auto"/>
              </w:rPr>
              <w:t>(157 )</w:t>
            </w:r>
          </w:p>
        </w:tc>
        <w:tc>
          <w:tcPr>
            <w:tcW w:w="40" w:type="dxa"/>
            <w:vAlign w:val="bottom"/>
          </w:tcPr>
          <w:p>
            <w:pPr>
              <w:spacing w:after="0"/>
              <w:rPr>
                <w:sz w:val="23"/>
                <w:szCs w:val="23"/>
                <w:color w:val="auto"/>
              </w:rPr>
            </w:pPr>
          </w:p>
        </w:tc>
        <w:tc>
          <w:tcPr>
            <w:tcW w:w="60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560" w:type="dxa"/>
            <w:vAlign w:val="bottom"/>
            <w:gridSpan w:val="3"/>
          </w:tcPr>
          <w:p>
            <w:pPr>
              <w:jc w:val="right"/>
              <w:spacing w:after="0"/>
              <w:rPr>
                <w:sz w:val="20"/>
                <w:szCs w:val="20"/>
                <w:color w:val="auto"/>
              </w:rPr>
            </w:pPr>
            <w:r>
              <w:rPr>
                <w:rFonts w:ascii="Arial" w:cs="Arial" w:eastAsia="Arial" w:hAnsi="Arial"/>
                <w:sz w:val="19"/>
                <w:szCs w:val="19"/>
                <w:color w:val="auto"/>
              </w:rPr>
              <w:t>(92 )</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3380" w:type="dxa"/>
            <w:vAlign w:val="bottom"/>
            <w:gridSpan w:val="5"/>
            <w:shd w:val="clear" w:color="auto" w:fill="E5FFFF"/>
          </w:tcPr>
          <w:p>
            <w:pPr>
              <w:ind w:left="380"/>
              <w:spacing w:after="0"/>
              <w:rPr>
                <w:sz w:val="20"/>
                <w:szCs w:val="20"/>
                <w:color w:val="auto"/>
              </w:rPr>
            </w:pPr>
            <w:r>
              <w:rPr>
                <w:rFonts w:ascii="Arial" w:cs="Arial" w:eastAsia="Arial" w:hAnsi="Arial"/>
                <w:sz w:val="19"/>
                <w:szCs w:val="19"/>
                <w:color w:val="auto"/>
              </w:rPr>
              <w:t>Environmental payments</w:t>
            </w:r>
          </w:p>
        </w:tc>
        <w:tc>
          <w:tcPr>
            <w:tcW w:w="7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(318 )</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(320 )</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w w:val="96"/>
              </w:rPr>
              <w:t>(267 )</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4360" w:type="dxa"/>
            <w:vAlign w:val="bottom"/>
            <w:gridSpan w:val="7"/>
          </w:tcPr>
          <w:p>
            <w:pPr>
              <w:ind w:left="380"/>
              <w:spacing w:after="0"/>
              <w:rPr>
                <w:sz w:val="20"/>
                <w:szCs w:val="20"/>
                <w:color w:val="auto"/>
              </w:rPr>
            </w:pPr>
            <w:r>
              <w:rPr>
                <w:rFonts w:ascii="Arial" w:cs="Arial" w:eastAsia="Arial" w:hAnsi="Arial"/>
                <w:sz w:val="19"/>
                <w:szCs w:val="19"/>
                <w:color w:val="auto"/>
              </w:rPr>
              <w:t>Proceeds from sale of insurance receivable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9"/>
                <w:szCs w:val="19"/>
                <w:color w:val="auto"/>
              </w:rPr>
              <w:t>82</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3"/>
          </w:tcPr>
          <w:p>
            <w:pPr>
              <w:jc w:val="right"/>
              <w:ind w:right="89"/>
              <w:spacing w:after="0"/>
              <w:rPr>
                <w:sz w:val="20"/>
                <w:szCs w:val="20"/>
                <w:color w:val="auto"/>
              </w:rPr>
            </w:pPr>
            <w:r>
              <w:rPr>
                <w:rFonts w:ascii="Arial" w:cs="Arial" w:eastAsia="Arial" w:hAnsi="Arial"/>
                <w:sz w:val="19"/>
                <w:szCs w:val="19"/>
                <w:color w:val="auto"/>
              </w:rPr>
              <w:t>97</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4520" w:type="dxa"/>
            <w:vAlign w:val="bottom"/>
            <w:gridSpan w:val="8"/>
            <w:shd w:val="clear" w:color="auto" w:fill="E5FFFF"/>
          </w:tcPr>
          <w:p>
            <w:pPr>
              <w:ind w:left="380"/>
              <w:spacing w:after="0"/>
              <w:rPr>
                <w:sz w:val="20"/>
                <w:szCs w:val="20"/>
                <w:color w:val="auto"/>
              </w:rPr>
            </w:pPr>
            <w:r>
              <w:rPr>
                <w:rFonts w:ascii="Arial" w:cs="Arial" w:eastAsia="Arial" w:hAnsi="Arial"/>
                <w:sz w:val="19"/>
                <w:szCs w:val="19"/>
                <w:color w:val="auto"/>
              </w:rPr>
              <w:t>Insurance receipts for asbestos related liabilities</w:t>
            </w:r>
          </w:p>
        </w:tc>
        <w:tc>
          <w:tcPr>
            <w:tcW w:w="6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w:t>
            </w:r>
          </w:p>
        </w:tc>
        <w:tc>
          <w:tcPr>
            <w:tcW w:w="1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96</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560" w:type="dxa"/>
            <w:vAlign w:val="bottom"/>
            <w:gridSpan w:val="3"/>
            <w:shd w:val="clear" w:color="auto" w:fill="E5FFFF"/>
          </w:tcPr>
          <w:p>
            <w:pPr>
              <w:jc w:val="right"/>
              <w:ind w:right="89"/>
              <w:spacing w:after="0"/>
              <w:rPr>
                <w:sz w:val="20"/>
                <w:szCs w:val="20"/>
                <w:color w:val="auto"/>
              </w:rPr>
            </w:pPr>
            <w:r>
              <w:rPr>
                <w:rFonts w:ascii="Arial" w:cs="Arial" w:eastAsia="Arial" w:hAnsi="Arial"/>
                <w:sz w:val="19"/>
                <w:szCs w:val="19"/>
                <w:color w:val="auto"/>
              </w:rPr>
              <w:t>26</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3380" w:type="dxa"/>
            <w:vAlign w:val="bottom"/>
            <w:gridSpan w:val="5"/>
          </w:tcPr>
          <w:p>
            <w:pPr>
              <w:ind w:left="380"/>
              <w:spacing w:after="0"/>
              <w:rPr>
                <w:sz w:val="20"/>
                <w:szCs w:val="20"/>
                <w:color w:val="auto"/>
              </w:rPr>
            </w:pPr>
            <w:r>
              <w:rPr>
                <w:rFonts w:ascii="Arial" w:cs="Arial" w:eastAsia="Arial" w:hAnsi="Arial"/>
                <w:sz w:val="19"/>
                <w:szCs w:val="19"/>
                <w:color w:val="auto"/>
              </w:rPr>
              <w:t>Asbestos related liability payments</w:t>
            </w: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(156 )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(147 )</w:t>
            </w:r>
          </w:p>
        </w:tc>
        <w:tc>
          <w:tcPr>
            <w:tcW w:w="4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w w:val="96"/>
              </w:rPr>
              <w:t>(268 )</w:t>
            </w:r>
          </w:p>
        </w:tc>
        <w:tc>
          <w:tcPr>
            <w:tcW w:w="520" w:type="dxa"/>
            <w:vAlign w:val="bottom"/>
          </w:tcPr>
          <w:p>
            <w:pPr>
              <w:spacing w:after="0"/>
              <w:rPr>
                <w:sz w:val="23"/>
                <w:szCs w:val="23"/>
                <w:color w:val="auto"/>
              </w:rPr>
            </w:pPr>
          </w:p>
        </w:tc>
      </w:tr>
      <w:tr>
        <w:trPr>
          <w:trHeight w:val="34"/>
        </w:trPr>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8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 (658 )</w:t>
            </w:r>
          </w:p>
        </w:tc>
        <w:tc>
          <w:tcPr>
            <w:tcW w:w="300" w:type="dxa"/>
            <w:vAlign w:val="bottom"/>
            <w:gridSpan w:val="2"/>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19"/>
                <w:szCs w:val="19"/>
                <w:color w:val="auto"/>
                <w:w w:val="75"/>
              </w:rPr>
              <w:t>$</w:t>
            </w:r>
          </w:p>
        </w:tc>
        <w:tc>
          <w:tcPr>
            <w:tcW w:w="60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(446 )</w:t>
            </w:r>
          </w:p>
        </w:tc>
        <w:tc>
          <w:tcPr>
            <w:tcW w:w="40" w:type="dxa"/>
            <w:vAlign w:val="bottom"/>
            <w:tcBorders>
              <w:bottom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8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w w:val="96"/>
              </w:rPr>
              <w:t>(504 )</w:t>
            </w:r>
          </w:p>
        </w:tc>
        <w:tc>
          <w:tcPr>
            <w:tcW w:w="520" w:type="dxa"/>
            <w:vAlign w:val="bottom"/>
          </w:tcPr>
          <w:p>
            <w:pPr>
              <w:spacing w:after="0"/>
              <w:rPr>
                <w:sz w:val="23"/>
                <w:szCs w:val="23"/>
                <w:color w:val="auto"/>
              </w:rPr>
            </w:pPr>
          </w:p>
        </w:tc>
      </w:tr>
      <w:tr>
        <w:trPr>
          <w:trHeight w:val="20"/>
        </w:trPr>
        <w:tc>
          <w:tcPr>
            <w:tcW w:w="5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4360" w:type="dxa"/>
            <w:vAlign w:val="bottom"/>
            <w:gridSpan w:val="7"/>
          </w:tcPr>
          <w:p>
            <w:pPr>
              <w:ind w:left="20"/>
              <w:spacing w:after="0"/>
              <w:rPr>
                <w:sz w:val="20"/>
                <w:szCs w:val="20"/>
                <w:color w:val="auto"/>
              </w:rPr>
            </w:pPr>
            <w:r>
              <w:rPr>
                <w:rFonts w:ascii="Arial" w:cs="Arial" w:eastAsia="Arial" w:hAnsi="Arial"/>
                <w:sz w:val="19"/>
                <w:szCs w:val="19"/>
                <w:color w:val="auto"/>
              </w:rPr>
              <w:t>Interest paid, net of amounts capitalized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  469</w:t>
            </w:r>
          </w:p>
        </w:tc>
        <w:tc>
          <w:tcPr>
            <w:tcW w:w="100" w:type="dxa"/>
            <w:vAlign w:val="bottom"/>
          </w:tcPr>
          <w:p>
            <w:pPr>
              <w:spacing w:after="0"/>
              <w:rPr>
                <w:sz w:val="24"/>
                <w:szCs w:val="24"/>
                <w:color w:val="auto"/>
              </w:rPr>
            </w:pPr>
          </w:p>
        </w:tc>
        <w:tc>
          <w:tcPr>
            <w:tcW w:w="460" w:type="dxa"/>
            <w:vAlign w:val="bottom"/>
            <w:gridSpan w:val="3"/>
          </w:tcPr>
          <w:p>
            <w:pPr>
              <w:ind w:left="360"/>
              <w:spacing w:after="0"/>
              <w:rPr>
                <w:sz w:val="20"/>
                <w:szCs w:val="20"/>
                <w:color w:val="auto"/>
              </w:rPr>
            </w:pPr>
            <w:r>
              <w:rPr>
                <w:rFonts w:ascii="Arial" w:cs="Arial" w:eastAsia="Arial" w:hAnsi="Arial"/>
                <w:sz w:val="19"/>
                <w:szCs w:val="19"/>
                <w:color w:val="auto"/>
                <w:w w:val="75"/>
              </w:rPr>
              <w:t>$</w:t>
            </w:r>
          </w:p>
        </w:tc>
        <w:tc>
          <w:tcPr>
            <w:tcW w:w="600" w:type="dxa"/>
            <w:vAlign w:val="bottom"/>
            <w:gridSpan w:val="2"/>
          </w:tcPr>
          <w:p>
            <w:pPr>
              <w:jc w:val="right"/>
              <w:ind w:right="100"/>
              <w:spacing w:after="0"/>
              <w:rPr>
                <w:sz w:val="20"/>
                <w:szCs w:val="20"/>
                <w:color w:val="auto"/>
              </w:rPr>
            </w:pPr>
            <w:r>
              <w:rPr>
                <w:rFonts w:ascii="Arial" w:cs="Arial" w:eastAsia="Arial" w:hAnsi="Arial"/>
                <w:sz w:val="19"/>
                <w:szCs w:val="19"/>
                <w:color w:val="auto"/>
              </w:rPr>
              <w:t>415</w:t>
            </w:r>
          </w:p>
        </w:tc>
        <w:tc>
          <w:tcPr>
            <w:tcW w:w="40" w:type="dxa"/>
            <w:vAlign w:val="bottom"/>
          </w:tcPr>
          <w:p>
            <w:pPr>
              <w:spacing w:after="0"/>
              <w:rPr>
                <w:sz w:val="24"/>
                <w:szCs w:val="24"/>
                <w:color w:val="auto"/>
              </w:rPr>
            </w:pPr>
          </w:p>
        </w:tc>
        <w:tc>
          <w:tcPr>
            <w:tcW w:w="60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560" w:type="dxa"/>
            <w:vAlign w:val="bottom"/>
            <w:gridSpan w:val="3"/>
          </w:tcPr>
          <w:p>
            <w:pPr>
              <w:jc w:val="right"/>
              <w:ind w:right="89"/>
              <w:spacing w:after="0"/>
              <w:rPr>
                <w:sz w:val="20"/>
                <w:szCs w:val="20"/>
                <w:color w:val="auto"/>
              </w:rPr>
            </w:pPr>
            <w:r>
              <w:rPr>
                <w:rFonts w:ascii="Arial" w:cs="Arial" w:eastAsia="Arial" w:hAnsi="Arial"/>
                <w:sz w:val="19"/>
                <w:szCs w:val="19"/>
                <w:color w:val="auto"/>
              </w:rPr>
              <w:t>444</w:t>
            </w:r>
          </w:p>
        </w:tc>
        <w:tc>
          <w:tcPr>
            <w:tcW w:w="520" w:type="dxa"/>
            <w:vAlign w:val="bottom"/>
          </w:tcPr>
          <w:p>
            <w:pPr>
              <w:spacing w:after="0"/>
              <w:rPr>
                <w:sz w:val="24"/>
                <w:szCs w:val="24"/>
                <w:color w:val="auto"/>
              </w:rPr>
            </w:pPr>
          </w:p>
        </w:tc>
      </w:tr>
      <w:tr>
        <w:trPr>
          <w:trHeight w:val="270"/>
        </w:trPr>
        <w:tc>
          <w:tcPr>
            <w:tcW w:w="500" w:type="dxa"/>
            <w:vAlign w:val="bottom"/>
          </w:tcPr>
          <w:p>
            <w:pPr>
              <w:spacing w:after="0"/>
              <w:rPr>
                <w:sz w:val="23"/>
                <w:szCs w:val="23"/>
                <w:color w:val="auto"/>
              </w:rPr>
            </w:pPr>
          </w:p>
        </w:tc>
        <w:tc>
          <w:tcPr>
            <w:tcW w:w="3380" w:type="dxa"/>
            <w:vAlign w:val="bottom"/>
            <w:gridSpan w:val="5"/>
            <w:shd w:val="clear" w:color="auto" w:fill="E5FFFF"/>
          </w:tcPr>
          <w:p>
            <w:pPr>
              <w:ind w:left="20"/>
              <w:spacing w:after="0"/>
              <w:rPr>
                <w:sz w:val="20"/>
                <w:szCs w:val="20"/>
                <w:color w:val="auto"/>
              </w:rPr>
            </w:pPr>
            <w:r>
              <w:rPr>
                <w:rFonts w:ascii="Arial" w:cs="Arial" w:eastAsia="Arial" w:hAnsi="Arial"/>
                <w:sz w:val="19"/>
                <w:szCs w:val="19"/>
                <w:color w:val="auto"/>
              </w:rPr>
              <w:t>Income taxes paid, net of refunds</w:t>
            </w:r>
          </w:p>
        </w:tc>
        <w:tc>
          <w:tcPr>
            <w:tcW w:w="7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361</w:t>
            </w:r>
          </w:p>
        </w:tc>
        <w:tc>
          <w:tcPr>
            <w:tcW w:w="1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810</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560" w:type="dxa"/>
            <w:vAlign w:val="bottom"/>
            <w:gridSpan w:val="3"/>
            <w:shd w:val="clear" w:color="auto" w:fill="E5FFFF"/>
          </w:tcPr>
          <w:p>
            <w:pPr>
              <w:jc w:val="right"/>
              <w:ind w:right="89"/>
              <w:spacing w:after="0"/>
              <w:rPr>
                <w:sz w:val="20"/>
                <w:szCs w:val="20"/>
                <w:color w:val="auto"/>
              </w:rPr>
            </w:pPr>
            <w:r>
              <w:rPr>
                <w:rFonts w:ascii="Arial" w:cs="Arial" w:eastAsia="Arial" w:hAnsi="Arial"/>
                <w:sz w:val="19"/>
                <w:szCs w:val="19"/>
                <w:color w:val="auto"/>
              </w:rPr>
              <w:t>474</w:t>
            </w:r>
          </w:p>
        </w:tc>
        <w:tc>
          <w:tcPr>
            <w:tcW w:w="520" w:type="dxa"/>
            <w:vAlign w:val="bottom"/>
          </w:tcPr>
          <w:p>
            <w:pPr>
              <w:spacing w:after="0"/>
              <w:rPr>
                <w:sz w:val="23"/>
                <w:szCs w:val="23"/>
                <w:color w:val="auto"/>
              </w:rPr>
            </w:pPr>
          </w:p>
        </w:tc>
      </w:tr>
      <w:tr>
        <w:trPr>
          <w:trHeight w:val="243"/>
        </w:trPr>
        <w:tc>
          <w:tcPr>
            <w:tcW w:w="500" w:type="dxa"/>
            <w:vAlign w:val="bottom"/>
          </w:tcPr>
          <w:p>
            <w:pPr>
              <w:spacing w:after="0"/>
              <w:rPr>
                <w:sz w:val="21"/>
                <w:szCs w:val="21"/>
                <w:color w:val="auto"/>
              </w:rPr>
            </w:pPr>
          </w:p>
        </w:tc>
        <w:tc>
          <w:tcPr>
            <w:tcW w:w="4360" w:type="dxa"/>
            <w:vAlign w:val="bottom"/>
            <w:gridSpan w:val="7"/>
          </w:tcPr>
          <w:p>
            <w:pPr>
              <w:ind w:left="20"/>
              <w:spacing w:after="0"/>
              <w:rPr>
                <w:sz w:val="20"/>
                <w:szCs w:val="20"/>
                <w:color w:val="auto"/>
              </w:rPr>
            </w:pPr>
            <w:r>
              <w:rPr>
                <w:rFonts w:ascii="Arial" w:cs="Arial" w:eastAsia="Arial" w:hAnsi="Arial"/>
                <w:sz w:val="19"/>
                <w:szCs w:val="19"/>
                <w:color w:val="auto"/>
              </w:rPr>
              <w:t>Non-cash investing and financing activities: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0"/>
        </w:trPr>
        <w:tc>
          <w:tcPr>
            <w:tcW w:w="500" w:type="dxa"/>
            <w:vAlign w:val="bottom"/>
          </w:tcPr>
          <w:p>
            <w:pPr>
              <w:spacing w:after="0"/>
              <w:rPr>
                <w:sz w:val="23"/>
                <w:szCs w:val="23"/>
                <w:color w:val="auto"/>
              </w:rPr>
            </w:pPr>
          </w:p>
        </w:tc>
        <w:tc>
          <w:tcPr>
            <w:tcW w:w="4360" w:type="dxa"/>
            <w:vAlign w:val="bottom"/>
            <w:gridSpan w:val="7"/>
            <w:shd w:val="clear" w:color="auto" w:fill="E5FFFF"/>
          </w:tcPr>
          <w:p>
            <w:pPr>
              <w:ind w:left="380"/>
              <w:spacing w:after="0"/>
              <w:rPr>
                <w:sz w:val="20"/>
                <w:szCs w:val="20"/>
                <w:color w:val="auto"/>
              </w:rPr>
            </w:pPr>
            <w:r>
              <w:rPr>
                <w:rFonts w:ascii="Arial" w:cs="Arial" w:eastAsia="Arial" w:hAnsi="Arial"/>
                <w:sz w:val="19"/>
                <w:szCs w:val="19"/>
                <w:color w:val="auto"/>
              </w:rPr>
              <w:t>Common stock contributed to savings plans</w:t>
            </w: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153</w:t>
            </w:r>
          </w:p>
        </w:tc>
        <w:tc>
          <w:tcPr>
            <w:tcW w:w="1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220</w:t>
            </w:r>
          </w:p>
        </w:tc>
        <w:tc>
          <w:tcPr>
            <w:tcW w:w="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560" w:type="dxa"/>
            <w:vAlign w:val="bottom"/>
            <w:gridSpan w:val="3"/>
            <w:shd w:val="clear" w:color="auto" w:fill="E5FFFF"/>
          </w:tcPr>
          <w:p>
            <w:pPr>
              <w:jc w:val="right"/>
              <w:ind w:right="89"/>
              <w:spacing w:after="0"/>
              <w:rPr>
                <w:sz w:val="20"/>
                <w:szCs w:val="20"/>
                <w:color w:val="auto"/>
              </w:rPr>
            </w:pPr>
            <w:r>
              <w:rPr>
                <w:rFonts w:ascii="Arial" w:cs="Arial" w:eastAsia="Arial" w:hAnsi="Arial"/>
                <w:sz w:val="19"/>
                <w:szCs w:val="19"/>
                <w:color w:val="auto"/>
              </w:rPr>
              <w:t>199</w:t>
            </w:r>
          </w:p>
        </w:tc>
        <w:tc>
          <w:tcPr>
            <w:tcW w:w="520" w:type="dxa"/>
            <w:vAlign w:val="bottom"/>
          </w:tcPr>
          <w:p>
            <w:pPr>
              <w:spacing w:after="0"/>
              <w:rPr>
                <w:sz w:val="23"/>
                <w:szCs w:val="23"/>
                <w:color w:val="auto"/>
              </w:rPr>
            </w:pPr>
          </w:p>
        </w:tc>
      </w:tr>
      <w:tr>
        <w:trPr>
          <w:trHeight w:val="274"/>
        </w:trPr>
        <w:tc>
          <w:tcPr>
            <w:tcW w:w="500" w:type="dxa"/>
            <w:vAlign w:val="bottom"/>
          </w:tcPr>
          <w:p>
            <w:pPr>
              <w:spacing w:after="0"/>
              <w:rPr>
                <w:sz w:val="23"/>
                <w:szCs w:val="23"/>
                <w:color w:val="auto"/>
              </w:rPr>
            </w:pPr>
          </w:p>
        </w:tc>
        <w:tc>
          <w:tcPr>
            <w:tcW w:w="5160" w:type="dxa"/>
            <w:vAlign w:val="bottom"/>
            <w:gridSpan w:val="9"/>
          </w:tcPr>
          <w:p>
            <w:pPr>
              <w:ind w:left="380"/>
              <w:spacing w:after="0"/>
              <w:rPr>
                <w:sz w:val="20"/>
                <w:szCs w:val="20"/>
                <w:color w:val="auto"/>
              </w:rPr>
            </w:pPr>
            <w:r>
              <w:rPr>
                <w:rFonts w:ascii="Arial" w:cs="Arial" w:eastAsia="Arial" w:hAnsi="Arial"/>
                <w:sz w:val="19"/>
                <w:szCs w:val="19"/>
                <w:color w:val="auto"/>
              </w:rPr>
              <w:t>Common stock contributed to U.S. pension plans</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740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9"/>
                <w:szCs w:val="19"/>
                <w:color w:val="auto"/>
              </w:rPr>
              <w:t>200</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gridSpan w:val="3"/>
          </w:tcPr>
          <w:p>
            <w:pPr>
              <w:jc w:val="right"/>
              <w:ind w:right="680"/>
              <w:spacing w:after="0"/>
              <w:rPr>
                <w:sz w:val="20"/>
                <w:szCs w:val="20"/>
                <w:color w:val="auto"/>
              </w:rPr>
            </w:pPr>
            <w:r>
              <w:rPr>
                <w:rFonts w:ascii="Arial" w:cs="Arial" w:eastAsia="Arial" w:hAnsi="Arial"/>
                <w:sz w:val="19"/>
                <w:szCs w:val="19"/>
                <w:color w:val="auto"/>
              </w:rPr>
              <w:t>—</w:t>
            </w:r>
          </w:p>
        </w:tc>
      </w:tr>
      <w:tr>
        <w:trPr>
          <w:trHeight w:val="554"/>
        </w:trPr>
        <w:tc>
          <w:tcPr>
            <w:tcW w:w="4860" w:type="dxa"/>
            <w:vAlign w:val="bottom"/>
            <w:gridSpan w:val="8"/>
          </w:tcPr>
          <w:p>
            <w:pPr>
              <w:spacing w:after="0"/>
              <w:rPr>
                <w:sz w:val="20"/>
                <w:szCs w:val="20"/>
                <w:color w:val="auto"/>
              </w:rPr>
            </w:pPr>
            <w:r>
              <w:rPr>
                <w:rFonts w:ascii="Arial" w:cs="Arial" w:eastAsia="Arial" w:hAnsi="Arial"/>
                <w:sz w:val="19"/>
                <w:szCs w:val="19"/>
                <w:b w:val="1"/>
                <w:bCs w:val="1"/>
                <w:color w:val="auto"/>
              </w:rPr>
              <w:t>Note 26—Unaudited Quarterly Financial Information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3"/>
        </w:trPr>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7"/>
              </w:rPr>
              <w:t>Dec. 31</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21"/>
                <w:szCs w:val="21"/>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Mar. 31</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 30</w:t>
            </w:r>
          </w:p>
        </w:tc>
        <w:tc>
          <w:tcPr>
            <w:tcW w:w="2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 31</w:t>
            </w:r>
          </w:p>
        </w:tc>
        <w:tc>
          <w:tcPr>
            <w:tcW w:w="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Year</w:t>
            </w:r>
          </w:p>
        </w:tc>
      </w:tr>
      <w:tr>
        <w:trPr>
          <w:trHeight w:val="264"/>
        </w:trPr>
        <w:tc>
          <w:tcPr>
            <w:tcW w:w="18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Net Sales</w:t>
            </w: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  7,570</w:t>
            </w:r>
          </w:p>
        </w:tc>
        <w:tc>
          <w:tcPr>
            <w:tcW w:w="10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  7,566</w:t>
            </w:r>
          </w:p>
        </w:tc>
        <w:tc>
          <w:tcPr>
            <w:tcW w:w="22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  7,700</w:t>
            </w:r>
          </w:p>
        </w:tc>
        <w:tc>
          <w:tcPr>
            <w:tcW w:w="200" w:type="dxa"/>
            <w:vAlign w:val="bottom"/>
            <w:shd w:val="clear" w:color="auto" w:fill="E5FFFF"/>
          </w:tcPr>
          <w:p>
            <w:pPr>
              <w:spacing w:after="0"/>
              <w:rPr>
                <w:sz w:val="22"/>
                <w:szCs w:val="22"/>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8,072</w:t>
            </w:r>
          </w:p>
        </w:tc>
        <w:tc>
          <w:tcPr>
            <w:tcW w:w="10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$ 30,908</w:t>
            </w:r>
          </w:p>
        </w:tc>
        <w:tc>
          <w:tcPr>
            <w:tcW w:w="9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$ 8,895</w:t>
            </w:r>
          </w:p>
        </w:tc>
        <w:tc>
          <w:tcPr>
            <w:tcW w:w="2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6"/>
                <w:szCs w:val="16"/>
                <w:color w:val="auto"/>
              </w:rPr>
              <w:t>$ 9,674</w:t>
            </w:r>
          </w:p>
        </w:tc>
        <w:tc>
          <w:tcPr>
            <w:tcW w:w="100" w:type="dxa"/>
            <w:vAlign w:val="bottom"/>
            <w:shd w:val="clear" w:color="auto" w:fill="E5FFFF"/>
          </w:tcPr>
          <w:p>
            <w:pPr>
              <w:spacing w:after="0"/>
              <w:rPr>
                <w:sz w:val="22"/>
                <w:szCs w:val="22"/>
                <w:color w:val="auto"/>
              </w:rPr>
            </w:pPr>
          </w:p>
        </w:tc>
        <w:tc>
          <w:tcPr>
            <w:tcW w:w="840" w:type="dxa"/>
            <w:vAlign w:val="bottom"/>
            <w:gridSpan w:val="4"/>
            <w:shd w:val="clear" w:color="auto" w:fill="E5FFFF"/>
          </w:tcPr>
          <w:p>
            <w:pPr>
              <w:jc w:val="right"/>
              <w:ind w:right="6"/>
              <w:spacing w:after="0"/>
              <w:rPr>
                <w:sz w:val="20"/>
                <w:szCs w:val="20"/>
                <w:color w:val="auto"/>
              </w:rPr>
            </w:pPr>
            <w:r>
              <w:rPr>
                <w:rFonts w:ascii="Arial" w:cs="Arial" w:eastAsia="Arial" w:hAnsi="Arial"/>
                <w:sz w:val="16"/>
                <w:szCs w:val="16"/>
                <w:color w:val="auto"/>
              </w:rPr>
              <w:t>$ 9,275</w:t>
            </w:r>
          </w:p>
        </w:tc>
        <w:tc>
          <w:tcPr>
            <w:tcW w:w="2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$ 8,712</w:t>
            </w:r>
          </w:p>
        </w:tc>
        <w:tc>
          <w:tcPr>
            <w:tcW w:w="108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$ 36,556</w:t>
            </w:r>
          </w:p>
        </w:tc>
      </w:tr>
      <w:tr>
        <w:trPr>
          <w:trHeight w:val="270"/>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1,814</w:t>
            </w:r>
          </w:p>
        </w:tc>
        <w:tc>
          <w:tcPr>
            <w:tcW w:w="1000" w:type="dxa"/>
            <w:vAlign w:val="bottom"/>
            <w:gridSpan w:val="2"/>
          </w:tcPr>
          <w:p>
            <w:pPr>
              <w:jc w:val="right"/>
              <w:ind w:right="9"/>
              <w:spacing w:after="0"/>
              <w:rPr>
                <w:sz w:val="20"/>
                <w:szCs w:val="20"/>
                <w:color w:val="auto"/>
              </w:rPr>
            </w:pPr>
            <w:r>
              <w:rPr>
                <w:rFonts w:ascii="Arial" w:cs="Arial" w:eastAsia="Arial" w:hAnsi="Arial"/>
                <w:sz w:val="16"/>
                <w:szCs w:val="16"/>
                <w:color w:val="auto"/>
              </w:rPr>
              <w:t>1,884</w:t>
            </w:r>
          </w:p>
        </w:tc>
        <w:tc>
          <w:tcPr>
            <w:tcW w:w="22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1,903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2,122</w:t>
            </w:r>
          </w:p>
        </w:tc>
        <w:tc>
          <w:tcPr>
            <w:tcW w:w="1020" w:type="dxa"/>
            <w:vAlign w:val="bottom"/>
            <w:gridSpan w:val="2"/>
          </w:tcPr>
          <w:p>
            <w:pPr>
              <w:jc w:val="right"/>
              <w:ind w:right="29"/>
              <w:spacing w:after="0"/>
              <w:rPr>
                <w:sz w:val="20"/>
                <w:szCs w:val="20"/>
                <w:color w:val="auto"/>
              </w:rPr>
            </w:pPr>
            <w:r>
              <w:rPr>
                <w:rFonts w:ascii="Arial" w:cs="Arial" w:eastAsia="Arial" w:hAnsi="Arial"/>
                <w:sz w:val="16"/>
                <w:szCs w:val="16"/>
                <w:color w:val="auto"/>
              </w:rPr>
              <w:t>7,723</w:t>
            </w:r>
          </w:p>
        </w:tc>
        <w:tc>
          <w:tcPr>
            <w:tcW w:w="940" w:type="dxa"/>
            <w:vAlign w:val="bottom"/>
            <w:gridSpan w:val="2"/>
          </w:tcPr>
          <w:p>
            <w:pPr>
              <w:jc w:val="right"/>
              <w:ind w:right="29"/>
              <w:spacing w:after="0"/>
              <w:rPr>
                <w:sz w:val="20"/>
                <w:szCs w:val="20"/>
                <w:color w:val="auto"/>
              </w:rPr>
            </w:pPr>
            <w:r>
              <w:rPr>
                <w:rFonts w:ascii="Arial" w:cs="Arial" w:eastAsia="Arial" w:hAnsi="Arial"/>
                <w:sz w:val="16"/>
                <w:szCs w:val="16"/>
                <w:color w:val="auto"/>
              </w:rPr>
              <w:t>2,223</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3"/>
                <w:szCs w:val="23"/>
                <w:color w:val="auto"/>
              </w:rPr>
            </w:pPr>
          </w:p>
        </w:tc>
        <w:tc>
          <w:tcPr>
            <w:tcW w:w="840" w:type="dxa"/>
            <w:vAlign w:val="bottom"/>
            <w:gridSpan w:val="4"/>
          </w:tcPr>
          <w:p>
            <w:pPr>
              <w:jc w:val="right"/>
              <w:ind w:right="6"/>
              <w:spacing w:after="0"/>
              <w:rPr>
                <w:sz w:val="20"/>
                <w:szCs w:val="20"/>
                <w:color w:val="auto"/>
              </w:rPr>
            </w:pPr>
            <w:r>
              <w:rPr>
                <w:rFonts w:ascii="Arial" w:cs="Arial" w:eastAsia="Arial" w:hAnsi="Arial"/>
                <w:sz w:val="16"/>
                <w:szCs w:val="16"/>
                <w:color w:val="auto"/>
              </w:rPr>
              <w:t>1,799</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2,189</w:t>
            </w:r>
          </w:p>
        </w:tc>
        <w:tc>
          <w:tcPr>
            <w:tcW w:w="1080" w:type="dxa"/>
            <w:vAlign w:val="bottom"/>
            <w:gridSpan w:val="4"/>
          </w:tcPr>
          <w:p>
            <w:pPr>
              <w:jc w:val="right"/>
              <w:ind w:right="100"/>
              <w:spacing w:after="0"/>
              <w:rPr>
                <w:sz w:val="20"/>
                <w:szCs w:val="20"/>
                <w:color w:val="auto"/>
              </w:rPr>
            </w:pPr>
            <w:r>
              <w:rPr>
                <w:rFonts w:ascii="Arial" w:cs="Arial" w:eastAsia="Arial" w:hAnsi="Arial"/>
                <w:sz w:val="16"/>
                <w:szCs w:val="16"/>
                <w:color w:val="auto"/>
              </w:rPr>
              <w:t>8,562</w:t>
            </w:r>
          </w:p>
        </w:tc>
      </w:tr>
      <w:tr>
        <w:trPr>
          <w:trHeight w:val="195"/>
        </w:trPr>
        <w:tc>
          <w:tcPr>
            <w:tcW w:w="18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Net income attributable</w:t>
            </w:r>
          </w:p>
        </w:tc>
        <w:tc>
          <w:tcPr>
            <w:tcW w:w="7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7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7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3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520" w:type="dxa"/>
            <w:vAlign w:val="bottom"/>
            <w:shd w:val="clear" w:color="auto" w:fill="E5FFFF"/>
          </w:tcPr>
          <w:p>
            <w:pPr>
              <w:spacing w:after="0"/>
              <w:rPr>
                <w:sz w:val="16"/>
                <w:szCs w:val="16"/>
                <w:color w:val="auto"/>
              </w:rPr>
            </w:pPr>
          </w:p>
        </w:tc>
      </w:tr>
      <w:tr>
        <w:trPr>
          <w:trHeight w:val="184"/>
        </w:trPr>
        <w:tc>
          <w:tcPr>
            <w:tcW w:w="1880" w:type="dxa"/>
            <w:vAlign w:val="bottom"/>
            <w:gridSpan w:val="2"/>
            <w:shd w:val="clear" w:color="auto" w:fill="E5FFFF"/>
          </w:tcPr>
          <w:p>
            <w:pPr>
              <w:ind w:left="160"/>
              <w:spacing w:after="0"/>
              <w:rPr>
                <w:sz w:val="20"/>
                <w:szCs w:val="20"/>
                <w:color w:val="auto"/>
              </w:rPr>
            </w:pPr>
            <w:r>
              <w:rPr>
                <w:rFonts w:ascii="Arial" w:cs="Arial" w:eastAsia="Arial" w:hAnsi="Arial"/>
                <w:sz w:val="16"/>
                <w:szCs w:val="16"/>
                <w:color w:val="auto"/>
              </w:rPr>
              <w:t>to Honeywell</w:t>
            </w: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397</w:t>
            </w:r>
          </w:p>
        </w:tc>
        <w:tc>
          <w:tcPr>
            <w:tcW w:w="10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450</w:t>
            </w:r>
          </w:p>
        </w:tc>
        <w:tc>
          <w:tcPr>
            <w:tcW w:w="220" w:type="dxa"/>
            <w:vAlign w:val="bottom"/>
            <w:shd w:val="clear" w:color="auto" w:fill="E5FFFF"/>
          </w:tcPr>
          <w:p>
            <w:pPr>
              <w:spacing w:after="0"/>
              <w:rPr>
                <w:sz w:val="15"/>
                <w:szCs w:val="15"/>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608</w:t>
            </w:r>
          </w:p>
        </w:tc>
        <w:tc>
          <w:tcPr>
            <w:tcW w:w="20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6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698</w:t>
            </w:r>
          </w:p>
        </w:tc>
        <w:tc>
          <w:tcPr>
            <w:tcW w:w="10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2,153</w:t>
            </w:r>
          </w:p>
        </w:tc>
        <w:tc>
          <w:tcPr>
            <w:tcW w:w="9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643</w:t>
            </w:r>
          </w:p>
        </w:tc>
        <w:tc>
          <w:tcPr>
            <w:tcW w:w="2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380" w:type="dxa"/>
            <w:vAlign w:val="bottom"/>
            <w:shd w:val="clear" w:color="auto" w:fill="E5FFFF"/>
          </w:tcPr>
          <w:p>
            <w:pPr>
              <w:jc w:val="right"/>
              <w:ind w:right="6"/>
              <w:spacing w:after="0"/>
              <w:rPr>
                <w:sz w:val="20"/>
                <w:szCs w:val="20"/>
                <w:color w:val="auto"/>
              </w:rPr>
            </w:pPr>
            <w:r>
              <w:rPr>
                <w:rFonts w:ascii="Arial" w:cs="Arial" w:eastAsia="Arial" w:hAnsi="Arial"/>
                <w:sz w:val="16"/>
                <w:szCs w:val="16"/>
                <w:color w:val="auto"/>
                <w:w w:val="97"/>
              </w:rPr>
              <w:t>719</w:t>
            </w:r>
          </w:p>
        </w:tc>
        <w:tc>
          <w:tcPr>
            <w:tcW w:w="22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707</w:t>
            </w:r>
          </w:p>
        </w:tc>
        <w:tc>
          <w:tcPr>
            <w:tcW w:w="108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2,792</w:t>
            </w:r>
          </w:p>
        </w:tc>
      </w:tr>
      <w:tr>
        <w:trPr>
          <w:trHeight w:val="195"/>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Earnings per share—</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4"/>
        </w:trPr>
        <w:tc>
          <w:tcPr>
            <w:tcW w:w="1880" w:type="dxa"/>
            <w:vAlign w:val="bottom"/>
            <w:gridSpan w:val="2"/>
          </w:tcPr>
          <w:p>
            <w:pPr>
              <w:ind w:left="160"/>
              <w:spacing w:after="0"/>
              <w:rPr>
                <w:sz w:val="20"/>
                <w:szCs w:val="20"/>
                <w:color w:val="auto"/>
              </w:rPr>
            </w:pPr>
            <w:r>
              <w:rPr>
                <w:rFonts w:ascii="Arial" w:cs="Arial" w:eastAsia="Arial" w:hAnsi="Arial"/>
                <w:sz w:val="16"/>
                <w:szCs w:val="16"/>
                <w:color w:val="auto"/>
              </w:rPr>
              <w:t>basic:</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0.54</w:t>
            </w:r>
          </w:p>
        </w:tc>
        <w:tc>
          <w:tcPr>
            <w:tcW w:w="1000" w:type="dxa"/>
            <w:vAlign w:val="bottom"/>
            <w:gridSpan w:val="2"/>
          </w:tcPr>
          <w:p>
            <w:pPr>
              <w:jc w:val="right"/>
              <w:ind w:right="9"/>
              <w:spacing w:after="0"/>
              <w:rPr>
                <w:sz w:val="20"/>
                <w:szCs w:val="20"/>
                <w:color w:val="auto"/>
              </w:rPr>
            </w:pPr>
            <w:r>
              <w:rPr>
                <w:rFonts w:ascii="Arial" w:cs="Arial" w:eastAsia="Arial" w:hAnsi="Arial"/>
                <w:sz w:val="16"/>
                <w:szCs w:val="16"/>
                <w:color w:val="auto"/>
              </w:rPr>
              <w:t>0.60</w:t>
            </w:r>
          </w:p>
        </w:tc>
        <w:tc>
          <w:tcPr>
            <w:tcW w:w="2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0.80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0.91</w:t>
            </w:r>
          </w:p>
        </w:tc>
        <w:tc>
          <w:tcPr>
            <w:tcW w:w="1020" w:type="dxa"/>
            <w:vAlign w:val="bottom"/>
            <w:gridSpan w:val="2"/>
          </w:tcPr>
          <w:p>
            <w:pPr>
              <w:jc w:val="right"/>
              <w:ind w:right="29"/>
              <w:spacing w:after="0"/>
              <w:rPr>
                <w:sz w:val="20"/>
                <w:szCs w:val="20"/>
                <w:color w:val="auto"/>
              </w:rPr>
            </w:pPr>
            <w:r>
              <w:rPr>
                <w:rFonts w:ascii="Arial" w:cs="Arial" w:eastAsia="Arial" w:hAnsi="Arial"/>
                <w:sz w:val="16"/>
                <w:szCs w:val="16"/>
                <w:color w:val="auto"/>
              </w:rPr>
              <w:t>2.86</w:t>
            </w:r>
          </w:p>
        </w:tc>
        <w:tc>
          <w:tcPr>
            <w:tcW w:w="940" w:type="dxa"/>
            <w:vAlign w:val="bottom"/>
            <w:gridSpan w:val="2"/>
          </w:tcPr>
          <w:p>
            <w:pPr>
              <w:jc w:val="right"/>
              <w:ind w:right="29"/>
              <w:spacing w:after="0"/>
              <w:rPr>
                <w:sz w:val="20"/>
                <w:szCs w:val="20"/>
                <w:color w:val="auto"/>
              </w:rPr>
            </w:pPr>
            <w:r>
              <w:rPr>
                <w:rFonts w:ascii="Arial" w:cs="Arial" w:eastAsia="Arial" w:hAnsi="Arial"/>
                <w:sz w:val="16"/>
                <w:szCs w:val="16"/>
                <w:color w:val="auto"/>
              </w:rPr>
              <w:t>0.87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15"/>
                <w:szCs w:val="15"/>
                <w:color w:val="auto"/>
              </w:rPr>
            </w:pPr>
          </w:p>
        </w:tc>
        <w:tc>
          <w:tcPr>
            <w:tcW w:w="840" w:type="dxa"/>
            <w:vAlign w:val="bottom"/>
            <w:gridSpan w:val="4"/>
          </w:tcPr>
          <w:p>
            <w:pPr>
              <w:jc w:val="right"/>
              <w:ind w:right="6"/>
              <w:spacing w:after="0"/>
              <w:rPr>
                <w:sz w:val="20"/>
                <w:szCs w:val="20"/>
                <w:color w:val="auto"/>
              </w:rPr>
            </w:pPr>
            <w:r>
              <w:rPr>
                <w:rFonts w:ascii="Arial" w:cs="Arial" w:eastAsia="Arial" w:hAnsi="Arial"/>
                <w:sz w:val="16"/>
                <w:szCs w:val="16"/>
                <w:color w:val="auto"/>
              </w:rPr>
              <w:t>0.98</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0.97</w:t>
            </w:r>
          </w:p>
        </w:tc>
        <w:tc>
          <w:tcPr>
            <w:tcW w:w="1080" w:type="dxa"/>
            <w:vAlign w:val="bottom"/>
            <w:gridSpan w:val="4"/>
          </w:tcPr>
          <w:p>
            <w:pPr>
              <w:jc w:val="right"/>
              <w:ind w:right="100"/>
              <w:spacing w:after="0"/>
              <w:rPr>
                <w:sz w:val="20"/>
                <w:szCs w:val="20"/>
                <w:color w:val="auto"/>
              </w:rPr>
            </w:pPr>
            <w:r>
              <w:rPr>
                <w:rFonts w:ascii="Arial" w:cs="Arial" w:eastAsia="Arial" w:hAnsi="Arial"/>
                <w:sz w:val="16"/>
                <w:szCs w:val="16"/>
                <w:color w:val="auto"/>
              </w:rPr>
              <w:t>3.79</w:t>
            </w:r>
          </w:p>
        </w:tc>
      </w:tr>
      <w:tr>
        <w:trPr>
          <w:trHeight w:val="195"/>
        </w:trPr>
        <w:tc>
          <w:tcPr>
            <w:tcW w:w="18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Earnings per share—</w:t>
            </w:r>
          </w:p>
        </w:tc>
        <w:tc>
          <w:tcPr>
            <w:tcW w:w="7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7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7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3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520" w:type="dxa"/>
            <w:vAlign w:val="bottom"/>
            <w:shd w:val="clear" w:color="auto" w:fill="E5FFFF"/>
          </w:tcPr>
          <w:p>
            <w:pPr>
              <w:spacing w:after="0"/>
              <w:rPr>
                <w:sz w:val="16"/>
                <w:szCs w:val="16"/>
                <w:color w:val="auto"/>
              </w:rPr>
            </w:pPr>
          </w:p>
        </w:tc>
      </w:tr>
      <w:tr>
        <w:trPr>
          <w:trHeight w:val="184"/>
        </w:trPr>
        <w:tc>
          <w:tcPr>
            <w:tcW w:w="1880" w:type="dxa"/>
            <w:vAlign w:val="bottom"/>
            <w:gridSpan w:val="2"/>
            <w:shd w:val="clear" w:color="auto" w:fill="E5FFFF"/>
          </w:tcPr>
          <w:p>
            <w:pPr>
              <w:ind w:left="160"/>
              <w:spacing w:after="0"/>
              <w:rPr>
                <w:sz w:val="20"/>
                <w:szCs w:val="20"/>
                <w:color w:val="auto"/>
              </w:rPr>
            </w:pPr>
            <w:r>
              <w:rPr>
                <w:rFonts w:ascii="Arial" w:cs="Arial" w:eastAsia="Arial" w:hAnsi="Arial"/>
                <w:sz w:val="16"/>
                <w:szCs w:val="16"/>
                <w:color w:val="auto"/>
              </w:rPr>
              <w:t>assuming dilution:</w:t>
            </w: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0.54</w:t>
            </w:r>
          </w:p>
        </w:tc>
        <w:tc>
          <w:tcPr>
            <w:tcW w:w="10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0.60</w:t>
            </w:r>
          </w:p>
        </w:tc>
        <w:tc>
          <w:tcPr>
            <w:tcW w:w="220" w:type="dxa"/>
            <w:vAlign w:val="bottom"/>
            <w:shd w:val="clear" w:color="auto" w:fill="E5FFFF"/>
          </w:tcPr>
          <w:p>
            <w:pPr>
              <w:spacing w:after="0"/>
              <w:rPr>
                <w:sz w:val="15"/>
                <w:szCs w:val="15"/>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0.80</w:t>
            </w:r>
          </w:p>
        </w:tc>
        <w:tc>
          <w:tcPr>
            <w:tcW w:w="20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6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0.91</w:t>
            </w:r>
          </w:p>
        </w:tc>
        <w:tc>
          <w:tcPr>
            <w:tcW w:w="10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2.85</w:t>
            </w:r>
          </w:p>
        </w:tc>
        <w:tc>
          <w:tcPr>
            <w:tcW w:w="9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0.85</w:t>
            </w:r>
          </w:p>
        </w:tc>
        <w:tc>
          <w:tcPr>
            <w:tcW w:w="2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6"/>
                <w:szCs w:val="16"/>
                <w:color w:val="auto"/>
              </w:rPr>
              <w:t>0.96</w:t>
            </w:r>
          </w:p>
        </w:tc>
        <w:tc>
          <w:tcPr>
            <w:tcW w:w="100" w:type="dxa"/>
            <w:vAlign w:val="bottom"/>
            <w:shd w:val="clear" w:color="auto" w:fill="E5FFFF"/>
          </w:tcPr>
          <w:p>
            <w:pPr>
              <w:spacing w:after="0"/>
              <w:rPr>
                <w:sz w:val="15"/>
                <w:szCs w:val="15"/>
                <w:color w:val="auto"/>
              </w:rPr>
            </w:pPr>
          </w:p>
        </w:tc>
        <w:tc>
          <w:tcPr>
            <w:tcW w:w="840" w:type="dxa"/>
            <w:vAlign w:val="bottom"/>
            <w:gridSpan w:val="4"/>
            <w:shd w:val="clear" w:color="auto" w:fill="E5FFFF"/>
          </w:tcPr>
          <w:p>
            <w:pPr>
              <w:jc w:val="right"/>
              <w:ind w:right="6"/>
              <w:spacing w:after="0"/>
              <w:rPr>
                <w:sz w:val="20"/>
                <w:szCs w:val="20"/>
                <w:color w:val="auto"/>
              </w:rPr>
            </w:pPr>
            <w:r>
              <w:rPr>
                <w:rFonts w:ascii="Arial" w:cs="Arial" w:eastAsia="Arial" w:hAnsi="Arial"/>
                <w:sz w:val="16"/>
                <w:szCs w:val="16"/>
                <w:color w:val="auto"/>
              </w:rPr>
              <w:t>0.97</w:t>
            </w:r>
          </w:p>
        </w:tc>
        <w:tc>
          <w:tcPr>
            <w:tcW w:w="22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0.97</w:t>
            </w:r>
          </w:p>
        </w:tc>
        <w:tc>
          <w:tcPr>
            <w:tcW w:w="108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3.76</w:t>
            </w:r>
          </w:p>
        </w:tc>
      </w:tr>
      <w:tr>
        <w:trPr>
          <w:trHeight w:val="270"/>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Dividends paid</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0.3025</w:t>
            </w:r>
          </w:p>
        </w:tc>
        <w:tc>
          <w:tcPr>
            <w:tcW w:w="1000" w:type="dxa"/>
            <w:vAlign w:val="bottom"/>
            <w:gridSpan w:val="2"/>
          </w:tcPr>
          <w:p>
            <w:pPr>
              <w:jc w:val="right"/>
              <w:ind w:right="9"/>
              <w:spacing w:after="0"/>
              <w:rPr>
                <w:sz w:val="20"/>
                <w:szCs w:val="20"/>
                <w:color w:val="auto"/>
              </w:rPr>
            </w:pPr>
            <w:r>
              <w:rPr>
                <w:rFonts w:ascii="Arial" w:cs="Arial" w:eastAsia="Arial" w:hAnsi="Arial"/>
                <w:sz w:val="16"/>
                <w:szCs w:val="16"/>
                <w:color w:val="auto"/>
              </w:rPr>
              <w:t>0.3025</w:t>
            </w:r>
          </w:p>
        </w:tc>
        <w:tc>
          <w:tcPr>
            <w:tcW w:w="22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0.3025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0.3025</w:t>
            </w:r>
          </w:p>
        </w:tc>
        <w:tc>
          <w:tcPr>
            <w:tcW w:w="1020" w:type="dxa"/>
            <w:vAlign w:val="bottom"/>
            <w:gridSpan w:val="2"/>
          </w:tcPr>
          <w:p>
            <w:pPr>
              <w:jc w:val="right"/>
              <w:ind w:right="29"/>
              <w:spacing w:after="0"/>
              <w:rPr>
                <w:sz w:val="20"/>
                <w:szCs w:val="20"/>
                <w:color w:val="auto"/>
              </w:rPr>
            </w:pPr>
            <w:r>
              <w:rPr>
                <w:rFonts w:ascii="Arial" w:cs="Arial" w:eastAsia="Arial" w:hAnsi="Arial"/>
                <w:sz w:val="16"/>
                <w:szCs w:val="16"/>
                <w:color w:val="auto"/>
              </w:rPr>
              <w:t>1.21</w:t>
            </w:r>
          </w:p>
        </w:tc>
        <w:tc>
          <w:tcPr>
            <w:tcW w:w="940" w:type="dxa"/>
            <w:vAlign w:val="bottom"/>
            <w:gridSpan w:val="2"/>
          </w:tcPr>
          <w:p>
            <w:pPr>
              <w:jc w:val="right"/>
              <w:ind w:right="29"/>
              <w:spacing w:after="0"/>
              <w:rPr>
                <w:sz w:val="20"/>
                <w:szCs w:val="20"/>
                <w:color w:val="auto"/>
              </w:rPr>
            </w:pPr>
            <w:r>
              <w:rPr>
                <w:rFonts w:ascii="Arial" w:cs="Arial" w:eastAsia="Arial" w:hAnsi="Arial"/>
                <w:sz w:val="16"/>
                <w:szCs w:val="16"/>
                <w:color w:val="auto"/>
              </w:rPr>
              <w:t>0.275</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6"/>
                <w:szCs w:val="16"/>
                <w:color w:val="auto"/>
              </w:rPr>
              <w:t>0.275</w:t>
            </w:r>
          </w:p>
        </w:tc>
        <w:tc>
          <w:tcPr>
            <w:tcW w:w="100" w:type="dxa"/>
            <w:vAlign w:val="bottom"/>
          </w:tcPr>
          <w:p>
            <w:pPr>
              <w:spacing w:after="0"/>
              <w:rPr>
                <w:sz w:val="23"/>
                <w:szCs w:val="23"/>
                <w:color w:val="auto"/>
              </w:rPr>
            </w:pPr>
          </w:p>
        </w:tc>
        <w:tc>
          <w:tcPr>
            <w:tcW w:w="840" w:type="dxa"/>
            <w:vAlign w:val="bottom"/>
            <w:gridSpan w:val="4"/>
          </w:tcPr>
          <w:p>
            <w:pPr>
              <w:jc w:val="right"/>
              <w:ind w:right="6"/>
              <w:spacing w:after="0"/>
              <w:rPr>
                <w:sz w:val="20"/>
                <w:szCs w:val="20"/>
                <w:color w:val="auto"/>
              </w:rPr>
            </w:pPr>
            <w:r>
              <w:rPr>
                <w:rFonts w:ascii="Arial" w:cs="Arial" w:eastAsia="Arial" w:hAnsi="Arial"/>
                <w:sz w:val="16"/>
                <w:szCs w:val="16"/>
                <w:color w:val="auto"/>
              </w:rPr>
              <w:t>0.275</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0.275</w:t>
            </w:r>
          </w:p>
        </w:tc>
        <w:tc>
          <w:tcPr>
            <w:tcW w:w="1080" w:type="dxa"/>
            <w:vAlign w:val="bottom"/>
            <w:gridSpan w:val="4"/>
          </w:tcPr>
          <w:p>
            <w:pPr>
              <w:jc w:val="right"/>
              <w:ind w:right="100"/>
              <w:spacing w:after="0"/>
              <w:rPr>
                <w:sz w:val="20"/>
                <w:szCs w:val="20"/>
                <w:color w:val="auto"/>
              </w:rPr>
            </w:pPr>
            <w:r>
              <w:rPr>
                <w:rFonts w:ascii="Arial" w:cs="Arial" w:eastAsia="Arial" w:hAnsi="Arial"/>
                <w:sz w:val="16"/>
                <w:szCs w:val="16"/>
                <w:color w:val="auto"/>
              </w:rPr>
              <w:t>1.10</w:t>
            </w:r>
          </w:p>
        </w:tc>
      </w:tr>
      <w:tr>
        <w:trPr>
          <w:trHeight w:val="203"/>
        </w:trPr>
        <w:tc>
          <w:tcPr>
            <w:tcW w:w="18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Market Price</w:t>
            </w:r>
          </w:p>
        </w:tc>
        <w:tc>
          <w:tcPr>
            <w:tcW w:w="7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r>
      <w:tr>
        <w:trPr>
          <w:trHeight w:val="270"/>
        </w:trPr>
        <w:tc>
          <w:tcPr>
            <w:tcW w:w="1880" w:type="dxa"/>
            <w:vAlign w:val="bottom"/>
            <w:gridSpan w:val="2"/>
          </w:tcPr>
          <w:p>
            <w:pPr>
              <w:ind w:left="160"/>
              <w:spacing w:after="0"/>
              <w:rPr>
                <w:sz w:val="20"/>
                <w:szCs w:val="20"/>
                <w:color w:val="auto"/>
              </w:rPr>
            </w:pPr>
            <w:r>
              <w:rPr>
                <w:rFonts w:ascii="Arial" w:cs="Arial" w:eastAsia="Arial" w:hAnsi="Arial"/>
                <w:sz w:val="16"/>
                <w:szCs w:val="16"/>
                <w:color w:val="auto"/>
              </w:rPr>
              <w:t>High</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36.04</w:t>
            </w:r>
          </w:p>
        </w:tc>
        <w:tc>
          <w:tcPr>
            <w:tcW w:w="1000" w:type="dxa"/>
            <w:vAlign w:val="bottom"/>
            <w:gridSpan w:val="2"/>
          </w:tcPr>
          <w:p>
            <w:pPr>
              <w:jc w:val="right"/>
              <w:ind w:right="9"/>
              <w:spacing w:after="0"/>
              <w:rPr>
                <w:sz w:val="20"/>
                <w:szCs w:val="20"/>
                <w:color w:val="auto"/>
              </w:rPr>
            </w:pPr>
            <w:r>
              <w:rPr>
                <w:rFonts w:ascii="Arial" w:cs="Arial" w:eastAsia="Arial" w:hAnsi="Arial"/>
                <w:sz w:val="16"/>
                <w:szCs w:val="16"/>
                <w:color w:val="auto"/>
              </w:rPr>
              <w:t>35.79</w:t>
            </w:r>
          </w:p>
        </w:tc>
        <w:tc>
          <w:tcPr>
            <w:tcW w:w="22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40.17</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41.31</w:t>
            </w:r>
          </w:p>
        </w:tc>
        <w:tc>
          <w:tcPr>
            <w:tcW w:w="1020" w:type="dxa"/>
            <w:vAlign w:val="bottom"/>
            <w:gridSpan w:val="2"/>
          </w:tcPr>
          <w:p>
            <w:pPr>
              <w:jc w:val="right"/>
              <w:ind w:right="29"/>
              <w:spacing w:after="0"/>
              <w:rPr>
                <w:sz w:val="20"/>
                <w:szCs w:val="20"/>
                <w:color w:val="auto"/>
              </w:rPr>
            </w:pPr>
            <w:r>
              <w:rPr>
                <w:rFonts w:ascii="Arial" w:cs="Arial" w:eastAsia="Arial" w:hAnsi="Arial"/>
                <w:sz w:val="16"/>
                <w:szCs w:val="16"/>
                <w:color w:val="auto"/>
              </w:rPr>
              <w:t>41.31</w:t>
            </w:r>
          </w:p>
        </w:tc>
        <w:tc>
          <w:tcPr>
            <w:tcW w:w="940" w:type="dxa"/>
            <w:vAlign w:val="bottom"/>
            <w:gridSpan w:val="2"/>
          </w:tcPr>
          <w:p>
            <w:pPr>
              <w:jc w:val="right"/>
              <w:ind w:right="29"/>
              <w:spacing w:after="0"/>
              <w:rPr>
                <w:sz w:val="20"/>
                <w:szCs w:val="20"/>
                <w:color w:val="auto"/>
              </w:rPr>
            </w:pPr>
            <w:r>
              <w:rPr>
                <w:rFonts w:ascii="Arial" w:cs="Arial" w:eastAsia="Arial" w:hAnsi="Arial"/>
                <w:sz w:val="16"/>
                <w:szCs w:val="16"/>
                <w:color w:val="auto"/>
              </w:rPr>
              <w:t>60.48</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6"/>
                <w:szCs w:val="16"/>
                <w:color w:val="auto"/>
              </w:rPr>
              <w:t>62.25</w:t>
            </w:r>
          </w:p>
        </w:tc>
        <w:tc>
          <w:tcPr>
            <w:tcW w:w="100" w:type="dxa"/>
            <w:vAlign w:val="bottom"/>
          </w:tcPr>
          <w:p>
            <w:pPr>
              <w:spacing w:after="0"/>
              <w:rPr>
                <w:sz w:val="23"/>
                <w:szCs w:val="23"/>
                <w:color w:val="auto"/>
              </w:rPr>
            </w:pPr>
          </w:p>
        </w:tc>
        <w:tc>
          <w:tcPr>
            <w:tcW w:w="840" w:type="dxa"/>
            <w:vAlign w:val="bottom"/>
            <w:gridSpan w:val="4"/>
          </w:tcPr>
          <w:p>
            <w:pPr>
              <w:jc w:val="right"/>
              <w:ind w:right="6"/>
              <w:spacing w:after="0"/>
              <w:rPr>
                <w:sz w:val="20"/>
                <w:szCs w:val="20"/>
                <w:color w:val="auto"/>
              </w:rPr>
            </w:pPr>
            <w:r>
              <w:rPr>
                <w:rFonts w:ascii="Arial" w:cs="Arial" w:eastAsia="Arial" w:hAnsi="Arial"/>
                <w:sz w:val="16"/>
                <w:szCs w:val="16"/>
                <w:color w:val="auto"/>
              </w:rPr>
              <w:t>50.93</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39.68</w:t>
            </w:r>
          </w:p>
        </w:tc>
        <w:tc>
          <w:tcPr>
            <w:tcW w:w="1080" w:type="dxa"/>
            <w:vAlign w:val="bottom"/>
            <w:gridSpan w:val="4"/>
          </w:tcPr>
          <w:p>
            <w:pPr>
              <w:jc w:val="right"/>
              <w:ind w:right="100"/>
              <w:spacing w:after="0"/>
              <w:rPr>
                <w:sz w:val="20"/>
                <w:szCs w:val="20"/>
                <w:color w:val="auto"/>
              </w:rPr>
            </w:pPr>
            <w:r>
              <w:rPr>
                <w:rFonts w:ascii="Arial" w:cs="Arial" w:eastAsia="Arial" w:hAnsi="Arial"/>
                <w:sz w:val="16"/>
                <w:szCs w:val="16"/>
                <w:color w:val="auto"/>
              </w:rPr>
              <w:t>62.25</w:t>
            </w:r>
          </w:p>
        </w:tc>
      </w:tr>
      <w:tr>
        <w:trPr>
          <w:trHeight w:val="270"/>
        </w:trPr>
        <w:tc>
          <w:tcPr>
            <w:tcW w:w="1880" w:type="dxa"/>
            <w:vAlign w:val="bottom"/>
            <w:gridSpan w:val="2"/>
            <w:shd w:val="clear" w:color="auto" w:fill="E5FFFF"/>
          </w:tcPr>
          <w:p>
            <w:pPr>
              <w:ind w:left="160"/>
              <w:spacing w:after="0"/>
              <w:rPr>
                <w:sz w:val="20"/>
                <w:szCs w:val="20"/>
                <w:color w:val="auto"/>
              </w:rPr>
            </w:pPr>
            <w:r>
              <w:rPr>
                <w:rFonts w:ascii="Arial" w:cs="Arial" w:eastAsia="Arial" w:hAnsi="Arial"/>
                <w:sz w:val="16"/>
                <w:szCs w:val="16"/>
                <w:color w:val="auto"/>
              </w:rPr>
              <w:t>Low</w:t>
            </w: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23.23</w:t>
            </w:r>
          </w:p>
        </w:tc>
        <w:tc>
          <w:tcPr>
            <w:tcW w:w="10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29.29</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29.31</w:t>
            </w:r>
          </w:p>
        </w:tc>
        <w:tc>
          <w:tcPr>
            <w:tcW w:w="2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35.89</w:t>
            </w:r>
          </w:p>
        </w:tc>
        <w:tc>
          <w:tcPr>
            <w:tcW w:w="10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23.23</w:t>
            </w:r>
          </w:p>
        </w:tc>
        <w:tc>
          <w:tcPr>
            <w:tcW w:w="9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53.95</w:t>
            </w:r>
          </w:p>
        </w:tc>
        <w:tc>
          <w:tcPr>
            <w:tcW w:w="2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6"/>
                <w:szCs w:val="16"/>
                <w:color w:val="auto"/>
              </w:rPr>
              <w:t>49.14</w:t>
            </w:r>
          </w:p>
        </w:tc>
        <w:tc>
          <w:tcPr>
            <w:tcW w:w="100" w:type="dxa"/>
            <w:vAlign w:val="bottom"/>
            <w:shd w:val="clear" w:color="auto" w:fill="E5FFFF"/>
          </w:tcPr>
          <w:p>
            <w:pPr>
              <w:spacing w:after="0"/>
              <w:rPr>
                <w:sz w:val="23"/>
                <w:szCs w:val="23"/>
                <w:color w:val="auto"/>
              </w:rPr>
            </w:pPr>
          </w:p>
        </w:tc>
        <w:tc>
          <w:tcPr>
            <w:tcW w:w="840" w:type="dxa"/>
            <w:vAlign w:val="bottom"/>
            <w:gridSpan w:val="4"/>
            <w:shd w:val="clear" w:color="auto" w:fill="E5FFFF"/>
          </w:tcPr>
          <w:p>
            <w:pPr>
              <w:jc w:val="right"/>
              <w:ind w:right="6"/>
              <w:spacing w:after="0"/>
              <w:rPr>
                <w:sz w:val="20"/>
                <w:szCs w:val="20"/>
                <w:color w:val="auto"/>
              </w:rPr>
            </w:pPr>
            <w:r>
              <w:rPr>
                <w:rFonts w:ascii="Arial" w:cs="Arial" w:eastAsia="Arial" w:hAnsi="Arial"/>
                <w:sz w:val="16"/>
                <w:szCs w:val="16"/>
                <w:color w:val="auto"/>
              </w:rPr>
              <w:t>40.37</w:t>
            </w:r>
          </w:p>
        </w:tc>
        <w:tc>
          <w:tcPr>
            <w:tcW w:w="2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23.67</w:t>
            </w:r>
          </w:p>
        </w:tc>
        <w:tc>
          <w:tcPr>
            <w:tcW w:w="108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23.67</w:t>
            </w: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color w:val="auto"/>
        </w:rPr>
        <w:t>T</w:t>
      </w:r>
      <w:r>
        <w:rPr>
          <w:rFonts w:ascii="Arial" w:cs="Arial" w:eastAsia="Arial" w:hAnsi="Arial"/>
          <w:sz w:val="14"/>
          <w:szCs w:val="14"/>
          <w:color w:val="auto"/>
        </w:rPr>
        <w:t>O THE</w:t>
      </w:r>
      <w:r>
        <w:rPr>
          <w:rFonts w:ascii="Arial" w:cs="Arial" w:eastAsia="Arial" w:hAnsi="Arial"/>
          <w:sz w:val="19"/>
          <w:szCs w:val="19"/>
          <w:color w:val="auto"/>
        </w:rPr>
        <w:t xml:space="preserve"> B</w:t>
      </w:r>
      <w:r>
        <w:rPr>
          <w:rFonts w:ascii="Arial" w:cs="Arial" w:eastAsia="Arial" w:hAnsi="Arial"/>
          <w:sz w:val="14"/>
          <w:szCs w:val="14"/>
          <w:color w:val="auto"/>
        </w:rPr>
        <w:t>OARD OF</w:t>
      </w:r>
      <w:r>
        <w:rPr>
          <w:rFonts w:ascii="Arial" w:cs="Arial" w:eastAsia="Arial" w:hAnsi="Arial"/>
          <w:sz w:val="19"/>
          <w:szCs w:val="19"/>
          <w:color w:val="auto"/>
        </w:rPr>
        <w:t xml:space="preserve"> D</w:t>
      </w:r>
      <w:r>
        <w:rPr>
          <w:rFonts w:ascii="Arial" w:cs="Arial" w:eastAsia="Arial" w:hAnsi="Arial"/>
          <w:sz w:val="14"/>
          <w:szCs w:val="14"/>
          <w:color w:val="auto"/>
        </w:rPr>
        <w:t>IRECTORS AND</w:t>
      </w:r>
      <w:r>
        <w:rPr>
          <w:rFonts w:ascii="Arial" w:cs="Arial" w:eastAsia="Arial" w:hAnsi="Arial"/>
          <w:sz w:val="19"/>
          <w:szCs w:val="19"/>
          <w:color w:val="auto"/>
        </w:rPr>
        <w:t xml:space="preserve"> S</w:t>
      </w:r>
      <w:r>
        <w:rPr>
          <w:rFonts w:ascii="Arial" w:cs="Arial" w:eastAsia="Arial" w:hAnsi="Arial"/>
          <w:sz w:val="14"/>
          <w:szCs w:val="14"/>
          <w:color w:val="auto"/>
        </w:rPr>
        <w:t>HAREOWNERS OF</w:t>
      </w:r>
    </w:p>
    <w:p>
      <w:pPr>
        <w:spacing w:after="0"/>
        <w:rPr>
          <w:sz w:val="20"/>
          <w:szCs w:val="20"/>
          <w:color w:val="auto"/>
        </w:rPr>
      </w:pPr>
      <w:r>
        <w:rPr>
          <w:rFonts w:ascii="Arial" w:cs="Arial" w:eastAsia="Arial" w:hAnsi="Arial"/>
          <w:sz w:val="19"/>
          <w:szCs w:val="19"/>
          <w:color w:val="auto"/>
        </w:rPr>
        <w:t>H</w:t>
      </w:r>
      <w:r>
        <w:rPr>
          <w:rFonts w:ascii="Arial" w:cs="Arial" w:eastAsia="Arial" w:hAnsi="Arial"/>
          <w:sz w:val="14"/>
          <w:szCs w:val="14"/>
          <w:color w:val="auto"/>
        </w:rPr>
        <w:t>ONEYWELL</w:t>
      </w:r>
      <w:r>
        <w:rPr>
          <w:rFonts w:ascii="Arial" w:cs="Arial" w:eastAsia="Arial" w:hAnsi="Arial"/>
          <w:sz w:val="19"/>
          <w:szCs w:val="19"/>
          <w:color w:val="auto"/>
        </w:rPr>
        <w:t xml:space="preserve"> I</w:t>
      </w:r>
      <w:r>
        <w:rPr>
          <w:rFonts w:ascii="Arial" w:cs="Arial" w:eastAsia="Arial" w:hAnsi="Arial"/>
          <w:sz w:val="14"/>
          <w:szCs w:val="14"/>
          <w:color w:val="auto"/>
        </w:rPr>
        <w:t>NTERNATIONAL</w:t>
      </w:r>
      <w:r>
        <w:rPr>
          <w:rFonts w:ascii="Arial" w:cs="Arial" w:eastAsia="Arial" w:hAnsi="Arial"/>
          <w:sz w:val="19"/>
          <w:szCs w:val="19"/>
          <w:color w:val="auto"/>
        </w:rPr>
        <w:t xml:space="preserve"> I</w:t>
      </w:r>
      <w:r>
        <w:rPr>
          <w:rFonts w:ascii="Arial" w:cs="Arial" w:eastAsia="Arial" w:hAnsi="Arial"/>
          <w:sz w:val="14"/>
          <w:szCs w:val="14"/>
          <w:color w:val="auto"/>
        </w:rPr>
        <w:t>NC</w:t>
      </w:r>
      <w:r>
        <w:rPr>
          <w:rFonts w:ascii="Arial" w:cs="Arial" w:eastAsia="Arial" w:hAnsi="Arial"/>
          <w:sz w:val="19"/>
          <w:szCs w:val="19"/>
          <w:color w:val="auto"/>
        </w:rPr>
        <w:t>.:</w:t>
      </w:r>
    </w:p>
    <w:p>
      <w:pPr>
        <w:spacing w:after="0" w:line="10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 xml:space="preserve">In our opinion, the consolidated financial statements listed in the index appearing under Item 15(a)(1.) present fairly, in all material respects, the financial position of Honeywell International Inc. and its subsidiaries at December 31, 2009 and 2008, and the results of their operations and their cash flows for each of the three years in the period ended December 31, 2009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2009, based on criteria established in </w:t>
      </w:r>
      <w:r>
        <w:rPr>
          <w:rFonts w:ascii="Arial" w:cs="Arial" w:eastAsia="Arial" w:hAnsi="Arial"/>
          <w:sz w:val="19"/>
          <w:szCs w:val="19"/>
          <w:i w:val="1"/>
          <w:iCs w:val="1"/>
          <w:color w:val="auto"/>
        </w:rPr>
        <w:t>Internal Control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—Integrated Framework </w:t>
      </w:r>
      <w:r>
        <w:rPr>
          <w:rFonts w:ascii="Arial" w:cs="Arial" w:eastAsia="Arial" w:hAnsi="Arial"/>
          <w:sz w:val="19"/>
          <w:szCs w:val="19"/>
          <w:color w:val="auto"/>
        </w:rPr>
        <w:t>issued by the Committee of Sponsoring Organizations of the Treadway Commission (COSO).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4"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As discussed in Note 1 to the accompanying consolidated financial statements, in 2009 the Company retrospectively applied the accounting for noncontrolling interests and in 2007 changed the manner in which it accounts for income tax uncertainties.</w:t>
      </w:r>
    </w:p>
    <w:p>
      <w:pPr>
        <w:spacing w:after="0" w:line="8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Florham Park, New Jersey</w:t>
      </w:r>
    </w:p>
    <w:p>
      <w:pPr>
        <w:spacing w:after="0"/>
        <w:rPr>
          <w:sz w:val="20"/>
          <w:szCs w:val="20"/>
          <w:color w:val="auto"/>
        </w:rPr>
      </w:pPr>
      <w:r>
        <w:rPr>
          <w:rFonts w:ascii="Arial" w:cs="Arial" w:eastAsia="Arial" w:hAnsi="Arial"/>
          <w:sz w:val="19"/>
          <w:szCs w:val="19"/>
          <w:color w:val="auto"/>
        </w:rPr>
        <w:t>February 11, 2010</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07" w:name="page108"/>
    <w:bookmarkEnd w:id="107"/>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147"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Honeywell management, including the Chief Executive Officer and Chief Financial Officer, conducted an evaluation of the effectiveness of our disclosure controls and procedures as of the end of the period covered by this Annual Report on Form 10-K. Based upon that evaluation, the Chief Executive Officer and the Chief Financial Officer concluded that such disclosure controls and procedures were effective as of the end of the period covered by this Annual Report on Form 10-K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Annual Report on Form 10-K.</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Management’s Report on Internal Control Over Financial Reporting</w:t>
      </w:r>
    </w:p>
    <w:p>
      <w:pPr>
        <w:spacing w:after="0" w:line="238"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Honeywell management is responsible for establishing and maintaining adequate internal control over financial reporting as defined in Rules 13a-15(f) and 15d-15(f) under the Securities Exchange Act of 1934. Honeywell’s internal control over financial reporting is a process designed to provide reasonable assurance regarding the reliability of financial reporting and the preparation of financial statements for external purposes in accordance with generally accepted accounting principles. Honeywell’s internal control over financial reporting includes those policies and procedures that:</w:t>
      </w:r>
    </w:p>
    <w:p>
      <w:pPr>
        <w:spacing w:after="0" w:line="91" w:lineRule="exact"/>
        <w:rPr>
          <w:sz w:val="20"/>
          <w:szCs w:val="20"/>
          <w:color w:val="auto"/>
        </w:rPr>
      </w:pPr>
    </w:p>
    <w:p>
      <w:pPr>
        <w:ind w:left="360" w:right="860" w:firstLine="363"/>
        <w:spacing w:after="0" w:line="253" w:lineRule="auto"/>
        <w:tabs>
          <w:tab w:leader="none" w:pos="943" w:val="left"/>
        </w:tabs>
        <w:numPr>
          <w:ilvl w:val="0"/>
          <w:numId w:val="37"/>
        </w:numPr>
        <w:rPr>
          <w:rFonts w:ascii="Arial" w:cs="Arial" w:eastAsia="Arial" w:hAnsi="Arial"/>
          <w:sz w:val="19"/>
          <w:szCs w:val="19"/>
          <w:color w:val="auto"/>
        </w:rPr>
      </w:pPr>
      <w:r>
        <w:rPr>
          <w:rFonts w:ascii="Arial" w:cs="Arial" w:eastAsia="Arial" w:hAnsi="Arial"/>
          <w:sz w:val="19"/>
          <w:szCs w:val="19"/>
          <w:color w:val="auto"/>
        </w:rPr>
        <w:t>pertain to the maintenance of records that, in reasonable detail, accurately and fairly reflect the transactions and dispositions of Honeywell’s assets;</w:t>
      </w:r>
    </w:p>
    <w:p>
      <w:pPr>
        <w:spacing w:after="0" w:line="79" w:lineRule="exact"/>
        <w:rPr>
          <w:rFonts w:ascii="Arial" w:cs="Arial" w:eastAsia="Arial" w:hAnsi="Arial"/>
          <w:sz w:val="19"/>
          <w:szCs w:val="19"/>
          <w:color w:val="auto"/>
        </w:rPr>
      </w:pPr>
    </w:p>
    <w:p>
      <w:pPr>
        <w:ind w:left="360" w:right="20" w:firstLine="363"/>
        <w:spacing w:after="0" w:line="245" w:lineRule="auto"/>
        <w:tabs>
          <w:tab w:leader="none" w:pos="987" w:val="left"/>
        </w:tabs>
        <w:numPr>
          <w:ilvl w:val="0"/>
          <w:numId w:val="37"/>
        </w:numPr>
        <w:rPr>
          <w:rFonts w:ascii="Arial" w:cs="Arial" w:eastAsia="Arial" w:hAnsi="Arial"/>
          <w:sz w:val="19"/>
          <w:szCs w:val="19"/>
          <w:color w:val="auto"/>
        </w:rPr>
      </w:pPr>
      <w:r>
        <w:rPr>
          <w:rFonts w:ascii="Arial" w:cs="Arial" w:eastAsia="Arial" w:hAnsi="Arial"/>
          <w:sz w:val="19"/>
          <w:szCs w:val="19"/>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Honeywell’s management and directors; and</w:t>
      </w:r>
    </w:p>
    <w:p>
      <w:pPr>
        <w:spacing w:after="0" w:line="87" w:lineRule="exact"/>
        <w:rPr>
          <w:rFonts w:ascii="Arial" w:cs="Arial" w:eastAsia="Arial" w:hAnsi="Arial"/>
          <w:sz w:val="19"/>
          <w:szCs w:val="19"/>
          <w:color w:val="auto"/>
        </w:rPr>
      </w:pPr>
    </w:p>
    <w:p>
      <w:pPr>
        <w:ind w:left="360" w:right="120" w:firstLine="363"/>
        <w:spacing w:after="0" w:line="253" w:lineRule="auto"/>
        <w:tabs>
          <w:tab w:leader="none" w:pos="1030" w:val="left"/>
        </w:tabs>
        <w:numPr>
          <w:ilvl w:val="0"/>
          <w:numId w:val="37"/>
        </w:numPr>
        <w:rPr>
          <w:rFonts w:ascii="Arial" w:cs="Arial" w:eastAsia="Arial" w:hAnsi="Arial"/>
          <w:sz w:val="19"/>
          <w:szCs w:val="19"/>
          <w:color w:val="auto"/>
        </w:rPr>
      </w:pPr>
      <w:r>
        <w:rPr>
          <w:rFonts w:ascii="Arial" w:cs="Arial" w:eastAsia="Arial" w:hAnsi="Arial"/>
          <w:sz w:val="19"/>
          <w:szCs w:val="19"/>
          <w:color w:val="auto"/>
        </w:rPr>
        <w:t>provide reasonable assurance regarding prevention or timely detection of unauthorized acquisition, use or disposition of Honeywell’s assets that could have a material effect on the financial statements.</w:t>
      </w:r>
    </w:p>
    <w:p>
      <w:pPr>
        <w:spacing w:after="0" w:line="80"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jc w:val="both"/>
        <w:ind w:right="380" w:firstLine="357"/>
        <w:spacing w:after="0" w:line="245" w:lineRule="auto"/>
        <w:rPr>
          <w:sz w:val="20"/>
          <w:szCs w:val="20"/>
          <w:color w:val="auto"/>
        </w:rPr>
      </w:pPr>
      <w:r>
        <w:rPr>
          <w:rFonts w:ascii="Arial" w:cs="Arial" w:eastAsia="Arial" w:hAnsi="Arial"/>
          <w:sz w:val="19"/>
          <w:szCs w:val="19"/>
          <w:color w:val="auto"/>
        </w:rPr>
        <w:t xml:space="preserve">Management assessed the effectiveness of Honeywell’s internal control over financial reporting as of December 31, 2009. In making this assessment, management used the criteria set forth by the Committee of Sponsoring Organizations of the Treadway Commission (COSO) in </w:t>
      </w:r>
      <w:r>
        <w:rPr>
          <w:rFonts w:ascii="Arial" w:cs="Arial" w:eastAsia="Arial" w:hAnsi="Arial"/>
          <w:sz w:val="19"/>
          <w:szCs w:val="19"/>
          <w:i w:val="1"/>
          <w:iCs w:val="1"/>
          <w:color w:val="auto"/>
        </w:rPr>
        <w:t>Internal Control—Integrated Framework.</w:t>
      </w:r>
    </w:p>
    <w:p>
      <w:pPr>
        <w:spacing w:after="0" w:line="87" w:lineRule="exact"/>
        <w:rPr>
          <w:sz w:val="20"/>
          <w:szCs w:val="20"/>
          <w:color w:val="auto"/>
        </w:rPr>
      </w:pPr>
    </w:p>
    <w:p>
      <w:pPr>
        <w:ind w:right="60" w:firstLine="357"/>
        <w:spacing w:after="0" w:line="253" w:lineRule="auto"/>
        <w:rPr>
          <w:sz w:val="20"/>
          <w:szCs w:val="20"/>
          <w:color w:val="auto"/>
        </w:rPr>
      </w:pPr>
      <w:r>
        <w:rPr>
          <w:rFonts w:ascii="Arial" w:cs="Arial" w:eastAsia="Arial" w:hAnsi="Arial"/>
          <w:sz w:val="19"/>
          <w:szCs w:val="19"/>
          <w:color w:val="auto"/>
        </w:rPr>
        <w:t>Based on this assessment, management determined that Honeywell maintained effective internal control over financial reporting as of December 31, 2009.</w:t>
      </w:r>
    </w:p>
    <w:p>
      <w:pPr>
        <w:spacing w:after="0" w:line="80"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The effectiveness of Honeywell’s internal control over financial reporting as of December 31, 2009 has been audited by PricewaterhouseCoopers LLP, an independent registered public accounting firm, as stated in their report which is included in “Item 8. Financial Statements and Supplementary Data.”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108" w:name="page109"/>
    <w:bookmarkEnd w:id="108"/>
    <w:p>
      <w:pPr>
        <w:spacing w:after="0"/>
        <w:rPr>
          <w:sz w:val="20"/>
          <w:szCs w:val="20"/>
          <w:color w:val="auto"/>
        </w:rPr>
      </w:pPr>
      <w:r>
        <w:rPr>
          <w:rFonts w:ascii="Arial" w:cs="Arial" w:eastAsia="Arial" w:hAnsi="Arial"/>
          <w:sz w:val="23"/>
          <w:szCs w:val="23"/>
          <w:b w:val="1"/>
          <w:bCs w:val="1"/>
          <w:color w:val="auto"/>
        </w:rPr>
        <w:t>Item 9B. Other Information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Part III.</w:t>
      </w:r>
    </w:p>
    <w:p>
      <w:pPr>
        <w:spacing w:after="0" w:line="33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and Executive Officers of the Registrant</w:t>
      </w:r>
    </w:p>
    <w:p>
      <w:pPr>
        <w:spacing w:after="0" w:line="133"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2009, and such information is incorporated herein by reference. Certain other information relating to the Executive Officers of Honeywell appears in Part I of this Annual Report on Form 10-K under the heading “Executive Officers of the Registrant”.</w:t>
      </w:r>
    </w:p>
    <w:p>
      <w:pPr>
        <w:spacing w:after="0" w:line="91"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The members of the Audit Committee of our Board of Directors are: Scott Davis (Chair), Kevin Burke, Linnet Deily, George Paz, John R. Stafford, and Michael W. Wright. The Board has determined that Mr. Davis is the “audit committee financial expert” as defined by applicable SEC rules and that Mr. Davis, Ms. Deily and Mr. Paz satisfy the “accounting or related financial management expertise” criteria established by the NYSE. All members of the Audit Committee are “independent” as that term is defined in applicable SEC Rules and NYSE listing standards.</w:t>
      </w:r>
    </w:p>
    <w:p>
      <w:pPr>
        <w:spacing w:after="0" w:line="91"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Honeywell’s Code of Business Conduct is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147" w:lineRule="exact"/>
        <w:rPr>
          <w:sz w:val="20"/>
          <w:szCs w:val="20"/>
          <w:color w:val="auto"/>
        </w:rPr>
      </w:pPr>
    </w:p>
    <w:p>
      <w:pPr>
        <w:ind w:right="60" w:firstLine="357"/>
        <w:spacing w:after="0" w:line="253" w:lineRule="auto"/>
        <w:rPr>
          <w:sz w:val="20"/>
          <w:szCs w:val="20"/>
          <w:color w:val="auto"/>
        </w:rPr>
      </w:pPr>
      <w:r>
        <w:rPr>
          <w:rFonts w:ascii="Arial" w:cs="Arial" w:eastAsia="Arial" w:hAnsi="Arial"/>
          <w:sz w:val="19"/>
          <w:szCs w:val="19"/>
          <w:color w:val="auto"/>
        </w:rPr>
        <w:t>Information relating to executive compensation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ind w:left="940" w:right="340" w:hanging="933"/>
        <w:spacing w:after="0" w:line="280"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64" w:lineRule="exact"/>
        <w:rPr>
          <w:sz w:val="20"/>
          <w:szCs w:val="20"/>
          <w:color w:val="auto"/>
        </w:rPr>
      </w:pPr>
    </w:p>
    <w:p>
      <w:pPr>
        <w:ind w:right="460" w:firstLine="357"/>
        <w:spacing w:after="0" w:line="245" w:lineRule="auto"/>
        <w:rPr>
          <w:sz w:val="20"/>
          <w:szCs w:val="20"/>
          <w:color w:val="auto"/>
        </w:rPr>
      </w:pPr>
      <w:r>
        <w:rPr>
          <w:rFonts w:ascii="Arial" w:cs="Arial" w:eastAsia="Arial" w:hAnsi="Arial"/>
          <w:sz w:val="19"/>
          <w:szCs w:val="19"/>
          <w:color w:val="auto"/>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5" w:right="35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b w:val="1"/>
          <w:bCs w:val="1"/>
          <w:color w:val="auto"/>
        </w:rPr>
        <w:t>EQUITY COMPENSATION PLANS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2009 information about our equity compensation plans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r>
      <w:tr>
        <w:trPr>
          <w:trHeight w:val="176"/>
        </w:trPr>
        <w:tc>
          <w:tcPr>
            <w:tcW w:w="9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Securities</w:t>
            </w:r>
          </w:p>
        </w:tc>
      </w:tr>
      <w:tr>
        <w:trPr>
          <w:trHeight w:val="176"/>
        </w:trPr>
        <w:tc>
          <w:tcPr>
            <w:tcW w:w="9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Number of</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Remaining</w:t>
            </w:r>
          </w:p>
        </w:tc>
      </w:tr>
      <w:tr>
        <w:trPr>
          <w:trHeight w:val="176"/>
        </w:trPr>
        <w:tc>
          <w:tcPr>
            <w:tcW w:w="9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Shares to</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8"/>
              </w:rPr>
              <w:t>Weighted-</w:t>
            </w: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Available for</w:t>
            </w:r>
          </w:p>
        </w:tc>
      </w:tr>
      <w:tr>
        <w:trPr>
          <w:trHeight w:val="176"/>
        </w:trPr>
        <w:tc>
          <w:tcPr>
            <w:tcW w:w="9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be Issued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4"/>
              </w:rPr>
              <w:t>Average</w:t>
            </w: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Future Issuance</w:t>
            </w:r>
          </w:p>
        </w:tc>
      </w:tr>
      <w:tr>
        <w:trPr>
          <w:trHeight w:val="176"/>
        </w:trPr>
        <w:tc>
          <w:tcPr>
            <w:tcW w:w="9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Upon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7"/>
              </w:rPr>
              <w:t>Exercise</w:t>
            </w: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Under Equity</w:t>
            </w:r>
          </w:p>
        </w:tc>
      </w:tr>
      <w:tr>
        <w:trPr>
          <w:trHeight w:val="176"/>
        </w:trPr>
        <w:tc>
          <w:tcPr>
            <w:tcW w:w="9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Exercise of</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6"/>
              <w:spacing w:after="0" w:line="176" w:lineRule="exact"/>
              <w:rPr>
                <w:sz w:val="20"/>
                <w:szCs w:val="20"/>
                <w:color w:val="auto"/>
              </w:rPr>
            </w:pPr>
            <w:r>
              <w:rPr>
                <w:rFonts w:ascii="Arial" w:cs="Arial" w:eastAsia="Arial" w:hAnsi="Arial"/>
                <w:sz w:val="16"/>
                <w:szCs w:val="16"/>
                <w:b w:val="1"/>
                <w:bCs w:val="1"/>
                <w:color w:val="auto"/>
                <w:w w:val="98"/>
              </w:rPr>
              <w:t>Price of</w:t>
            </w: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Compensation</w:t>
            </w:r>
          </w:p>
        </w:tc>
      </w:tr>
      <w:tr>
        <w:trPr>
          <w:trHeight w:val="176"/>
        </w:trPr>
        <w:tc>
          <w:tcPr>
            <w:tcW w:w="9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Outstanding</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7"/>
              </w:rPr>
              <w:t>Outstanding</w:t>
            </w: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Plans (Excluding</w:t>
            </w:r>
          </w:p>
        </w:tc>
      </w:tr>
      <w:tr>
        <w:trPr>
          <w:trHeight w:val="176"/>
        </w:trPr>
        <w:tc>
          <w:tcPr>
            <w:tcW w:w="9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Options,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8"/>
              </w:rPr>
              <w:t>Options,</w:t>
            </w: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Securities</w:t>
            </w:r>
          </w:p>
        </w:tc>
      </w:tr>
      <w:tr>
        <w:trPr>
          <w:trHeight w:val="176"/>
        </w:trPr>
        <w:tc>
          <w:tcPr>
            <w:tcW w:w="6080" w:type="dxa"/>
            <w:vAlign w:val="bottom"/>
            <w:gridSpan w:val="2"/>
          </w:tcPr>
          <w:p>
            <w:pPr>
              <w:ind w:left="680"/>
              <w:spacing w:after="0" w:line="176" w:lineRule="exact"/>
              <w:rPr>
                <w:sz w:val="20"/>
                <w:szCs w:val="20"/>
                <w:color w:val="auto"/>
              </w:rPr>
            </w:pPr>
            <w:r>
              <w:rPr>
                <w:rFonts w:ascii="Arial" w:cs="Arial" w:eastAsia="Arial" w:hAnsi="Arial"/>
                <w:sz w:val="16"/>
                <w:szCs w:val="16"/>
                <w:b w:val="1"/>
                <w:bCs w:val="1"/>
                <w:color w:val="auto"/>
              </w:rPr>
              <w:t>Plan</w:t>
            </w: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Warrants</w:t>
            </w:r>
          </w:p>
        </w:tc>
        <w:tc>
          <w:tcPr>
            <w:tcW w:w="300" w:type="dxa"/>
            <w:vAlign w:val="bottom"/>
          </w:tcPr>
          <w:p>
            <w:pPr>
              <w:spacing w:after="0"/>
              <w:rPr>
                <w:sz w:val="15"/>
                <w:szCs w:val="15"/>
                <w:color w:val="auto"/>
              </w:rPr>
            </w:pPr>
          </w:p>
        </w:tc>
        <w:tc>
          <w:tcPr>
            <w:tcW w:w="12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Warrants and</w:t>
            </w:r>
          </w:p>
        </w:tc>
        <w:tc>
          <w:tcPr>
            <w:tcW w:w="3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Reflected in</w:t>
            </w:r>
          </w:p>
        </w:tc>
      </w:tr>
      <w:tr>
        <w:trPr>
          <w:trHeight w:val="204"/>
        </w:trPr>
        <w:tc>
          <w:tcPr>
            <w:tcW w:w="608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Category</w:t>
            </w:r>
          </w:p>
        </w:tc>
        <w:tc>
          <w:tcPr>
            <w:tcW w:w="3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and Rights</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6"/>
              </w:rPr>
              <w:t>Rights</w:t>
            </w:r>
          </w:p>
        </w:tc>
        <w:tc>
          <w:tcPr>
            <w:tcW w:w="3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Column(a))</w:t>
            </w:r>
          </w:p>
        </w:tc>
      </w:tr>
      <w:tr>
        <w:trPr>
          <w:trHeight w:val="264"/>
        </w:trPr>
        <w:tc>
          <w:tcPr>
            <w:tcW w:w="90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center"/>
              <w:ind w:right="76"/>
              <w:spacing w:after="0"/>
              <w:rPr>
                <w:sz w:val="20"/>
                <w:szCs w:val="20"/>
                <w:color w:val="auto"/>
              </w:rPr>
            </w:pPr>
            <w:r>
              <w:rPr>
                <w:rFonts w:ascii="Arial" w:cs="Arial" w:eastAsia="Arial" w:hAnsi="Arial"/>
                <w:sz w:val="16"/>
                <w:szCs w:val="16"/>
                <w:b w:val="1"/>
                <w:bCs w:val="1"/>
                <w:color w:val="auto"/>
                <w:w w:val="97"/>
              </w:rPr>
              <w:t>(b)</w:t>
            </w:r>
          </w:p>
        </w:tc>
        <w:tc>
          <w:tcPr>
            <w:tcW w:w="3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w:t>
            </w:r>
          </w:p>
        </w:tc>
      </w:tr>
      <w:tr>
        <w:trPr>
          <w:trHeight w:val="270"/>
        </w:trPr>
        <w:tc>
          <w:tcPr>
            <w:tcW w:w="6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Equity compensation plans approved by security holders</w:t>
            </w:r>
          </w:p>
        </w:tc>
        <w:tc>
          <w:tcPr>
            <w:tcW w:w="17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50,478,928 (1)</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ind w:left="240"/>
              <w:spacing w:after="0"/>
              <w:rPr>
                <w:sz w:val="20"/>
                <w:szCs w:val="20"/>
                <w:color w:val="auto"/>
              </w:rPr>
            </w:pPr>
            <w:r>
              <w:rPr>
                <w:rFonts w:ascii="Arial" w:cs="Arial" w:eastAsia="Arial" w:hAnsi="Arial"/>
                <w:sz w:val="19"/>
                <w:szCs w:val="19"/>
                <w:color w:val="auto"/>
              </w:rPr>
              <w:t>38.58 (2)</w:t>
            </w:r>
          </w:p>
        </w:tc>
        <w:tc>
          <w:tcPr>
            <w:tcW w:w="2000" w:type="dxa"/>
            <w:vAlign w:val="bottom"/>
            <w:gridSpan w:val="2"/>
            <w:shd w:val="clear" w:color="auto" w:fill="E5FFFF"/>
          </w:tcPr>
          <w:p>
            <w:pPr>
              <w:ind w:left="660"/>
              <w:spacing w:after="0"/>
              <w:rPr>
                <w:sz w:val="20"/>
                <w:szCs w:val="20"/>
                <w:color w:val="auto"/>
              </w:rPr>
            </w:pPr>
            <w:r>
              <w:rPr>
                <w:rFonts w:ascii="Arial" w:cs="Arial" w:eastAsia="Arial" w:hAnsi="Arial"/>
                <w:sz w:val="19"/>
                <w:szCs w:val="19"/>
                <w:color w:val="auto"/>
              </w:rPr>
              <w:t>33,052,271 (3)</w:t>
            </w:r>
          </w:p>
        </w:tc>
      </w:tr>
      <w:tr>
        <w:trPr>
          <w:trHeight w:val="270"/>
        </w:trPr>
        <w:tc>
          <w:tcPr>
            <w:tcW w:w="6080" w:type="dxa"/>
            <w:vAlign w:val="bottom"/>
            <w:gridSpan w:val="2"/>
          </w:tcPr>
          <w:p>
            <w:pPr>
              <w:ind w:left="20"/>
              <w:spacing w:after="0"/>
              <w:rPr>
                <w:sz w:val="20"/>
                <w:szCs w:val="20"/>
                <w:color w:val="auto"/>
              </w:rPr>
            </w:pPr>
            <w:r>
              <w:rPr>
                <w:rFonts w:ascii="Arial" w:cs="Arial" w:eastAsia="Arial" w:hAnsi="Arial"/>
                <w:sz w:val="19"/>
                <w:szCs w:val="19"/>
                <w:color w:val="auto"/>
              </w:rPr>
              <w:t>Equity compensation plans not approved by security holders</w:t>
            </w:r>
          </w:p>
        </w:tc>
        <w:tc>
          <w:tcPr>
            <w:tcW w:w="1760" w:type="dxa"/>
            <w:vAlign w:val="bottom"/>
            <w:gridSpan w:val="2"/>
          </w:tcPr>
          <w:p>
            <w:pPr>
              <w:jc w:val="right"/>
              <w:spacing w:after="0"/>
              <w:rPr>
                <w:sz w:val="20"/>
                <w:szCs w:val="20"/>
                <w:color w:val="auto"/>
              </w:rPr>
            </w:pPr>
            <w:r>
              <w:rPr>
                <w:rFonts w:ascii="Arial" w:cs="Arial" w:eastAsia="Arial" w:hAnsi="Arial"/>
                <w:sz w:val="19"/>
                <w:szCs w:val="19"/>
                <w:color w:val="auto"/>
              </w:rPr>
              <w:t>714,223 (4)</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9"/>
                <w:szCs w:val="19"/>
                <w:color w:val="auto"/>
              </w:rPr>
              <w:t>N/A (5)</w:t>
            </w:r>
          </w:p>
        </w:tc>
        <w:tc>
          <w:tcPr>
            <w:tcW w:w="320" w:type="dxa"/>
            <w:vAlign w:val="bottom"/>
          </w:tcPr>
          <w:p>
            <w:pPr>
              <w:spacing w:after="0"/>
              <w:rPr>
                <w:sz w:val="23"/>
                <w:szCs w:val="23"/>
                <w:color w:val="auto"/>
              </w:rPr>
            </w:pPr>
          </w:p>
        </w:tc>
        <w:tc>
          <w:tcPr>
            <w:tcW w:w="1680" w:type="dxa"/>
            <w:vAlign w:val="bottom"/>
          </w:tcPr>
          <w:p>
            <w:pPr>
              <w:ind w:left="980"/>
              <w:spacing w:after="0"/>
              <w:rPr>
                <w:sz w:val="20"/>
                <w:szCs w:val="20"/>
                <w:color w:val="auto"/>
              </w:rPr>
            </w:pPr>
            <w:r>
              <w:rPr>
                <w:rFonts w:ascii="Arial" w:cs="Arial" w:eastAsia="Arial" w:hAnsi="Arial"/>
                <w:sz w:val="19"/>
                <w:szCs w:val="19"/>
                <w:color w:val="auto"/>
              </w:rPr>
              <w:t>N/A (6)</w:t>
            </w:r>
          </w:p>
        </w:tc>
      </w:tr>
      <w:tr>
        <w:trPr>
          <w:trHeight w:val="34"/>
        </w:trPr>
        <w:tc>
          <w:tcPr>
            <w:tcW w:w="9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r>
      <w:tr>
        <w:trPr>
          <w:trHeight w:val="270"/>
        </w:trPr>
        <w:tc>
          <w:tcPr>
            <w:tcW w:w="6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176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51,193,151</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ind w:left="240"/>
              <w:spacing w:after="0"/>
              <w:rPr>
                <w:sz w:val="20"/>
                <w:szCs w:val="20"/>
                <w:color w:val="auto"/>
              </w:rPr>
            </w:pPr>
            <w:r>
              <w:rPr>
                <w:rFonts w:ascii="Arial" w:cs="Arial" w:eastAsia="Arial" w:hAnsi="Arial"/>
                <w:sz w:val="19"/>
                <w:szCs w:val="19"/>
                <w:color w:val="auto"/>
              </w:rPr>
              <w:t>38.58</w:t>
            </w:r>
          </w:p>
        </w:tc>
        <w:tc>
          <w:tcPr>
            <w:tcW w:w="2000" w:type="dxa"/>
            <w:vAlign w:val="bottom"/>
            <w:gridSpan w:val="2"/>
            <w:shd w:val="clear" w:color="auto" w:fill="E5FFFF"/>
          </w:tcPr>
          <w:p>
            <w:pPr>
              <w:ind w:left="660"/>
              <w:spacing w:after="0"/>
              <w:rPr>
                <w:sz w:val="20"/>
                <w:szCs w:val="20"/>
                <w:color w:val="auto"/>
              </w:rPr>
            </w:pPr>
            <w:r>
              <w:rPr>
                <w:rFonts w:ascii="Arial" w:cs="Arial" w:eastAsia="Arial" w:hAnsi="Arial"/>
                <w:sz w:val="19"/>
                <w:szCs w:val="19"/>
                <w:color w:val="auto"/>
              </w:rPr>
              <w:t>33,052,271</w:t>
            </w:r>
          </w:p>
        </w:tc>
      </w:tr>
      <w:tr>
        <w:trPr>
          <w:trHeight w:val="20"/>
        </w:trPr>
        <w:tc>
          <w:tcPr>
            <w:tcW w:w="9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900" w:type="dxa"/>
            <w:vAlign w:val="bottom"/>
            <w:tcBorders>
              <w:bottom w:val="single" w:sz="8" w:color="auto"/>
            </w:tcBorders>
          </w:tcPr>
          <w:p>
            <w:pPr>
              <w:spacing w:after="0"/>
              <w:rPr>
                <w:sz w:val="21"/>
                <w:szCs w:val="21"/>
                <w:color w:val="auto"/>
              </w:rPr>
            </w:pPr>
          </w:p>
        </w:tc>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right="140" w:hanging="332"/>
        <w:spacing w:after="0" w:line="238" w:lineRule="auto"/>
        <w:tabs>
          <w:tab w:leader="none" w:pos="4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Equity compensation plans approved by shareowners that are included in column (a) of the table are the 2006 Stock Incentive Plan of Honeywell International Inc. and its Affiliates (the “2006 Stock Incentive Plan”) (17,551,405 shares of Common Stock to be issued for options; 33,700 shares to be issued for stock appreciation rights (SARs); 7,408,460 restricted units subject to continued employment; and 1,121,639 deferred restricted units of earned and vested awards under prior plans that were approved by shareowners where delivery of shares has been deferred); the 2003 Stock Incentive Plan of Honeywell International Inc. and its Affiliates (the “2003 Stock Incentive Plan”) (14,260,227 shares of Common Stock to be issued for options; 3,600 shares to be issued for SARs; and 652,656 restricted units subject to continued employment); the 1993 Stock Plan for Employees of Honeywell International Inc. and its Affiliates (8,724,616 shares of Common Stock to be issued for options; 39,325 shares to be issued for SARs; and 383,300 restricted units subject to continued employment); the 2006 Stock Plan for Non-Employee Directors of Honeywell International Inc. (the “Non-Employee Director Plan”) (175,000 shares of Common Stock to be issued for options; 3,000 restricted units subject to continued services;) and the 1994 Stock Plan for Non-Employee Directors of Honeywell International Inc. (122,000 shares of Common Stock to be issued for options).</w:t>
      </w:r>
    </w:p>
    <w:p>
      <w:pPr>
        <w:spacing w:after="0" w:line="101" w:lineRule="exact"/>
        <w:rPr>
          <w:sz w:val="20"/>
          <w:szCs w:val="20"/>
          <w:color w:val="auto"/>
        </w:rPr>
      </w:pPr>
    </w:p>
    <w:p>
      <w:pPr>
        <w:ind w:left="360" w:right="60"/>
        <w:spacing w:after="0"/>
        <w:rPr>
          <w:sz w:val="20"/>
          <w:szCs w:val="20"/>
          <w:color w:val="auto"/>
        </w:rPr>
      </w:pPr>
      <w:r>
        <w:rPr>
          <w:rFonts w:ascii="Arial" w:cs="Arial" w:eastAsia="Arial" w:hAnsi="Arial"/>
          <w:sz w:val="19"/>
          <w:szCs w:val="19"/>
          <w:color w:val="auto"/>
        </w:rPr>
        <w:t>957,669 growth plan units were issued for the performance cycle commencing on January 1, 2007 and ending December 31, 2008 pursuant to the 2006 Stock Incentive Plan. The ultimate value of any growth plan award may be paid in cash or shares of Common Stock and, thus, growth plan units are not included in the table above. The ultimate value of growth plan units depends upon the achievement of pre-established performance goals during a two-year performance cycle relating to growth in earnings per share, revenue and return on investment. 50% of the payment related to these growth plan units was paid in 2009 and the remaining 50% will be paid in 2010, subject to active employment on the payment dates.</w:t>
      </w:r>
    </w:p>
    <w:p>
      <w:pPr>
        <w:spacing w:after="0" w:line="94" w:lineRule="exact"/>
        <w:rPr>
          <w:sz w:val="20"/>
          <w:szCs w:val="20"/>
          <w:color w:val="auto"/>
        </w:rPr>
      </w:pPr>
    </w:p>
    <w:p>
      <w:pPr>
        <w:ind w:left="360" w:right="280"/>
        <w:spacing w:after="0" w:line="253" w:lineRule="auto"/>
        <w:rPr>
          <w:sz w:val="20"/>
          <w:szCs w:val="20"/>
          <w:color w:val="auto"/>
        </w:rPr>
      </w:pPr>
      <w:r>
        <w:rPr>
          <w:rFonts w:ascii="Arial" w:cs="Arial" w:eastAsia="Arial" w:hAnsi="Arial"/>
          <w:sz w:val="19"/>
          <w:szCs w:val="19"/>
          <w:color w:val="auto"/>
        </w:rPr>
        <w:t>Because the number of future shares that may be distributed to employees participating in the Honeywell Global Stock Plan is unknown, no shares attributable to that plan are included in column (a) of the table above.</w:t>
      </w:r>
    </w:p>
    <w:p>
      <w:pPr>
        <w:spacing w:after="0" w:line="134" w:lineRule="exact"/>
        <w:rPr>
          <w:sz w:val="20"/>
          <w:szCs w:val="20"/>
          <w:color w:val="auto"/>
        </w:rPr>
      </w:pPr>
    </w:p>
    <w:p>
      <w:pPr>
        <w:ind w:left="400" w:right="120" w:hanging="332"/>
        <w:spacing w:after="0" w:line="241" w:lineRule="auto"/>
        <w:tabs>
          <w:tab w:leader="none" w:pos="4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Column (b) does not include any exercise price for restricted units or growth plan units granted to employees or non-employee directors under equity compensation plans approved by shareowners. Restricted units do not have an exercise price because their value is dependent upon attainment of certain performance goals or continued employment or service and they are settled for shares of Common Stock on a one-for-one basis. Growth plan units are denominated in cash units and the ultimate value of the award is dependent upon attainment of certain performance goals.</w:t>
      </w:r>
    </w:p>
    <w:p>
      <w:pPr>
        <w:spacing w:after="0" w:line="104" w:lineRule="exact"/>
        <w:rPr>
          <w:rFonts w:ascii="Arial" w:cs="Arial" w:eastAsia="Arial" w:hAnsi="Arial"/>
          <w:sz w:val="19"/>
          <w:szCs w:val="19"/>
          <w:color w:val="auto"/>
        </w:rPr>
      </w:pPr>
    </w:p>
    <w:p>
      <w:pPr>
        <w:ind w:left="400" w:right="280" w:hanging="332"/>
        <w:spacing w:after="0" w:line="245" w:lineRule="auto"/>
        <w:tabs>
          <w:tab w:leader="none" w:pos="4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number of shares that may be issued under the 2006 Stock Incentive Plan as of December 31, 2009 is 30,000,541 which includes the following additional shares under the 2006 Stock Incentive Plan (or any Prior Plan as defined in the 2006 Stock Incentive Plan) that may again be available for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0" w:name="page111"/>
    <w:bookmarkEnd w:id="110"/>
    <w:p>
      <w:pPr>
        <w:ind w:left="340" w:right="140"/>
        <w:spacing w:after="0" w:line="242" w:lineRule="auto"/>
        <w:rPr>
          <w:sz w:val="20"/>
          <w:szCs w:val="20"/>
          <w:color w:val="auto"/>
        </w:rPr>
      </w:pPr>
      <w:r>
        <w:rPr>
          <w:rFonts w:ascii="Arial" w:cs="Arial" w:eastAsia="Arial" w:hAnsi="Arial"/>
          <w:sz w:val="19"/>
          <w:szCs w:val="19"/>
          <w:color w:val="auto"/>
        </w:rPr>
        <w:t>issuance: shares that are settled for cash, expire, are canceled, are tendered in satisfaction of an option exercise price or tax withholding obligations, are reacquired with cash tendered in satisfaction of an option exercise price or with monies attributable to any tax deduction enjoyed by Honeywell to the exercise of an option, and are under any outstanding awards assumed under any equity compensation plan of an entity acquired by Honeywell.</w:t>
      </w:r>
    </w:p>
    <w:p>
      <w:pPr>
        <w:spacing w:after="0" w:line="105" w:lineRule="exact"/>
        <w:rPr>
          <w:sz w:val="20"/>
          <w:szCs w:val="20"/>
          <w:color w:val="auto"/>
        </w:rPr>
      </w:pPr>
    </w:p>
    <w:p>
      <w:pPr>
        <w:ind w:left="340" w:right="20"/>
        <w:spacing w:after="0" w:line="239" w:lineRule="auto"/>
        <w:rPr>
          <w:sz w:val="20"/>
          <w:szCs w:val="20"/>
          <w:color w:val="auto"/>
        </w:rPr>
      </w:pPr>
      <w:r>
        <w:rPr>
          <w:rFonts w:ascii="Arial" w:cs="Arial" w:eastAsia="Arial" w:hAnsi="Arial"/>
          <w:sz w:val="19"/>
          <w:szCs w:val="19"/>
          <w:color w:val="auto"/>
        </w:rPr>
        <w:t>The number of shares that may be issued under the Honeywell Global Stock Plan as of December 31, 2009 is 2,754,730. This plan is an umbrella plan for five plans maintained solely for eligible employees of participating non-U.S. countries. One sub-plan, the Global Employee Stock Purchase Plan, allows eligible employees to contribute between 2.2% and 8.8% of base pay from January through September of each year to purchase shares of Common Stock the following November at the fair market value on the date of purchase. Participant accounts are credited with matching shares equal to 20% of their contributions that are subject to continued employment for 3 years; provided that no matching shares will be credited to individuals participating in this plan during 2010. For 2009, Honeywell used Treasury shares to provide the shares under this plan. Employees purchased and were credited with 167,751 shares of Common Stock in 2009.</w:t>
      </w:r>
    </w:p>
    <w:p>
      <w:pPr>
        <w:spacing w:after="0" w:line="110" w:lineRule="exact"/>
        <w:rPr>
          <w:sz w:val="20"/>
          <w:szCs w:val="20"/>
          <w:color w:val="auto"/>
        </w:rPr>
      </w:pPr>
    </w:p>
    <w:p>
      <w:pPr>
        <w:ind w:left="340" w:right="180"/>
        <w:spacing w:after="0" w:line="241" w:lineRule="auto"/>
        <w:rPr>
          <w:sz w:val="20"/>
          <w:szCs w:val="20"/>
          <w:color w:val="auto"/>
        </w:rPr>
      </w:pPr>
      <w:r>
        <w:rPr>
          <w:rFonts w:ascii="Arial" w:cs="Arial" w:eastAsia="Arial" w:hAnsi="Arial"/>
          <w:sz w:val="19"/>
          <w:szCs w:val="19"/>
          <w:color w:val="auto"/>
        </w:rPr>
        <w:t>Another sub-plan, the UK Sharebuilder Plan, allows an eligible UK employee to contribute a specified percentage of taxable earnings that is then invested in shares. The company matches those shares and dividends paid are used to purchase additional shares; provided that the Company temporarily reduced the match share to 50 percent in 2009. Matched shares are subject to a three-year vesting schedule. Shares taken out of the plan before five years lose their tax-favored status. For the year ending December 31, 2009, 145,079 shares were credited to participants’ accounts under the UK Sharebuilder Plan.</w:t>
      </w:r>
    </w:p>
    <w:p>
      <w:pPr>
        <w:spacing w:after="0" w:line="105" w:lineRule="exact"/>
        <w:rPr>
          <w:sz w:val="20"/>
          <w:szCs w:val="20"/>
          <w:color w:val="auto"/>
        </w:rPr>
      </w:pPr>
    </w:p>
    <w:p>
      <w:pPr>
        <w:ind w:left="340" w:right="120"/>
        <w:spacing w:after="0"/>
        <w:rPr>
          <w:sz w:val="20"/>
          <w:szCs w:val="20"/>
          <w:color w:val="auto"/>
        </w:rPr>
      </w:pPr>
      <w:r>
        <w:rPr>
          <w:rFonts w:ascii="Arial" w:cs="Arial" w:eastAsia="Arial" w:hAnsi="Arial"/>
          <w:sz w:val="19"/>
          <w:szCs w:val="19"/>
          <w:color w:val="auto"/>
        </w:rPr>
        <w:t>The remaining three sub-plans, Honeywell International Technologies Employees Share Ownership Plan (Ireland), the Honeywell Measurex (Ireland) Limited Group Employee Profit Sharing Scheme and the Honeywell Ireland Software Employees Share Ownership Plan, allow eligible Irish employees to contribute specified percentages of base pay, bonus or performance pay that are then invested in shares. Shares must be held in trust for at least two years and lose their tax-favored status if they are taken out of the plan before three years. For the year ending December 31, 2009, 26,261 shares were credited to participants’ accounts under these three plans.</w:t>
      </w:r>
    </w:p>
    <w:p>
      <w:pPr>
        <w:spacing w:after="0" w:line="107" w:lineRule="exact"/>
        <w:rPr>
          <w:sz w:val="20"/>
          <w:szCs w:val="20"/>
          <w:color w:val="auto"/>
        </w:rPr>
      </w:pPr>
    </w:p>
    <w:p>
      <w:pPr>
        <w:ind w:left="340" w:right="180"/>
        <w:spacing w:after="0" w:line="253" w:lineRule="auto"/>
        <w:rPr>
          <w:sz w:val="20"/>
          <w:szCs w:val="20"/>
          <w:color w:val="auto"/>
        </w:rPr>
      </w:pPr>
      <w:r>
        <w:rPr>
          <w:rFonts w:ascii="Arial" w:cs="Arial" w:eastAsia="Arial" w:hAnsi="Arial"/>
          <w:sz w:val="19"/>
          <w:szCs w:val="19"/>
          <w:color w:val="auto"/>
        </w:rPr>
        <w:t>The remaining 297,000 shares included in column (c) are shares remaining for future grants under the Non-Employee Director Plan.</w:t>
      </w:r>
    </w:p>
    <w:p>
      <w:pPr>
        <w:spacing w:after="0" w:line="93" w:lineRule="exact"/>
        <w:rPr>
          <w:sz w:val="20"/>
          <w:szCs w:val="20"/>
          <w:color w:val="auto"/>
        </w:rPr>
      </w:pPr>
    </w:p>
    <w:p>
      <w:pPr>
        <w:ind w:left="340" w:right="60" w:hanging="332"/>
        <w:spacing w:after="0" w:line="242" w:lineRule="auto"/>
        <w:tabs>
          <w:tab w:leader="none" w:pos="3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Equity compensation plans not approved by shareowners that are included in the table are the Supplemental Non-Qualified Savings Plan for Highly Compensated Employees of Honeywell International Inc. and its Subsidiaries, the AlliedSignal Incentive Compensation Plan for Executive Employees of AlliedSignal Inc. and its Subsidiaries, and the Deferred Compensation Plan for Non-Employee Directors of Honeywell International Inc.</w:t>
      </w:r>
    </w:p>
    <w:p>
      <w:pPr>
        <w:spacing w:after="0" w:line="104"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The Supplemental Non-Qualified Savings Plan for Highly Compensated Employees of Honeywell International Inc. and its Subsidiaries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Additional notional shares are credited to participants’ accounts equal to the value of any cash dividends payable on actual shares of Common Stock. The notional shares are distributed in the form of actual shares of Common Stock when payments are made to participants under the plan.</w:t>
      </w:r>
    </w:p>
    <w:p>
      <w:pPr>
        <w:spacing w:after="0" w:line="104"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The AlliedSignal Incentive Compensation Plan for Executive Employees of AlliedSignal Inc. and its Subsidiaries was a cash incentive compensation plan maintained by AlliedSignal Inc. This plan has expired. Employees were permitted to defer receipt of a cash bonus payable under the plan and invest the deferred bonus in notional shares of Common Stock. The notional shares are distributed in the form of actual shares of Common Stock when payments are made to participants under the plan. No further deferrals can be made under this plan. The number of shares of Common Stock that remain to be issued under this expired plan as of December 31, 2009 is 46,046.</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133350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300" w:top="356" w:right="259" w:bottom="1440" w:gutter="0" w:footer="0" w:header="0"/>
        </w:sectPr>
      </w:pPr>
    </w:p>
    <w:bookmarkStart w:id="111" w:name="page112"/>
    <w:bookmarkEnd w:id="111"/>
    <w:p>
      <w:pPr>
        <w:ind w:left="400"/>
        <w:spacing w:after="0"/>
        <w:rPr>
          <w:sz w:val="20"/>
          <w:szCs w:val="20"/>
          <w:color w:val="auto"/>
        </w:rPr>
      </w:pPr>
      <w:r>
        <w:rPr>
          <w:rFonts w:ascii="Arial" w:cs="Arial" w:eastAsia="Arial" w:hAnsi="Arial"/>
          <w:sz w:val="19"/>
          <w:szCs w:val="19"/>
          <w:color w:val="auto"/>
        </w:rPr>
        <w:t>The Deferred Compensation Plan for Non-Employee Directors of Honeywell International Inc. provides for mandatory and elective deferral of certain payments to non-employee directors. Mandatory deferrals are invested in notional shares of Common Stock. Directors may also invest any elective deferrals in notional shares of Common Stock. Additional notional shares are credited to participant accounts equal to the value of any cash dividends payable on actual shares of Common Stock. Notional shares of Common Stock are converted to an equivalent amount of cash at the time the distributions are made from the plan to directors.</w:t>
      </w:r>
    </w:p>
    <w:p>
      <w:pPr>
        <w:spacing w:after="0" w:line="326" w:lineRule="exact"/>
        <w:rPr>
          <w:sz w:val="20"/>
          <w:szCs w:val="20"/>
          <w:color w:val="auto"/>
        </w:rPr>
      </w:pPr>
    </w:p>
    <w:p>
      <w:pPr>
        <w:ind w:left="400" w:right="140" w:hanging="332"/>
        <w:spacing w:after="0" w:line="241" w:lineRule="auto"/>
        <w:tabs>
          <w:tab w:leader="none" w:pos="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Column (b) does not include any exercise price for notional shares allocated to employees under Honeywell’s equity compensation plans not approved by shareowners because all of these shares are notionally allocated as a matching contribution under the non-tax qualified savings plans or as a notional investment of deferred bonuses or fees under the cash incentive compensation and directors’ plans as described in note 4 and are only settled for shares of Common Stock on a one-for-one basis.</w:t>
      </w:r>
    </w:p>
    <w:p>
      <w:pPr>
        <w:spacing w:after="0" w:line="104" w:lineRule="exact"/>
        <w:rPr>
          <w:rFonts w:ascii="Arial" w:cs="Arial" w:eastAsia="Arial" w:hAnsi="Arial"/>
          <w:sz w:val="19"/>
          <w:szCs w:val="19"/>
          <w:color w:val="auto"/>
        </w:rPr>
      </w:pPr>
    </w:p>
    <w:p>
      <w:pPr>
        <w:ind w:left="400" w:hanging="332"/>
        <w:spacing w:after="0"/>
        <w:tabs>
          <w:tab w:leader="none" w:pos="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securities are available for future issuance under the AlliedSignal Incentive Compensation Plan for Executive Employees of AlliedSignal Inc. and its Subsidiaries and the Deferred Compensation Plan for Non-Employee Directors of Honeywell International Inc. The cash incentive compensation plan has expired. All notional investments in shares of Common Stock are converted to cash when payments are made under the directors’ plan. The amount of securities available for future issuance under the Supplemental Non-Qualified Savings Plan for Highly Compensated Employees of Honeywell International Inc. and its Subsidiaries is not determinable because the number of securities that may be issued under this plan depends upon the amount deferred to the plan by participants in future years.</w:t>
      </w:r>
    </w:p>
    <w:p>
      <w:pPr>
        <w:spacing w:after="0" w:line="104" w:lineRule="exact"/>
        <w:rPr>
          <w:rFonts w:ascii="Arial" w:cs="Arial" w:eastAsia="Arial" w:hAnsi="Arial"/>
          <w:sz w:val="19"/>
          <w:szCs w:val="19"/>
          <w:color w:val="auto"/>
        </w:rPr>
      </w:pPr>
    </w:p>
    <w:p>
      <w:pPr>
        <w:ind w:left="400" w:right="260"/>
        <w:spacing w:after="0" w:line="245" w:lineRule="auto"/>
        <w:rPr>
          <w:rFonts w:ascii="Arial" w:cs="Arial" w:eastAsia="Arial" w:hAnsi="Arial"/>
          <w:sz w:val="19"/>
          <w:szCs w:val="19"/>
          <w:color w:val="auto"/>
        </w:rPr>
      </w:pPr>
      <w:r>
        <w:rPr>
          <w:rFonts w:ascii="Arial" w:cs="Arial" w:eastAsia="Arial" w:hAnsi="Arial"/>
          <w:sz w:val="19"/>
          <w:szCs w:val="19"/>
          <w:color w:val="auto"/>
        </w:rPr>
        <w:t>The table does not contain information for employee benefit plans of Honeywell intended to meet the requirements of Section 401(a) of the Internal Revenue Code and a small number of foreign employee benefit plans that are similar to such Section 401(a) plans.</w:t>
      </w: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w:t>
      </w:r>
    </w:p>
    <w:p>
      <w:pPr>
        <w:spacing w:after="0" w:line="147" w:lineRule="exact"/>
        <w:rPr>
          <w:sz w:val="20"/>
          <w:szCs w:val="20"/>
          <w:color w:val="auto"/>
        </w:rPr>
      </w:pPr>
    </w:p>
    <w:p>
      <w:pPr>
        <w:ind w:right="400" w:firstLine="357"/>
        <w:spacing w:after="0" w:line="253" w:lineRule="auto"/>
        <w:rPr>
          <w:sz w:val="20"/>
          <w:szCs w:val="20"/>
          <w:color w:val="auto"/>
        </w:rPr>
      </w:pPr>
      <w:r>
        <w:rPr>
          <w:rFonts w:ascii="Arial" w:cs="Arial" w:eastAsia="Arial" w:hAnsi="Arial"/>
          <w:sz w:val="19"/>
          <w:szCs w:val="19"/>
          <w:color w:val="auto"/>
        </w:rPr>
        <w:t>Information relating to certain relationships and related transactions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133" w:lineRule="exact"/>
        <w:rPr>
          <w:sz w:val="20"/>
          <w:szCs w:val="20"/>
          <w:color w:val="auto"/>
        </w:rPr>
      </w:pPr>
    </w:p>
    <w:p>
      <w:pPr>
        <w:ind w:right="140" w:firstLine="357"/>
        <w:spacing w:after="0" w:line="245" w:lineRule="auto"/>
        <w:rPr>
          <w:sz w:val="20"/>
          <w:szCs w:val="20"/>
          <w:color w:val="auto"/>
        </w:rPr>
      </w:pPr>
      <w:r>
        <w:rPr>
          <w:rFonts w:ascii="Arial" w:cs="Arial" w:eastAsia="Arial" w:hAnsi="Arial"/>
          <w:sz w:val="19"/>
          <w:szCs w:val="19"/>
          <w:color w:val="auto"/>
        </w:rPr>
        <w:t>Information relating to fees paid to and services performed by PricewaterhouseCoopers LLP in 2009 and 2008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26" w:right="279" w:bottom="1440" w:gutter="0" w:footer="0" w:header="0"/>
        </w:sectPr>
      </w:pPr>
    </w:p>
    <w:bookmarkStart w:id="112" w:name="page113"/>
    <w:bookmarkEnd w:id="112"/>
    <w:p>
      <w:pPr>
        <w:ind w:left="5320"/>
        <w:spacing w:after="0"/>
        <w:rPr>
          <w:sz w:val="20"/>
          <w:szCs w:val="20"/>
          <w:color w:val="auto"/>
        </w:rPr>
      </w:pPr>
      <w:r>
        <w:rPr>
          <w:rFonts w:ascii="Arial" w:cs="Arial" w:eastAsia="Arial" w:hAnsi="Arial"/>
          <w:sz w:val="23"/>
          <w:szCs w:val="23"/>
          <w:b w:val="1"/>
          <w:bCs w:val="1"/>
          <w:color w:val="auto"/>
        </w:rPr>
        <w:t>Part IV.</w:t>
      </w:r>
    </w:p>
    <w:p>
      <w:pPr>
        <w:spacing w:after="0" w:line="33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and Financial Statement Schedules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tcPr>
          <w:p>
            <w:pPr>
              <w:spacing w:after="0"/>
              <w:rPr>
                <w:sz w:val="16"/>
                <w:szCs w:val="16"/>
                <w:color w:val="auto"/>
              </w:rPr>
            </w:pPr>
          </w:p>
        </w:tc>
        <w:tc>
          <w:tcPr>
            <w:tcW w:w="1500" w:type="dxa"/>
            <w:vAlign w:val="bottom"/>
          </w:tcPr>
          <w:p>
            <w:pPr>
              <w:ind w:left="240"/>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204"/>
        </w:trPr>
        <w:tc>
          <w:tcPr>
            <w:tcW w:w="9920" w:type="dxa"/>
            <w:vAlign w:val="bottom"/>
          </w:tcPr>
          <w:p>
            <w:pPr>
              <w:spacing w:after="0"/>
              <w:rPr>
                <w:sz w:val="17"/>
                <w:szCs w:val="17"/>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in Form 10-K</w:t>
            </w:r>
          </w:p>
        </w:tc>
        <w:tc>
          <w:tcPr>
            <w:tcW w:w="0" w:type="dxa"/>
            <w:vAlign w:val="bottom"/>
          </w:tcPr>
          <w:p>
            <w:pPr>
              <w:spacing w:after="0"/>
              <w:rPr>
                <w:sz w:val="1"/>
                <w:szCs w:val="1"/>
                <w:color w:val="auto"/>
              </w:rPr>
            </w:pPr>
          </w:p>
        </w:tc>
      </w:tr>
      <w:tr>
        <w:trPr>
          <w:trHeight w:val="237"/>
        </w:trPr>
        <w:tc>
          <w:tcPr>
            <w:tcW w:w="9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(a)(1.) Consolidated Financial Statements:</w:t>
            </w:r>
          </w:p>
        </w:tc>
        <w:tc>
          <w:tcPr>
            <w:tcW w:w="15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920" w:type="dxa"/>
            <w:vAlign w:val="bottom"/>
          </w:tcPr>
          <w:p>
            <w:pPr>
              <w:ind w:left="1320"/>
              <w:spacing w:after="0"/>
              <w:rPr>
                <w:sz w:val="20"/>
                <w:szCs w:val="20"/>
                <w:color w:val="auto"/>
              </w:rPr>
            </w:pPr>
            <w:r>
              <w:rPr>
                <w:rFonts w:ascii="Arial" w:cs="Arial" w:eastAsia="Arial" w:hAnsi="Arial"/>
                <w:sz w:val="19"/>
                <w:szCs w:val="19"/>
                <w:color w:val="auto"/>
              </w:rPr>
              <w:t>Consolidated Statement of Operations for the years ended December 31, 2009, 2008 and 2007</w:t>
            </w:r>
          </w:p>
        </w:tc>
        <w:tc>
          <w:tcPr>
            <w:tcW w:w="1500" w:type="dxa"/>
            <w:vAlign w:val="bottom"/>
          </w:tcPr>
          <w:p>
            <w:pPr>
              <w:jc w:val="right"/>
              <w:ind w:right="170"/>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70"/>
        </w:trPr>
        <w:tc>
          <w:tcPr>
            <w:tcW w:w="9920" w:type="dxa"/>
            <w:vAlign w:val="bottom"/>
            <w:shd w:val="clear" w:color="auto" w:fill="E5FFFF"/>
          </w:tcPr>
          <w:p>
            <w:pPr>
              <w:ind w:left="1320"/>
              <w:spacing w:after="0"/>
              <w:rPr>
                <w:sz w:val="20"/>
                <w:szCs w:val="20"/>
                <w:color w:val="auto"/>
              </w:rPr>
            </w:pPr>
            <w:r>
              <w:rPr>
                <w:rFonts w:ascii="Arial" w:cs="Arial" w:eastAsia="Arial" w:hAnsi="Arial"/>
                <w:sz w:val="19"/>
                <w:szCs w:val="19"/>
                <w:color w:val="auto"/>
              </w:rPr>
              <w:t>Consolidated Balance Sheet at December 31, 2009 and 2008</w:t>
            </w:r>
          </w:p>
        </w:tc>
        <w:tc>
          <w:tcPr>
            <w:tcW w:w="1500" w:type="dxa"/>
            <w:vAlign w:val="bottom"/>
            <w:shd w:val="clear" w:color="auto" w:fill="E5FFFF"/>
          </w:tcPr>
          <w:p>
            <w:pPr>
              <w:jc w:val="right"/>
              <w:ind w:right="170"/>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70"/>
        </w:trPr>
        <w:tc>
          <w:tcPr>
            <w:tcW w:w="9920" w:type="dxa"/>
            <w:vAlign w:val="bottom"/>
          </w:tcPr>
          <w:p>
            <w:pPr>
              <w:ind w:left="1320"/>
              <w:spacing w:after="0"/>
              <w:rPr>
                <w:sz w:val="20"/>
                <w:szCs w:val="20"/>
                <w:color w:val="auto"/>
              </w:rPr>
            </w:pPr>
            <w:r>
              <w:rPr>
                <w:rFonts w:ascii="Arial" w:cs="Arial" w:eastAsia="Arial" w:hAnsi="Arial"/>
                <w:sz w:val="19"/>
                <w:szCs w:val="19"/>
                <w:color w:val="auto"/>
              </w:rPr>
              <w:t>Consolidated Statement of Cash Flows for the years ended December 31, 2009, 2008 and 2007</w:t>
            </w:r>
          </w:p>
        </w:tc>
        <w:tc>
          <w:tcPr>
            <w:tcW w:w="1500" w:type="dxa"/>
            <w:vAlign w:val="bottom"/>
          </w:tcPr>
          <w:p>
            <w:pPr>
              <w:jc w:val="right"/>
              <w:ind w:right="170"/>
              <w:spacing w:after="0"/>
              <w:rPr>
                <w:sz w:val="20"/>
                <w:szCs w:val="20"/>
                <w:color w:val="auto"/>
              </w:rPr>
            </w:pPr>
            <w:r>
              <w:rPr>
                <w:rFonts w:ascii="Arial" w:cs="Arial" w:eastAsia="Arial" w:hAnsi="Arial"/>
                <w:sz w:val="19"/>
                <w:szCs w:val="19"/>
                <w:color w:val="auto"/>
              </w:rPr>
              <w:t>52</w:t>
            </w:r>
          </w:p>
        </w:tc>
        <w:tc>
          <w:tcPr>
            <w:tcW w:w="0" w:type="dxa"/>
            <w:vAlign w:val="bottom"/>
          </w:tcPr>
          <w:p>
            <w:pPr>
              <w:spacing w:after="0"/>
              <w:rPr>
                <w:sz w:val="1"/>
                <w:szCs w:val="1"/>
                <w:color w:val="auto"/>
              </w:rPr>
            </w:pPr>
          </w:p>
        </w:tc>
      </w:tr>
      <w:tr>
        <w:trPr>
          <w:trHeight w:val="230"/>
        </w:trPr>
        <w:tc>
          <w:tcPr>
            <w:tcW w:w="9920" w:type="dxa"/>
            <w:vAlign w:val="bottom"/>
            <w:shd w:val="clear" w:color="auto" w:fill="E5FFFF"/>
          </w:tcPr>
          <w:p>
            <w:pPr>
              <w:ind w:left="1320"/>
              <w:spacing w:after="0"/>
              <w:rPr>
                <w:sz w:val="20"/>
                <w:szCs w:val="20"/>
                <w:color w:val="auto"/>
              </w:rPr>
            </w:pPr>
            <w:r>
              <w:rPr>
                <w:rFonts w:ascii="Arial" w:cs="Arial" w:eastAsia="Arial" w:hAnsi="Arial"/>
                <w:sz w:val="19"/>
                <w:szCs w:val="19"/>
                <w:color w:val="auto"/>
              </w:rPr>
              <w:t>Consolidated Statement of Shareowners’ Equity for the years ended December 31, 2009, 2008</w:t>
            </w:r>
          </w:p>
        </w:tc>
        <w:tc>
          <w:tcPr>
            <w:tcW w:w="15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920" w:type="dxa"/>
            <w:vAlign w:val="bottom"/>
            <w:shd w:val="clear" w:color="auto" w:fill="E5FFFF"/>
          </w:tcPr>
          <w:p>
            <w:pPr>
              <w:ind w:left="1520"/>
              <w:spacing w:after="0"/>
              <w:rPr>
                <w:sz w:val="20"/>
                <w:szCs w:val="20"/>
                <w:color w:val="auto"/>
              </w:rPr>
            </w:pPr>
            <w:r>
              <w:rPr>
                <w:rFonts w:ascii="Arial" w:cs="Arial" w:eastAsia="Arial" w:hAnsi="Arial"/>
                <w:sz w:val="19"/>
                <w:szCs w:val="19"/>
                <w:color w:val="auto"/>
              </w:rPr>
              <w:t>and 2007</w:t>
            </w:r>
          </w:p>
        </w:tc>
        <w:tc>
          <w:tcPr>
            <w:tcW w:w="1500" w:type="dxa"/>
            <w:vAlign w:val="bottom"/>
            <w:shd w:val="clear" w:color="auto" w:fill="E5FFFF"/>
          </w:tcPr>
          <w:p>
            <w:pPr>
              <w:jc w:val="right"/>
              <w:ind w:right="170"/>
              <w:spacing w:after="0"/>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70"/>
        </w:trPr>
        <w:tc>
          <w:tcPr>
            <w:tcW w:w="9920" w:type="dxa"/>
            <w:vAlign w:val="bottom"/>
          </w:tcPr>
          <w:p>
            <w:pPr>
              <w:ind w:left="1320"/>
              <w:spacing w:after="0"/>
              <w:rPr>
                <w:sz w:val="20"/>
                <w:szCs w:val="20"/>
                <w:color w:val="auto"/>
              </w:rPr>
            </w:pPr>
            <w:r>
              <w:rPr>
                <w:rFonts w:ascii="Arial" w:cs="Arial" w:eastAsia="Arial" w:hAnsi="Arial"/>
                <w:sz w:val="19"/>
                <w:szCs w:val="19"/>
                <w:color w:val="auto"/>
              </w:rPr>
              <w:t>Notes to Financial Statements</w:t>
            </w:r>
          </w:p>
        </w:tc>
        <w:tc>
          <w:tcPr>
            <w:tcW w:w="1500" w:type="dxa"/>
            <w:vAlign w:val="bottom"/>
          </w:tcPr>
          <w:p>
            <w:pPr>
              <w:jc w:val="right"/>
              <w:ind w:right="170"/>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70"/>
        </w:trPr>
        <w:tc>
          <w:tcPr>
            <w:tcW w:w="9920" w:type="dxa"/>
            <w:vAlign w:val="bottom"/>
            <w:shd w:val="clear" w:color="auto" w:fill="E5FFFF"/>
          </w:tcPr>
          <w:p>
            <w:pPr>
              <w:ind w:left="1320"/>
              <w:spacing w:after="0"/>
              <w:rPr>
                <w:sz w:val="20"/>
                <w:szCs w:val="20"/>
                <w:color w:val="auto"/>
              </w:rPr>
            </w:pPr>
            <w:r>
              <w:rPr>
                <w:rFonts w:ascii="Arial" w:cs="Arial" w:eastAsia="Arial" w:hAnsi="Arial"/>
                <w:sz w:val="19"/>
                <w:szCs w:val="19"/>
                <w:color w:val="auto"/>
              </w:rPr>
              <w:t>Report of Independent Registered Public Accounting Firm</w:t>
            </w:r>
          </w:p>
        </w:tc>
        <w:tc>
          <w:tcPr>
            <w:tcW w:w="1500" w:type="dxa"/>
            <w:vAlign w:val="bottom"/>
            <w:shd w:val="clear" w:color="auto" w:fill="E5FFFF"/>
          </w:tcPr>
          <w:p>
            <w:pPr>
              <w:jc w:val="right"/>
              <w:ind w:right="170"/>
              <w:spacing w:after="0"/>
              <w:rPr>
                <w:sz w:val="20"/>
                <w:szCs w:val="20"/>
                <w:color w:val="auto"/>
              </w:rPr>
            </w:pPr>
            <w:r>
              <w:rPr>
                <w:rFonts w:ascii="Arial" w:cs="Arial" w:eastAsia="Arial" w:hAnsi="Arial"/>
                <w:sz w:val="19"/>
                <w:szCs w:val="19"/>
                <w:color w:val="auto"/>
              </w:rPr>
              <w:t>103</w:t>
            </w:r>
          </w:p>
        </w:tc>
        <w:tc>
          <w:tcPr>
            <w:tcW w:w="0" w:type="dxa"/>
            <w:vAlign w:val="bottom"/>
          </w:tcPr>
          <w:p>
            <w:pPr>
              <w:spacing w:after="0"/>
              <w:rPr>
                <w:sz w:val="1"/>
                <w:szCs w:val="1"/>
                <w:color w:val="auto"/>
              </w:rPr>
            </w:pPr>
          </w:p>
        </w:tc>
      </w:tr>
      <w:tr>
        <w:trPr>
          <w:trHeight w:val="229"/>
        </w:trPr>
        <w:tc>
          <w:tcPr>
            <w:tcW w:w="9920" w:type="dxa"/>
            <w:vAlign w:val="bottom"/>
            <w:vMerge w:val="restart"/>
          </w:tcPr>
          <w:p>
            <w:pPr>
              <w:ind w:left="20"/>
              <w:spacing w:after="0"/>
              <w:rPr>
                <w:sz w:val="20"/>
                <w:szCs w:val="20"/>
                <w:color w:val="auto"/>
              </w:rPr>
            </w:pPr>
            <w:r>
              <w:rPr>
                <w:rFonts w:ascii="Arial" w:cs="Arial" w:eastAsia="Arial" w:hAnsi="Arial"/>
                <w:sz w:val="19"/>
                <w:szCs w:val="19"/>
                <w:color w:val="auto"/>
              </w:rPr>
              <w:t>(a)(2.) Consolidated Financial Statement Schedules:</w:t>
            </w:r>
          </w:p>
        </w:tc>
        <w:tc>
          <w:tcPr>
            <w:tcW w:w="1500" w:type="dxa"/>
            <w:vAlign w:val="bottom"/>
          </w:tcPr>
          <w:p>
            <w:pPr>
              <w:ind w:left="240"/>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204"/>
        </w:trPr>
        <w:tc>
          <w:tcPr>
            <w:tcW w:w="9920" w:type="dxa"/>
            <w:vAlign w:val="bottom"/>
            <w:vMerge w:val="continue"/>
          </w:tcPr>
          <w:p>
            <w:pPr>
              <w:spacing w:after="0"/>
              <w:rPr>
                <w:sz w:val="17"/>
                <w:szCs w:val="17"/>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in Form 10-K</w:t>
            </w:r>
          </w:p>
        </w:tc>
        <w:tc>
          <w:tcPr>
            <w:tcW w:w="0" w:type="dxa"/>
            <w:vAlign w:val="bottom"/>
          </w:tcPr>
          <w:p>
            <w:pPr>
              <w:spacing w:after="0"/>
              <w:rPr>
                <w:sz w:val="1"/>
                <w:szCs w:val="1"/>
                <w:color w:val="auto"/>
              </w:rPr>
            </w:pPr>
          </w:p>
        </w:tc>
      </w:tr>
      <w:tr>
        <w:trPr>
          <w:trHeight w:val="264"/>
        </w:trPr>
        <w:tc>
          <w:tcPr>
            <w:tcW w:w="9920" w:type="dxa"/>
            <w:vAlign w:val="bottom"/>
            <w:shd w:val="clear" w:color="auto" w:fill="E5FFFF"/>
          </w:tcPr>
          <w:p>
            <w:pPr>
              <w:ind w:left="1320"/>
              <w:spacing w:after="0"/>
              <w:rPr>
                <w:sz w:val="20"/>
                <w:szCs w:val="20"/>
                <w:color w:val="auto"/>
              </w:rPr>
            </w:pPr>
            <w:r>
              <w:rPr>
                <w:rFonts w:ascii="Arial" w:cs="Arial" w:eastAsia="Arial" w:hAnsi="Arial"/>
                <w:sz w:val="19"/>
                <w:szCs w:val="19"/>
                <w:color w:val="auto"/>
              </w:rPr>
              <w:t>Schedule II—Valuation and Qualifying Accounts</w:t>
            </w:r>
          </w:p>
        </w:tc>
        <w:tc>
          <w:tcPr>
            <w:tcW w:w="1500" w:type="dxa"/>
            <w:vAlign w:val="bottom"/>
            <w:shd w:val="clear" w:color="auto" w:fill="E5FFFF"/>
          </w:tcPr>
          <w:p>
            <w:pPr>
              <w:jc w:val="right"/>
              <w:ind w:right="170"/>
              <w:spacing w:after="0"/>
              <w:rPr>
                <w:sz w:val="20"/>
                <w:szCs w:val="20"/>
                <w:color w:val="auto"/>
              </w:rPr>
            </w:pPr>
            <w:r>
              <w:rPr>
                <w:rFonts w:ascii="Arial" w:cs="Arial" w:eastAsia="Arial" w:hAnsi="Arial"/>
                <w:sz w:val="19"/>
                <w:szCs w:val="19"/>
                <w:color w:val="auto"/>
              </w:rPr>
              <w:t>115</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All other financial statement schedules have been omitted because they are not applicable to us or the required information is shown in the consolidated financial statements or notes thereto.</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(a)(3.) Exhibits</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the Exhibit Index on pages 111 through 114 of this Annual Report on Form 10-K.</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9"/>
          <w:szCs w:val="19"/>
          <w:b w:val="1"/>
          <w:bCs w:val="1"/>
          <w:color w:val="auto"/>
        </w:rPr>
        <w:t>SIGNATURES</w:t>
      </w:r>
    </w:p>
    <w:p>
      <w:pPr>
        <w:spacing w:after="0" w:line="130" w:lineRule="exact"/>
        <w:rPr>
          <w:sz w:val="20"/>
          <w:szCs w:val="20"/>
          <w:color w:val="auto"/>
        </w:rPr>
      </w:pPr>
    </w:p>
    <w:p>
      <w:pPr>
        <w:ind w:right="120" w:firstLine="357"/>
        <w:spacing w:after="0" w:line="253"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annual report to be signed on its behalf by the undersigned, thereunto duly authorized.</w:t>
      </w:r>
    </w:p>
    <w:p>
      <w:pPr>
        <w:spacing w:after="0" w:line="34"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H</w:t>
      </w:r>
      <w:r>
        <w:rPr>
          <w:rFonts w:ascii="Arial" w:cs="Arial" w:eastAsia="Arial" w:hAnsi="Arial"/>
          <w:sz w:val="15"/>
          <w:szCs w:val="15"/>
          <w:color w:val="auto"/>
        </w:rPr>
        <w:t>ONEYWELL</w:t>
      </w:r>
      <w:r>
        <w:rPr>
          <w:rFonts w:ascii="Arial" w:cs="Arial" w:eastAsia="Arial" w:hAnsi="Arial"/>
          <w:sz w:val="21"/>
          <w:szCs w:val="21"/>
          <w:color w:val="auto"/>
        </w:rPr>
        <w:t xml:space="preserve"> I</w:t>
      </w:r>
      <w:r>
        <w:rPr>
          <w:rFonts w:ascii="Arial" w:cs="Arial" w:eastAsia="Arial" w:hAnsi="Arial"/>
          <w:sz w:val="15"/>
          <w:szCs w:val="15"/>
          <w:color w:val="auto"/>
        </w:rPr>
        <w:t>NTERNATIONAL</w:t>
      </w:r>
      <w:r>
        <w:rPr>
          <w:rFonts w:ascii="Arial" w:cs="Arial" w:eastAsia="Arial" w:hAnsi="Arial"/>
          <w:sz w:val="21"/>
          <w:szCs w:val="21"/>
          <w:color w:val="auto"/>
        </w:rPr>
        <w:t xml:space="preserve"> I</w:t>
      </w:r>
      <w:r>
        <w:rPr>
          <w:rFonts w:ascii="Arial" w:cs="Arial" w:eastAsia="Arial" w:hAnsi="Arial"/>
          <w:sz w:val="15"/>
          <w:szCs w:val="15"/>
          <w:color w:val="auto"/>
        </w:rPr>
        <w:t>NC</w:t>
      </w:r>
      <w:r>
        <w:rPr>
          <w:rFonts w:ascii="Arial" w:cs="Arial" w:eastAsia="Arial" w:hAnsi="Arial"/>
          <w:sz w:val="21"/>
          <w:szCs w:val="21"/>
          <w:color w:val="auto"/>
        </w:rPr>
        <w:t>.</w:t>
      </w:r>
    </w:p>
    <w:p>
      <w:pPr>
        <w:spacing w:after="0" w:line="304" w:lineRule="exact"/>
        <w:rPr>
          <w:sz w:val="20"/>
          <w:szCs w:val="20"/>
          <w:color w:val="auto"/>
        </w:rPr>
      </w:pPr>
    </w:p>
    <w:p>
      <w:pPr>
        <w:ind w:left="20"/>
        <w:spacing w:after="0"/>
        <w:tabs>
          <w:tab w:leader="none" w:pos="6020" w:val="left"/>
          <w:tab w:leader="none" w:pos="8080" w:val="left"/>
        </w:tabs>
        <w:rPr>
          <w:sz w:val="20"/>
          <w:szCs w:val="20"/>
          <w:color w:val="auto"/>
        </w:rPr>
      </w:pPr>
      <w:r>
        <w:rPr>
          <w:rFonts w:ascii="Arial" w:cs="Arial" w:eastAsia="Arial" w:hAnsi="Arial"/>
          <w:sz w:val="19"/>
          <w:szCs w:val="19"/>
          <w:color w:val="auto"/>
        </w:rPr>
        <w:t>February 12, 2010</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Kathleen A.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15875</wp:posOffset>
            </wp:positionV>
            <wp:extent cx="29584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9" w:lineRule="exact"/>
        <w:rPr>
          <w:sz w:val="20"/>
          <w:szCs w:val="20"/>
          <w:color w:val="auto"/>
        </w:rPr>
      </w:pPr>
    </w:p>
    <w:p>
      <w:pPr>
        <w:jc w:val="center"/>
        <w:ind w:left="6760"/>
        <w:spacing w:after="0"/>
        <w:rPr>
          <w:sz w:val="20"/>
          <w:szCs w:val="20"/>
          <w:color w:val="auto"/>
        </w:rPr>
      </w:pPr>
      <w:r>
        <w:rPr>
          <w:rFonts w:ascii="Arial" w:cs="Arial" w:eastAsia="Arial" w:hAnsi="Arial"/>
          <w:sz w:val="19"/>
          <w:szCs w:val="19"/>
          <w:color w:val="auto"/>
        </w:rPr>
        <w:t>Kathleen A. Winters</w:t>
      </w:r>
    </w:p>
    <w:p>
      <w:pPr>
        <w:jc w:val="center"/>
        <w:ind w:left="6760"/>
        <w:spacing w:after="0"/>
        <w:rPr>
          <w:sz w:val="20"/>
          <w:szCs w:val="20"/>
          <w:color w:val="auto"/>
        </w:rPr>
      </w:pPr>
      <w:r>
        <w:rPr>
          <w:rFonts w:ascii="Arial" w:cs="Arial" w:eastAsia="Arial" w:hAnsi="Arial"/>
          <w:sz w:val="19"/>
          <w:szCs w:val="19"/>
          <w:color w:val="auto"/>
        </w:rPr>
        <w:t>Vice President and Controller</w:t>
      </w:r>
    </w:p>
    <w:p>
      <w:pPr>
        <w:spacing w:after="0" w:line="227" w:lineRule="exact"/>
        <w:rPr>
          <w:sz w:val="20"/>
          <w:szCs w:val="20"/>
          <w:color w:val="auto"/>
        </w:rPr>
      </w:pPr>
    </w:p>
    <w:p>
      <w:pPr>
        <w:ind w:right="120" w:firstLine="357"/>
        <w:spacing w:after="0" w:line="253" w:lineRule="auto"/>
        <w:rPr>
          <w:sz w:val="20"/>
          <w:szCs w:val="20"/>
          <w:color w:val="auto"/>
        </w:rPr>
      </w:pPr>
      <w:r>
        <w:rPr>
          <w:rFonts w:ascii="Arial" w:cs="Arial" w:eastAsia="Arial" w:hAnsi="Arial"/>
          <w:sz w:val="19"/>
          <w:szCs w:val="19"/>
          <w:color w:val="auto"/>
        </w:rPr>
        <w:t>Pursuant to the requirements of the Securities Exchange Act of 1934, this annual report has been signed below by the following persons on behalf of the Registrant and in the capacities and on the date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7"/>
                <w:szCs w:val="17"/>
                <w:color w:val="auto"/>
              </w:rPr>
            </w:pPr>
          </w:p>
        </w:tc>
        <w:tc>
          <w:tcPr>
            <w:tcW w:w="6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Name</w:t>
            </w:r>
          </w:p>
        </w:tc>
      </w:tr>
      <w:tr>
        <w:trPr>
          <w:trHeight w:val="480"/>
        </w:trPr>
        <w:tc>
          <w:tcPr>
            <w:tcW w:w="4960" w:type="dxa"/>
            <w:vAlign w:val="bottom"/>
          </w:tcPr>
          <w:p>
            <w:pPr>
              <w:jc w:val="center"/>
              <w:spacing w:after="0"/>
              <w:rPr>
                <w:sz w:val="20"/>
                <w:szCs w:val="20"/>
                <w:color w:val="auto"/>
              </w:rPr>
            </w:pPr>
            <w:r>
              <w:rPr>
                <w:rFonts w:ascii="Arial" w:cs="Arial" w:eastAsia="Arial" w:hAnsi="Arial"/>
                <w:sz w:val="19"/>
                <w:szCs w:val="19"/>
                <w:color w:val="auto"/>
              </w:rPr>
              <w:t>*</w:t>
            </w:r>
          </w:p>
        </w:tc>
        <w:tc>
          <w:tcPr>
            <w:tcW w:w="6460" w:type="dxa"/>
            <w:vAlign w:val="bottom"/>
            <w:gridSpan w:val="2"/>
          </w:tcPr>
          <w:p>
            <w:pPr>
              <w:jc w:val="center"/>
              <w:ind w:left="203"/>
              <w:spacing w:after="0"/>
              <w:rPr>
                <w:sz w:val="20"/>
                <w:szCs w:val="20"/>
                <w:color w:val="auto"/>
              </w:rPr>
            </w:pPr>
            <w:r>
              <w:rPr>
                <w:rFonts w:ascii="Arial" w:cs="Arial" w:eastAsia="Arial" w:hAnsi="Arial"/>
                <w:sz w:val="19"/>
                <w:szCs w:val="19"/>
                <w:color w:val="auto"/>
              </w:rPr>
              <w:t>*</w:t>
            </w:r>
          </w:p>
        </w:tc>
      </w:tr>
      <w:tr>
        <w:trPr>
          <w:trHeight w:val="223"/>
        </w:trPr>
        <w:tc>
          <w:tcPr>
            <w:tcW w:w="49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David M. Cote</w:t>
            </w:r>
          </w:p>
        </w:tc>
        <w:tc>
          <w:tcPr>
            <w:tcW w:w="280" w:type="dxa"/>
            <w:vAlign w:val="bottom"/>
          </w:tcPr>
          <w:p>
            <w:pPr>
              <w:spacing w:after="0"/>
              <w:rPr>
                <w:sz w:val="19"/>
                <w:szCs w:val="19"/>
                <w:color w:val="auto"/>
              </w:rPr>
            </w:pPr>
          </w:p>
        </w:tc>
        <w:tc>
          <w:tcPr>
            <w:tcW w:w="61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Linnet F. Deily</w:t>
            </w:r>
          </w:p>
        </w:tc>
      </w:tr>
      <w:tr>
        <w:trPr>
          <w:trHeight w:val="216"/>
        </w:trPr>
        <w:tc>
          <w:tcPr>
            <w:tcW w:w="4960" w:type="dxa"/>
            <w:vAlign w:val="bottom"/>
          </w:tcPr>
          <w:p>
            <w:pPr>
              <w:jc w:val="center"/>
              <w:spacing w:after="0" w:line="216" w:lineRule="exact"/>
              <w:rPr>
                <w:sz w:val="20"/>
                <w:szCs w:val="20"/>
                <w:color w:val="auto"/>
              </w:rPr>
            </w:pPr>
            <w:r>
              <w:rPr>
                <w:rFonts w:ascii="Arial" w:cs="Arial" w:eastAsia="Arial" w:hAnsi="Arial"/>
                <w:sz w:val="19"/>
                <w:szCs w:val="19"/>
                <w:color w:val="auto"/>
              </w:rPr>
              <w:t>Chairman of the Board,</w:t>
            </w:r>
          </w:p>
        </w:tc>
        <w:tc>
          <w:tcPr>
            <w:tcW w:w="280" w:type="dxa"/>
            <w:vAlign w:val="bottom"/>
          </w:tcPr>
          <w:p>
            <w:pPr>
              <w:spacing w:after="0"/>
              <w:rPr>
                <w:sz w:val="18"/>
                <w:szCs w:val="18"/>
                <w:color w:val="auto"/>
              </w:rPr>
            </w:pPr>
          </w:p>
        </w:tc>
        <w:tc>
          <w:tcPr>
            <w:tcW w:w="6180" w:type="dxa"/>
            <w:vAlign w:val="bottom"/>
          </w:tcPr>
          <w:p>
            <w:pPr>
              <w:jc w:val="center"/>
              <w:spacing w:after="0" w:line="216" w:lineRule="exact"/>
              <w:rPr>
                <w:sz w:val="20"/>
                <w:szCs w:val="20"/>
                <w:color w:val="auto"/>
              </w:rPr>
            </w:pPr>
            <w:r>
              <w:rPr>
                <w:rFonts w:ascii="Arial" w:cs="Arial" w:eastAsia="Arial" w:hAnsi="Arial"/>
                <w:sz w:val="19"/>
                <w:szCs w:val="19"/>
                <w:color w:val="auto"/>
              </w:rPr>
              <w:t>Director</w:t>
            </w:r>
          </w:p>
        </w:tc>
      </w:tr>
      <w:tr>
        <w:trPr>
          <w:trHeight w:val="216"/>
        </w:trPr>
        <w:tc>
          <w:tcPr>
            <w:tcW w:w="4960" w:type="dxa"/>
            <w:vAlign w:val="bottom"/>
          </w:tcPr>
          <w:p>
            <w:pPr>
              <w:jc w:val="center"/>
              <w:spacing w:after="0" w:line="216" w:lineRule="exact"/>
              <w:rPr>
                <w:sz w:val="20"/>
                <w:szCs w:val="20"/>
                <w:color w:val="auto"/>
              </w:rPr>
            </w:pPr>
            <w:r>
              <w:rPr>
                <w:rFonts w:ascii="Arial" w:cs="Arial" w:eastAsia="Arial" w:hAnsi="Arial"/>
                <w:sz w:val="19"/>
                <w:szCs w:val="19"/>
                <w:color w:val="auto"/>
              </w:rPr>
              <w:t>Chief Executive Officer</w:t>
            </w:r>
          </w:p>
        </w:tc>
        <w:tc>
          <w:tcPr>
            <w:tcW w:w="280" w:type="dxa"/>
            <w:vAlign w:val="bottom"/>
          </w:tcPr>
          <w:p>
            <w:pPr>
              <w:spacing w:after="0"/>
              <w:rPr>
                <w:sz w:val="18"/>
                <w:szCs w:val="18"/>
                <w:color w:val="auto"/>
              </w:rPr>
            </w:pPr>
          </w:p>
        </w:tc>
        <w:tc>
          <w:tcPr>
            <w:tcW w:w="6180" w:type="dxa"/>
            <w:vAlign w:val="bottom"/>
          </w:tcPr>
          <w:p>
            <w:pPr>
              <w:spacing w:after="0"/>
              <w:rPr>
                <w:sz w:val="18"/>
                <w:szCs w:val="18"/>
                <w:color w:val="auto"/>
              </w:rPr>
            </w:pPr>
          </w:p>
        </w:tc>
      </w:tr>
      <w:tr>
        <w:trPr>
          <w:trHeight w:val="234"/>
        </w:trPr>
        <w:tc>
          <w:tcPr>
            <w:tcW w:w="4960" w:type="dxa"/>
            <w:vAlign w:val="bottom"/>
          </w:tcPr>
          <w:p>
            <w:pPr>
              <w:jc w:val="center"/>
              <w:spacing w:after="0"/>
              <w:rPr>
                <w:sz w:val="20"/>
                <w:szCs w:val="20"/>
                <w:color w:val="auto"/>
              </w:rPr>
            </w:pPr>
            <w:r>
              <w:rPr>
                <w:rFonts w:ascii="Arial" w:cs="Arial" w:eastAsia="Arial" w:hAnsi="Arial"/>
                <w:sz w:val="19"/>
                <w:szCs w:val="19"/>
                <w:color w:val="auto"/>
              </w:rPr>
              <w:t>and Director</w:t>
            </w:r>
          </w:p>
        </w:tc>
        <w:tc>
          <w:tcPr>
            <w:tcW w:w="280" w:type="dxa"/>
            <w:vAlign w:val="bottom"/>
          </w:tcPr>
          <w:p>
            <w:pPr>
              <w:spacing w:after="0"/>
              <w:rPr>
                <w:sz w:val="20"/>
                <w:szCs w:val="20"/>
                <w:color w:val="auto"/>
              </w:rPr>
            </w:pPr>
          </w:p>
        </w:tc>
        <w:tc>
          <w:tcPr>
            <w:tcW w:w="6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53"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1388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6"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Gordon M. Bethune</w:t>
      </w:r>
    </w:p>
    <w:p>
      <w:pPr>
        <w:jc w:val="center"/>
        <w:ind w:left="120"/>
        <w:spacing w:after="0"/>
        <w:rPr>
          <w:sz w:val="20"/>
          <w:szCs w:val="20"/>
          <w:color w:val="auto"/>
        </w:rPr>
      </w:pPr>
      <w:r>
        <w:rPr>
          <w:rFonts w:ascii="Arial" w:cs="Arial" w:eastAsia="Arial" w:hAnsi="Arial"/>
          <w:sz w:val="19"/>
          <w:szCs w:val="19"/>
          <w:color w:val="auto"/>
        </w:rPr>
        <w:t>Director</w:t>
      </w:r>
    </w:p>
    <w:p>
      <w:pPr>
        <w:spacing w:after="0" w:line="268"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1388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Kevin Burke</w:t>
      </w:r>
    </w:p>
    <w:p>
      <w:pPr>
        <w:jc w:val="center"/>
        <w:ind w:left="120"/>
        <w:spacing w:after="0"/>
        <w:rPr>
          <w:sz w:val="20"/>
          <w:szCs w:val="20"/>
          <w:color w:val="auto"/>
        </w:rPr>
      </w:pPr>
      <w:r>
        <w:rPr>
          <w:rFonts w:ascii="Arial" w:cs="Arial" w:eastAsia="Arial" w:hAnsi="Arial"/>
          <w:sz w:val="19"/>
          <w:szCs w:val="19"/>
          <w:color w:val="auto"/>
        </w:rPr>
        <w:t>Director</w:t>
      </w:r>
    </w:p>
    <w:p>
      <w:pPr>
        <w:spacing w:after="0" w:line="268"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1388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Jaime Chico Pardo</w:t>
      </w:r>
    </w:p>
    <w:p>
      <w:pPr>
        <w:jc w:val="center"/>
        <w:ind w:left="120"/>
        <w:spacing w:after="0"/>
        <w:rPr>
          <w:sz w:val="20"/>
          <w:szCs w:val="20"/>
          <w:color w:val="auto"/>
        </w:rPr>
      </w:pPr>
      <w:r>
        <w:rPr>
          <w:rFonts w:ascii="Arial" w:cs="Arial" w:eastAsia="Arial" w:hAnsi="Arial"/>
          <w:sz w:val="19"/>
          <w:szCs w:val="19"/>
          <w:color w:val="auto"/>
        </w:rPr>
        <w:t>Director</w:t>
      </w:r>
    </w:p>
    <w:p>
      <w:pPr>
        <w:spacing w:after="0" w:line="268"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1388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6"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D. Scott Davis</w:t>
      </w:r>
    </w:p>
    <w:p>
      <w:pPr>
        <w:jc w:val="center"/>
        <w:ind w:left="120"/>
        <w:spacing w:after="0"/>
        <w:rPr>
          <w:sz w:val="20"/>
          <w:szCs w:val="20"/>
          <w:color w:val="auto"/>
        </w:rPr>
      </w:pPr>
      <w:r>
        <w:rPr>
          <w:rFonts w:ascii="Arial" w:cs="Arial" w:eastAsia="Arial" w:hAnsi="Arial"/>
          <w:sz w:val="19"/>
          <w:szCs w:val="19"/>
          <w:color w:val="auto"/>
        </w:rPr>
        <w:t>Director</w:t>
      </w: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1388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6"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David J. Anderson</w:t>
      </w:r>
    </w:p>
    <w:p>
      <w:pPr>
        <w:jc w:val="center"/>
        <w:ind w:left="120"/>
        <w:spacing w:after="0" w:line="237" w:lineRule="auto"/>
        <w:rPr>
          <w:sz w:val="20"/>
          <w:szCs w:val="20"/>
          <w:color w:val="auto"/>
        </w:rPr>
      </w:pPr>
      <w:r>
        <w:rPr>
          <w:rFonts w:ascii="Arial" w:cs="Arial" w:eastAsia="Arial" w:hAnsi="Arial"/>
          <w:sz w:val="19"/>
          <w:szCs w:val="19"/>
          <w:color w:val="auto"/>
        </w:rPr>
        <w:t>Senior Vice President and</w:t>
      </w:r>
    </w:p>
    <w:p>
      <w:pPr>
        <w:jc w:val="center"/>
        <w:ind w:left="120"/>
        <w:spacing w:after="0" w:line="237" w:lineRule="auto"/>
        <w:rPr>
          <w:sz w:val="20"/>
          <w:szCs w:val="20"/>
          <w:color w:val="auto"/>
        </w:rPr>
      </w:pPr>
      <w:r>
        <w:rPr>
          <w:rFonts w:ascii="Arial" w:cs="Arial" w:eastAsia="Arial" w:hAnsi="Arial"/>
          <w:sz w:val="19"/>
          <w:szCs w:val="19"/>
          <w:color w:val="auto"/>
        </w:rPr>
        <w:t>Chief Financial Officer</w:t>
      </w:r>
    </w:p>
    <w:p>
      <w:pPr>
        <w:spacing w:after="0" w:line="1" w:lineRule="exact"/>
        <w:rPr>
          <w:sz w:val="20"/>
          <w:szCs w:val="20"/>
          <w:color w:val="auto"/>
        </w:rPr>
      </w:pPr>
    </w:p>
    <w:p>
      <w:pPr>
        <w:jc w:val="center"/>
        <w:ind w:left="120"/>
        <w:spacing w:after="0"/>
        <w:rPr>
          <w:sz w:val="20"/>
          <w:szCs w:val="20"/>
          <w:color w:val="auto"/>
        </w:rPr>
      </w:pPr>
      <w:r>
        <w:rPr>
          <w:rFonts w:ascii="Arial" w:cs="Arial" w:eastAsia="Arial" w:hAnsi="Arial"/>
          <w:sz w:val="19"/>
          <w:szCs w:val="19"/>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15875</wp:posOffset>
            </wp:positionV>
            <wp:extent cx="2761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9" w:lineRule="exact"/>
        <w:rPr>
          <w:sz w:val="20"/>
          <w:szCs w:val="20"/>
          <w:color w:val="auto"/>
        </w:rPr>
      </w:pPr>
    </w:p>
    <w:p>
      <w:pPr>
        <w:jc w:val="center"/>
        <w:ind w:left="520"/>
        <w:spacing w:after="0"/>
        <w:rPr>
          <w:sz w:val="20"/>
          <w:szCs w:val="20"/>
          <w:color w:val="auto"/>
        </w:rPr>
      </w:pPr>
      <w:r>
        <w:rPr>
          <w:rFonts w:ascii="Arial" w:cs="Arial" w:eastAsia="Arial" w:hAnsi="Arial"/>
          <w:sz w:val="19"/>
          <w:szCs w:val="19"/>
          <w:color w:val="auto"/>
        </w:rPr>
        <w:t>(David J. Anderson</w:t>
      </w:r>
    </w:p>
    <w:p>
      <w:pPr>
        <w:jc w:val="center"/>
        <w:ind w:left="520"/>
        <w:spacing w:after="0"/>
        <w:rPr>
          <w:sz w:val="20"/>
          <w:szCs w:val="20"/>
          <w:color w:val="auto"/>
        </w:rPr>
      </w:pPr>
      <w:r>
        <w:rPr>
          <w:rFonts w:ascii="Arial" w:cs="Arial" w:eastAsia="Arial" w:hAnsi="Arial"/>
          <w:sz w:val="19"/>
          <w:szCs w:val="19"/>
          <w:color w:val="auto"/>
        </w:rPr>
        <w:t>Attorney-in-fact)</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February 12, 2010</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6985</wp:posOffset>
            </wp:positionV>
            <wp:extent cx="39192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Clive R. Hollick</w:t>
      </w:r>
    </w:p>
    <w:p>
      <w:pPr>
        <w:jc w:val="center"/>
        <w:ind w:right="300"/>
        <w:spacing w:after="0"/>
        <w:rPr>
          <w:sz w:val="20"/>
          <w:szCs w:val="20"/>
          <w:color w:val="auto"/>
        </w:rPr>
      </w:pPr>
      <w:r>
        <w:rPr>
          <w:rFonts w:ascii="Arial" w:cs="Arial" w:eastAsia="Arial" w:hAnsi="Arial"/>
          <w:sz w:val="19"/>
          <w:szCs w:val="19"/>
          <w:color w:val="auto"/>
        </w:rPr>
        <w:t>Director</w:t>
      </w:r>
    </w:p>
    <w:p>
      <w:pPr>
        <w:spacing w:after="0" w:line="268"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6985</wp:posOffset>
            </wp:positionV>
            <wp:extent cx="39192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George Paz</w:t>
      </w:r>
    </w:p>
    <w:p>
      <w:pPr>
        <w:jc w:val="center"/>
        <w:ind w:right="300"/>
        <w:spacing w:after="0"/>
        <w:rPr>
          <w:sz w:val="20"/>
          <w:szCs w:val="20"/>
          <w:color w:val="auto"/>
        </w:rPr>
      </w:pPr>
      <w:r>
        <w:rPr>
          <w:rFonts w:ascii="Arial" w:cs="Arial" w:eastAsia="Arial" w:hAnsi="Arial"/>
          <w:sz w:val="19"/>
          <w:szCs w:val="19"/>
          <w:color w:val="auto"/>
        </w:rPr>
        <w:t>Director</w:t>
      </w:r>
    </w:p>
    <w:p>
      <w:pPr>
        <w:spacing w:after="0" w:line="268"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6985</wp:posOffset>
            </wp:positionV>
            <wp:extent cx="39192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Bradley T. Sheares, Ph.D.</w:t>
      </w:r>
    </w:p>
    <w:p>
      <w:pPr>
        <w:jc w:val="center"/>
        <w:ind w:right="300"/>
        <w:spacing w:after="0"/>
        <w:rPr>
          <w:sz w:val="20"/>
          <w:szCs w:val="20"/>
          <w:color w:val="auto"/>
        </w:rPr>
      </w:pPr>
      <w:r>
        <w:rPr>
          <w:rFonts w:ascii="Arial" w:cs="Arial" w:eastAsia="Arial" w:hAnsi="Arial"/>
          <w:sz w:val="19"/>
          <w:szCs w:val="19"/>
          <w:color w:val="auto"/>
        </w:rPr>
        <w:t>Director</w:t>
      </w:r>
    </w:p>
    <w:p>
      <w:pPr>
        <w:spacing w:after="0" w:line="268"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6985</wp:posOffset>
            </wp:positionV>
            <wp:extent cx="39192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16"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John R. Stafford</w:t>
      </w:r>
    </w:p>
    <w:p>
      <w:pPr>
        <w:jc w:val="center"/>
        <w:ind w:right="300"/>
        <w:spacing w:after="0"/>
        <w:rPr>
          <w:sz w:val="20"/>
          <w:szCs w:val="20"/>
          <w:color w:val="auto"/>
        </w:rPr>
      </w:pPr>
      <w:r>
        <w:rPr>
          <w:rFonts w:ascii="Arial" w:cs="Arial" w:eastAsia="Arial" w:hAnsi="Arial"/>
          <w:sz w:val="19"/>
          <w:szCs w:val="19"/>
          <w:color w:val="auto"/>
        </w:rPr>
        <w:t>Director</w:t>
      </w:r>
    </w:p>
    <w:p>
      <w:pPr>
        <w:spacing w:after="0" w:line="268"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6985</wp:posOffset>
            </wp:positionV>
            <wp:extent cx="39192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Michael W. Wright</w:t>
      </w:r>
    </w:p>
    <w:p>
      <w:pPr>
        <w:ind w:left="2440"/>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pacing w:after="0" w:line="257" w:lineRule="exact"/>
        <w:rPr>
          <w:sz w:val="20"/>
          <w:szCs w:val="20"/>
          <w:color w:val="auto"/>
        </w:rPr>
      </w:pPr>
    </w:p>
    <w:p>
      <w:pPr>
        <w:ind w:left="1780"/>
        <w:spacing w:after="0"/>
        <w:rPr>
          <w:sz w:val="20"/>
          <w:szCs w:val="20"/>
          <w:color w:val="auto"/>
        </w:rPr>
      </w:pPr>
      <w:r>
        <w:rPr>
          <w:rFonts w:ascii="Arial" w:cs="Arial" w:eastAsia="Arial" w:hAnsi="Arial"/>
          <w:sz w:val="19"/>
          <w:szCs w:val="19"/>
          <w:color w:val="auto"/>
        </w:rPr>
        <w:t>/s/ Kathleen A.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6985</wp:posOffset>
            </wp:positionV>
            <wp:extent cx="39192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Kathleen A. Winters</w:t>
      </w:r>
    </w:p>
    <w:p>
      <w:pPr>
        <w:jc w:val="right"/>
        <w:ind w:right="1820"/>
        <w:spacing w:after="0" w:line="237" w:lineRule="auto"/>
        <w:rPr>
          <w:sz w:val="20"/>
          <w:szCs w:val="20"/>
          <w:color w:val="auto"/>
        </w:rPr>
      </w:pPr>
      <w:r>
        <w:rPr>
          <w:rFonts w:ascii="Arial" w:cs="Arial" w:eastAsia="Arial" w:hAnsi="Arial"/>
          <w:sz w:val="19"/>
          <w:szCs w:val="19"/>
          <w:color w:val="auto"/>
        </w:rPr>
        <w:t>Vice President and Controller</w:t>
      </w:r>
    </w:p>
    <w:p>
      <w:pPr>
        <w:ind w:left="1520"/>
        <w:spacing w:after="0"/>
        <w:rPr>
          <w:sz w:val="20"/>
          <w:szCs w:val="20"/>
          <w:color w:val="auto"/>
        </w:rPr>
      </w:pPr>
      <w:r>
        <w:rPr>
          <w:rFonts w:ascii="Arial" w:cs="Arial" w:eastAsia="Arial" w:hAnsi="Arial"/>
          <w:sz w:val="19"/>
          <w:szCs w:val="19"/>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133350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40" w:space="720"/>
            <w:col w:w="5860"/>
          </w:cols>
          <w:pgMar w:left="240" w:top="115"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58"/>
        </w:trPr>
        <w:tc>
          <w:tcPr>
            <w:tcW w:w="1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60" w:type="dxa"/>
            <w:vAlign w:val="bottom"/>
          </w:tcPr>
          <w:p>
            <w:pPr>
              <w:jc w:val="center"/>
              <w:ind w:right="1864"/>
              <w:spacing w:after="0"/>
              <w:rPr>
                <w:sz w:val="20"/>
                <w:szCs w:val="20"/>
                <w:color w:val="auto"/>
              </w:rPr>
            </w:pPr>
            <w:r>
              <w:rPr>
                <w:rFonts w:ascii="Arial" w:cs="Arial" w:eastAsia="Arial" w:hAnsi="Arial"/>
                <w:sz w:val="19"/>
                <w:szCs w:val="19"/>
                <w:b w:val="1"/>
                <w:bCs w:val="1"/>
                <w:color w:val="auto"/>
              </w:rPr>
              <w:t>EXHIBIT INDEX</w:t>
            </w:r>
          </w:p>
        </w:tc>
      </w:tr>
      <w:tr>
        <w:trPr>
          <w:trHeight w:val="293"/>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300" w:type="dxa"/>
            <w:vAlign w:val="bottom"/>
          </w:tcPr>
          <w:p>
            <w:pPr>
              <w:spacing w:after="0"/>
              <w:rPr>
                <w:sz w:val="24"/>
                <w:szCs w:val="24"/>
                <w:color w:val="auto"/>
              </w:rPr>
            </w:pPr>
          </w:p>
        </w:tc>
        <w:tc>
          <w:tcPr>
            <w:tcW w:w="9460" w:type="dxa"/>
            <w:vAlign w:val="bottom"/>
            <w:tcBorders>
              <w:bottom w:val="single" w:sz="8" w:color="auto"/>
            </w:tcBorders>
          </w:tcPr>
          <w:p>
            <w:pPr>
              <w:ind w:left="430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1660" w:type="dxa"/>
            <w:vAlign w:val="bottom"/>
          </w:tcPr>
          <w:p>
            <w:pPr>
              <w:ind w:left="180"/>
              <w:spacing w:after="0"/>
              <w:rPr>
                <w:sz w:val="20"/>
                <w:szCs w:val="20"/>
                <w:color w:val="auto"/>
              </w:rPr>
            </w:pPr>
            <w:r>
              <w:rPr>
                <w:rFonts w:ascii="Arial" w:cs="Arial" w:eastAsia="Arial" w:hAnsi="Arial"/>
                <w:sz w:val="19"/>
                <w:szCs w:val="19"/>
                <w:color w:val="auto"/>
              </w:rPr>
              <w:t>3(i)</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Amended and Restated Certificate of Incorporation of Honeywell International Inc., as amended April 28,</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2008 (incorporated by reference to Exhibit 3(i) to Honeywell’s Form 8-K filed May 1, 2008)</w:t>
            </w:r>
          </w:p>
        </w:tc>
      </w:tr>
      <w:tr>
        <w:trPr>
          <w:trHeight w:val="226"/>
        </w:trPr>
        <w:tc>
          <w:tcPr>
            <w:tcW w:w="1660" w:type="dxa"/>
            <w:vAlign w:val="bottom"/>
          </w:tcPr>
          <w:p>
            <w:pPr>
              <w:ind w:left="180"/>
              <w:spacing w:after="0"/>
              <w:rPr>
                <w:sz w:val="20"/>
                <w:szCs w:val="20"/>
                <w:color w:val="auto"/>
              </w:rPr>
            </w:pPr>
            <w:r>
              <w:rPr>
                <w:rFonts w:ascii="Arial" w:cs="Arial" w:eastAsia="Arial" w:hAnsi="Arial"/>
                <w:sz w:val="19"/>
                <w:szCs w:val="19"/>
                <w:color w:val="auto"/>
              </w:rPr>
              <w:t>3(ii)</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By-laws of Honeywell International Inc., as amended September 26, 2008 (incorporated by reference to</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Exhibit 3(ii) to Honeywell’s Form 8-K filed October 2, 2008)</w:t>
            </w:r>
          </w:p>
        </w:tc>
      </w:tr>
      <w:tr>
        <w:trPr>
          <w:trHeight w:val="226"/>
        </w:trPr>
        <w:tc>
          <w:tcPr>
            <w:tcW w:w="1660" w:type="dxa"/>
            <w:vAlign w:val="bottom"/>
          </w:tcPr>
          <w:p>
            <w:pPr>
              <w:ind w:left="180"/>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Honeywell International Inc. is a party to several long-term debt instruments under which, in each case, the</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total amount of securities authorized does not exceed 10% of the total assets of Honeywell and its</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subsidiaries on a consolidated basis. Pursuant to paragraph 4(iii)(A) of Item 601(b) of Regulation S-K,</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Honeywell agrees to furnish a copy of such instruments to the Securities and Exchange Commission upon</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request.</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2003 Stock Incentive Plan of Honeywell International Inc. and its Affiliates (incorporated by reference to</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Honeywell’s Proxy Statement, dated March 17, 2003, filed pursuant to Rule 14a-6 of the Securities and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Exchange Act of 1934 and amended by Exhibit 10.1 to Honeywell’s Form 8-K filed December 21, 2004,</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Exhibit 10.1 to Honeywell’s Form 10-K for the year ended December 31, 2006 and Exhibit 10.1 to</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Honeywell’s Form 10-K for the year ended December 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Deferred Compensation Plan for Non-Employee Directors of Honeywell International Inc., as amended and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restated (incorporated by reference to Exhibit 10.2 to Honeywell’s Form 10-Q for quarter ended June 30,</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2003, and amended by Exhibit 10.1 to Honeywell’s Form 8-K filed December 21, 2004 and Exhibit 10.2 to</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Honeywell’s Form 10-K for the year ended December 31, 2005)</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Stock Plan for Non-Employee Directors of AlliedSignal Inc., as amended (incorporated by reference to Exhibit</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10.3 to Honeywell’s Form 10-Q for the quarter ended June 30, 2003 and amended by Exhibit 10.2 to</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Honeywell’s Form 10-Q for the quarter ended June 30, 2007 and Exhibit 10.1 to Honeywell’s Form 10-Q for</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the quarter ended September 30,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10.4*</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1985 Stock Plan for Employees of AlliedSignal Inc. and its Subsidiaries, as amended (incorporated by</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reference to Exhibit 19.3 to Honeywell’s Form 10-Q for the quarter ended September 30, 1991)</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10.5*</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Honeywell International Inc. Incentive Compensation Plan for Executive Employees, as amended and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restated (incorporated by reference to Exhibit 10.5 to Honeywell’s Form 10-K for the year ended December</w:t>
            </w:r>
          </w:p>
        </w:tc>
      </w:tr>
      <w:tr>
        <w:trPr>
          <w:trHeight w:val="234"/>
        </w:trPr>
        <w:tc>
          <w:tcPr>
            <w:tcW w:w="1660" w:type="dxa"/>
            <w:vAlign w:val="bottom"/>
          </w:tcPr>
          <w:p>
            <w:pPr>
              <w:spacing w:after="0"/>
              <w:rPr>
                <w:sz w:val="20"/>
                <w:szCs w:val="20"/>
                <w:color w:val="auto"/>
              </w:rPr>
            </w:pPr>
          </w:p>
        </w:tc>
        <w:tc>
          <w:tcPr>
            <w:tcW w:w="9760" w:type="dxa"/>
            <w:vAlign w:val="bottom"/>
            <w:gridSpan w:val="2"/>
          </w:tcPr>
          <w:p>
            <w:pPr>
              <w:ind w:left="480"/>
              <w:spacing w:after="0"/>
              <w:rPr>
                <w:sz w:val="20"/>
                <w:szCs w:val="20"/>
                <w:color w:val="auto"/>
              </w:rPr>
            </w:pPr>
            <w:r>
              <w:rPr>
                <w:rFonts w:ascii="Arial" w:cs="Arial" w:eastAsia="Arial" w:hAnsi="Arial"/>
                <w:sz w:val="19"/>
                <w:szCs w:val="19"/>
                <w:color w:val="auto"/>
              </w:rPr>
              <w:t>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10.6*</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Supplemental Non-Qualified Savings Plan for Highly Compensated Employees of Honeywell International Inc.</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and its Subsidiaries, as amended and restated (incorporated by reference to Exhibit 10.6 to Honeywell’s</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Form 10-K for the year ended December 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10.7*</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Honeywell International Inc. Severance Plan for Senior Executives, as amended and restated (incorporated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by reference to Exhibit 10.7 to Honeywell’s Form 10-K for the year ended December 31, 2008) and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amended by the attached amendment (filed 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10.8*</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Salary and Incentive Award Deferral Plan for Selected Employees of Honeywell International Inc., and its</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Affiliates, as amended and restated (incorporated by reference to Exhibit 10.8 to Honeywell’s Form 10-K for</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the year ended December 31, 2008)</w:t>
            </w:r>
          </w:p>
        </w:tc>
      </w:tr>
      <w:tr>
        <w:trPr>
          <w:trHeight w:val="338"/>
        </w:trPr>
        <w:tc>
          <w:tcPr>
            <w:tcW w:w="1660" w:type="dxa"/>
            <w:vAlign w:val="bottom"/>
          </w:tcPr>
          <w:p>
            <w:pPr>
              <w:spacing w:after="0"/>
              <w:rPr>
                <w:sz w:val="24"/>
                <w:szCs w:val="24"/>
                <w:color w:val="auto"/>
              </w:rPr>
            </w:pPr>
          </w:p>
        </w:tc>
        <w:tc>
          <w:tcPr>
            <w:tcW w:w="9760" w:type="dxa"/>
            <w:vAlign w:val="bottom"/>
            <w:gridSpan w:val="2"/>
          </w:tcPr>
          <w:p>
            <w:pPr>
              <w:jc w:val="right"/>
              <w:ind w:right="5444"/>
              <w:spacing w:after="0"/>
              <w:rPr>
                <w:sz w:val="20"/>
                <w:szCs w:val="20"/>
                <w:color w:val="auto"/>
              </w:rPr>
            </w:pPr>
            <w:r>
              <w:rPr>
                <w:rFonts w:ascii="Arial" w:cs="Arial" w:eastAsia="Arial" w:hAnsi="Arial"/>
                <w:sz w:val="19"/>
                <w:szCs w:val="19"/>
                <w:color w:val="auto"/>
              </w:rPr>
              <w:t>111</w:t>
            </w:r>
          </w:p>
        </w:tc>
      </w:tr>
      <w:tr>
        <w:trPr>
          <w:trHeight w:val="209"/>
        </w:trPr>
        <w:tc>
          <w:tcPr>
            <w:tcW w:w="1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4"/>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300" w:type="dxa"/>
            <w:vAlign w:val="bottom"/>
          </w:tcPr>
          <w:p>
            <w:pPr>
              <w:spacing w:after="0"/>
              <w:rPr>
                <w:sz w:val="17"/>
                <w:szCs w:val="17"/>
                <w:color w:val="auto"/>
              </w:rPr>
            </w:pPr>
          </w:p>
        </w:tc>
        <w:tc>
          <w:tcPr>
            <w:tcW w:w="9460" w:type="dxa"/>
            <w:vAlign w:val="bottom"/>
            <w:tcBorders>
              <w:bottom w:val="single" w:sz="8" w:color="auto"/>
            </w:tcBorders>
          </w:tcPr>
          <w:p>
            <w:pPr>
              <w:ind w:left="430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1660" w:type="dxa"/>
            <w:vAlign w:val="bottom"/>
          </w:tcPr>
          <w:p>
            <w:pPr>
              <w:ind w:left="20"/>
              <w:spacing w:after="0"/>
              <w:rPr>
                <w:sz w:val="20"/>
                <w:szCs w:val="20"/>
                <w:color w:val="auto"/>
              </w:rPr>
            </w:pPr>
            <w:r>
              <w:rPr>
                <w:rFonts w:ascii="Arial" w:cs="Arial" w:eastAsia="Arial" w:hAnsi="Arial"/>
                <w:sz w:val="19"/>
                <w:szCs w:val="19"/>
                <w:color w:val="auto"/>
              </w:rPr>
              <w:t>10.9*</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1993 Stock Plan for Employees of Honeywell International Inc. and its Affiliates, as amended (incorporated by</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reference to Exhibit A to Honeywell’s Proxy Statement, dated March 10, 1994, filed pursuant to Rule 14a-6</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of the Securities and Exchange Act of 1934, and amended by Exhibit 10.1 to Honeywell’s Form 8-K filed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December 21, 2004, Exhibit 10.9 to Honeywell’s Form 10-K for the year ended December 31, 2006, Exhibit</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10.3 to Honeywell’s Form 10-Q for the quarter ended June 30, 2007 and Exhibit 10.9 to Honeywell’s Form</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10-K for the year ended December 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10.10*</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Honeywell International Inc. Supplemental Pension Plan, as amended and restated (incorporated by</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reference to Exhibit 10.10 to Honeywell’s Form 10-K for the year ended December 31, 2008) and amended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by the attached amendment (filed 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10.11*</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Employment Separation Agreement and Release between J. Kevin Gilligan and Honeywell International Inc.</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dated February 10, 2004 (incorporated by reference to Honeywell’s Form 10-K for year ended December</w:t>
            </w:r>
          </w:p>
        </w:tc>
      </w:tr>
      <w:tr>
        <w:trPr>
          <w:trHeight w:val="234"/>
        </w:trPr>
        <w:tc>
          <w:tcPr>
            <w:tcW w:w="1660" w:type="dxa"/>
            <w:vAlign w:val="bottom"/>
          </w:tcPr>
          <w:p>
            <w:pPr>
              <w:spacing w:after="0"/>
              <w:rPr>
                <w:sz w:val="20"/>
                <w:szCs w:val="20"/>
                <w:color w:val="auto"/>
              </w:rPr>
            </w:pPr>
          </w:p>
        </w:tc>
        <w:tc>
          <w:tcPr>
            <w:tcW w:w="9760" w:type="dxa"/>
            <w:vAlign w:val="bottom"/>
            <w:gridSpan w:val="2"/>
          </w:tcPr>
          <w:p>
            <w:pPr>
              <w:ind w:left="480"/>
              <w:spacing w:after="0"/>
              <w:rPr>
                <w:sz w:val="20"/>
                <w:szCs w:val="20"/>
                <w:color w:val="auto"/>
              </w:rPr>
            </w:pPr>
            <w:r>
              <w:rPr>
                <w:rFonts w:ascii="Arial" w:cs="Arial" w:eastAsia="Arial" w:hAnsi="Arial"/>
                <w:sz w:val="19"/>
                <w:szCs w:val="19"/>
                <w:color w:val="auto"/>
              </w:rPr>
              <w:t>31, 2003)</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10.12*</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Honeywell International Inc. Supplemental Executive Retirement Plan for Executives in Career Band 6 and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Above, as amended and restated (incorporated by reference to Exhibit 10.12 to Honeywell’s Form 10-K for</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the year ended December 31, 2008) and amended by the attached amendment (filed 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10.13*</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Honeywell Supplemental Defined Benefit Retirement Plan, as amended and restated (incorporated by</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reference to Exhibit 10.13 to Honeywell’s Form 10-K for the year ended December 31, 2008) and amended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by the attached amendment (filed 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10.14*</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Letter between David J. Anderson and Honeywell International Inc. dated June 12, 2003 (incorporated by</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reference to Exhibit 10.26 to Honeywell’s Form 10-Q for the quarter ended June 30, 2003 and amended by</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Exhibit 10.14 to Honeywell’s Form 10-K for the year ended December 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10.15*</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Employment Separation Agreement and Release between Richard F. Wallman and Honeywell International</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Inc. dated July 17, 2003 (incorporated by reference to Exhibit 10.2 to Honeywell’s Form 10-Q for the quarter</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ended September 30, 2003)</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10.16*</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Honeywell International Inc. Severance Plan for Corporate Staff Employees (Involuntary Termination</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Following a Change in Control), as amended and restated (incorporated by reference to Exhibit 10.16 to</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Honeywell’s Form 10-K for the year ended December 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10.17*</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Employment Agreement dated as of February 18, 2002 between Honeywell and David M. Cote (incorporated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by reference to Exhibit 10.24 to Honeywell’s Form 8-K filed March 4, 2002, and amended by Exhibit 10.3 to</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Honeywell’s Form 10-Q for the quarter ended September 30, 2008 and Exhibit 10.17 to Hoenywell’s Form</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10-K for the year ended December 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10.18*</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2003 Stock Incentive Plan for Employees of Honeywell International Inc. and its Affiliates Award Agreement</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10.1 to Honeywell’s Form 8-K filed February 7, 2005)</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10.19*</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2003 Stock Incentive Plan for Employees of Honeywell International Inc. and its Affiliates Restricted Unit</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Agreement (incorporated by reference to Exhibit 10.21 to Honeywell’s Form 10-K for the year ended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December 31, 2005)</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10.20*</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2003 Stock Incentive Plan for Employees of Honeywell International Inc. and its Affiliates Growth Plan</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Agreement (incorporated by reference to Exhibit 10.22 to Honeywell’s Form 10-K for the year ended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December 31, 2005)</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10.21*</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Stock Plan For Non-Employee Directors of Honeywell International Inc. Option Agreement (incorporated by</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reference to Exhibit 10.1 to Form 8-K filed April 29, 2005)</w:t>
            </w:r>
          </w:p>
        </w:tc>
      </w:tr>
      <w:tr>
        <w:trPr>
          <w:trHeight w:val="446"/>
        </w:trPr>
        <w:tc>
          <w:tcPr>
            <w:tcW w:w="1660" w:type="dxa"/>
            <w:vAlign w:val="bottom"/>
          </w:tcPr>
          <w:p>
            <w:pPr>
              <w:spacing w:after="0"/>
              <w:rPr>
                <w:sz w:val="24"/>
                <w:szCs w:val="24"/>
                <w:color w:val="auto"/>
              </w:rPr>
            </w:pPr>
          </w:p>
        </w:tc>
        <w:tc>
          <w:tcPr>
            <w:tcW w:w="9760" w:type="dxa"/>
            <w:vAlign w:val="bottom"/>
            <w:gridSpan w:val="2"/>
          </w:tcPr>
          <w:p>
            <w:pPr>
              <w:jc w:val="right"/>
              <w:ind w:right="5443"/>
              <w:spacing w:after="0"/>
              <w:rPr>
                <w:sz w:val="20"/>
                <w:szCs w:val="20"/>
                <w:color w:val="auto"/>
              </w:rPr>
            </w:pPr>
            <w:r>
              <w:rPr>
                <w:rFonts w:ascii="Arial" w:cs="Arial" w:eastAsia="Arial" w:hAnsi="Arial"/>
                <w:sz w:val="19"/>
                <w:szCs w:val="19"/>
                <w:color w:val="auto"/>
              </w:rPr>
              <w:t>112</w:t>
            </w:r>
          </w:p>
        </w:tc>
      </w:tr>
      <w:tr>
        <w:trPr>
          <w:trHeight w:val="209"/>
        </w:trPr>
        <w:tc>
          <w:tcPr>
            <w:tcW w:w="1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4"/>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300" w:type="dxa"/>
            <w:vAlign w:val="bottom"/>
          </w:tcPr>
          <w:p>
            <w:pPr>
              <w:spacing w:after="0"/>
              <w:rPr>
                <w:sz w:val="17"/>
                <w:szCs w:val="17"/>
                <w:color w:val="auto"/>
              </w:rPr>
            </w:pPr>
          </w:p>
        </w:tc>
        <w:tc>
          <w:tcPr>
            <w:tcW w:w="9460" w:type="dxa"/>
            <w:vAlign w:val="bottom"/>
            <w:tcBorders>
              <w:bottom w:val="single" w:sz="8" w:color="auto"/>
            </w:tcBorders>
          </w:tcPr>
          <w:p>
            <w:pPr>
              <w:ind w:left="430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1660" w:type="dxa"/>
            <w:vAlign w:val="bottom"/>
          </w:tcPr>
          <w:p>
            <w:pPr>
              <w:ind w:left="20"/>
              <w:spacing w:after="0"/>
              <w:rPr>
                <w:sz w:val="20"/>
                <w:szCs w:val="20"/>
                <w:color w:val="auto"/>
              </w:rPr>
            </w:pPr>
            <w:r>
              <w:rPr>
                <w:rFonts w:ascii="Arial" w:cs="Arial" w:eastAsia="Arial" w:hAnsi="Arial"/>
                <w:sz w:val="19"/>
                <w:szCs w:val="19"/>
                <w:color w:val="auto"/>
              </w:rPr>
              <w:t>10.22*</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Deferred Compensation Agreement dated August 4, 2006 between Honeywell and David M. Cote</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(incorporated by reference to Exhibit 10.22 to Honeywell’s Form 10-K for the year ended December 31,</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2006) and amended by the attached amendment (filed 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10.23*</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Letter Agreement dated July 27, 2001 between Honeywell and Larry E. Kittelberger (incorporated by</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reference to Exhibit 10.23 to Honeywell’s Form 10-K for the year ended December 31, 2006, and amended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by Exhibit 10.23 to Honeywell’s Form 10-K for the year ended December 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10.24*</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Honeywell Supplemental Retirement Plan (incorporated by reference to Exhibit 10.24 to Honeywell’s Form 10-</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K for the year ended December 31, 2006)</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10.25*</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Pittway Corporation Supplemental Executive Retirement Plan (incorporated by reference to Exhibit 10.25 to</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Honeywell’s Form 10-K for the year ended December 31, 2006 and amended by Exhibit 10.25 to</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Honeywell’s Form 10-K for the year ended December 31, 2008) and amended by the attached amendment</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(filed 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10.26*</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Incentive Plan of Honeywell International Inc. and Its Affiliates, as amended and restated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(incorporated by reference to Exhibit 10.26 to Honeywell’s Form 10-K for the year ended December 31,</w:t>
            </w:r>
          </w:p>
        </w:tc>
      </w:tr>
      <w:tr>
        <w:trPr>
          <w:trHeight w:val="234"/>
        </w:trPr>
        <w:tc>
          <w:tcPr>
            <w:tcW w:w="1660" w:type="dxa"/>
            <w:vAlign w:val="bottom"/>
          </w:tcPr>
          <w:p>
            <w:pPr>
              <w:spacing w:after="0"/>
              <w:rPr>
                <w:sz w:val="20"/>
                <w:szCs w:val="20"/>
                <w:color w:val="auto"/>
              </w:rPr>
            </w:pPr>
          </w:p>
        </w:tc>
        <w:tc>
          <w:tcPr>
            <w:tcW w:w="9760" w:type="dxa"/>
            <w:vAlign w:val="bottom"/>
            <w:gridSpan w:val="2"/>
          </w:tcPr>
          <w:p>
            <w:pPr>
              <w:ind w:left="480"/>
              <w:spacing w:after="0"/>
              <w:rPr>
                <w:sz w:val="20"/>
                <w:szCs w:val="20"/>
                <w:color w:val="auto"/>
              </w:rPr>
            </w:pPr>
            <w:r>
              <w:rPr>
                <w:rFonts w:ascii="Arial" w:cs="Arial" w:eastAsia="Arial" w:hAnsi="Arial"/>
                <w:sz w:val="19"/>
                <w:szCs w:val="19"/>
                <w:color w:val="auto"/>
              </w:rPr>
              <w:t>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10.27*</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Incentive Plan of Honeywell International Inc. and Its Affiliates—Form of Option Award Agreement</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10.2 to Honeywell’s Form 10-Q for the quarter ended March 31, 2009)</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10.28*</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Incentive Plan of Honeywell International Inc. and Its Affiliates—Form of Restricted Unit</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Agreement (incorporated by reference to Exhibit 10.1 to Honeywell’s Form 10-Q for the quarter ended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March 31, 2009)</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10.29*</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Incentive Plan of Honeywell International Inc. and Its Affiliates—Form of Growth Plan Agreement</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10.5 to Honeywell’s form 10-Q for the quarter ended June 30, 2006)</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10.30*</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Incentive Plan of Honeywell International Inc. and Its Affiliates Form of Performance Share</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Agreement (incorporated by reference to Exhibit 10.30 to Honeywell’s Form 10-K for the year ended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December 31, 2006)</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10.31*</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Plan for Non-Employee Directors of Honeywell International Inc., as amended and restated</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(incorporated by reference to Exhibit 10.31 to Honeywell’s Form 10-K for the year ended December 31,</w:t>
            </w:r>
          </w:p>
        </w:tc>
      </w:tr>
      <w:tr>
        <w:trPr>
          <w:trHeight w:val="234"/>
        </w:trPr>
        <w:tc>
          <w:tcPr>
            <w:tcW w:w="1660" w:type="dxa"/>
            <w:vAlign w:val="bottom"/>
          </w:tcPr>
          <w:p>
            <w:pPr>
              <w:spacing w:after="0"/>
              <w:rPr>
                <w:sz w:val="20"/>
                <w:szCs w:val="20"/>
                <w:color w:val="auto"/>
              </w:rPr>
            </w:pPr>
          </w:p>
        </w:tc>
        <w:tc>
          <w:tcPr>
            <w:tcW w:w="9760" w:type="dxa"/>
            <w:vAlign w:val="bottom"/>
            <w:gridSpan w:val="2"/>
          </w:tcPr>
          <w:p>
            <w:pPr>
              <w:ind w:left="480"/>
              <w:spacing w:after="0"/>
              <w:rPr>
                <w:sz w:val="20"/>
                <w:szCs w:val="20"/>
                <w:color w:val="auto"/>
              </w:rPr>
            </w:pPr>
            <w:r>
              <w:rPr>
                <w:rFonts w:ascii="Arial" w:cs="Arial" w:eastAsia="Arial" w:hAnsi="Arial"/>
                <w:sz w:val="19"/>
                <w:szCs w:val="19"/>
                <w:color w:val="auto"/>
              </w:rPr>
              <w:t>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10.32*</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Plan for Non-Employee Directors of Honeywell International Inc.—Form of Option Agreement</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10.7 to Honeywell’s Form10-Q for the quarter ended June 30, 2006)</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10.33*</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Plan for Non-Employee Directors of Honeywell International Inc.—Form of Restricted Stock</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Agreement (incorporated by reference to Exhibit 10.8 to Honeywell’s Form 10-Q for the quarter ended June</w:t>
            </w:r>
          </w:p>
        </w:tc>
      </w:tr>
      <w:tr>
        <w:trPr>
          <w:trHeight w:val="234"/>
        </w:trPr>
        <w:tc>
          <w:tcPr>
            <w:tcW w:w="1660" w:type="dxa"/>
            <w:vAlign w:val="bottom"/>
          </w:tcPr>
          <w:p>
            <w:pPr>
              <w:spacing w:after="0"/>
              <w:rPr>
                <w:sz w:val="20"/>
                <w:szCs w:val="20"/>
                <w:color w:val="auto"/>
              </w:rPr>
            </w:pPr>
          </w:p>
        </w:tc>
        <w:tc>
          <w:tcPr>
            <w:tcW w:w="9760" w:type="dxa"/>
            <w:vAlign w:val="bottom"/>
            <w:gridSpan w:val="2"/>
          </w:tcPr>
          <w:p>
            <w:pPr>
              <w:ind w:left="480"/>
              <w:spacing w:after="0"/>
              <w:rPr>
                <w:sz w:val="20"/>
                <w:szCs w:val="20"/>
                <w:color w:val="auto"/>
              </w:rPr>
            </w:pPr>
            <w:r>
              <w:rPr>
                <w:rFonts w:ascii="Arial" w:cs="Arial" w:eastAsia="Arial" w:hAnsi="Arial"/>
                <w:sz w:val="19"/>
                <w:szCs w:val="19"/>
                <w:color w:val="auto"/>
              </w:rPr>
              <w:t>30, 2006)</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10.34*</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2006 Stock Plan for Non-Employee Directors of Honeywell International Inc.—Form of Restricted Unit</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Agreement (incorporated by reference to Exhibit 10.34 to Honeywell’s Form 10-K for the year ended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December 31,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10.35*</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2007 Honeywell Global Employee Stock Plan (incorporated by reference to Honeywell’s Proxy Statement,</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dated March 12, 2007, filed pursuant to Rule 14a-6 of the Securities and Exchange Act of 1934)</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10.36*</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Letter Agreement dated July 20, 2007 between Honeywell and Roger Fradin (incorporated by reference to</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Exhibit 10.1 to Honeywell’s Form 10-Q for the quarter ended September 30, 2007) and amended by the</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attached amendment (filed herewith)</w:t>
            </w:r>
          </w:p>
        </w:tc>
      </w:tr>
      <w:tr>
        <w:trPr>
          <w:trHeight w:val="446"/>
        </w:trPr>
        <w:tc>
          <w:tcPr>
            <w:tcW w:w="1660" w:type="dxa"/>
            <w:vAlign w:val="bottom"/>
          </w:tcPr>
          <w:p>
            <w:pPr>
              <w:spacing w:after="0"/>
              <w:rPr>
                <w:sz w:val="24"/>
                <w:szCs w:val="24"/>
                <w:color w:val="auto"/>
              </w:rPr>
            </w:pPr>
          </w:p>
        </w:tc>
        <w:tc>
          <w:tcPr>
            <w:tcW w:w="9760" w:type="dxa"/>
            <w:vAlign w:val="bottom"/>
            <w:gridSpan w:val="2"/>
          </w:tcPr>
          <w:p>
            <w:pPr>
              <w:jc w:val="right"/>
              <w:ind w:right="5443"/>
              <w:spacing w:after="0"/>
              <w:rPr>
                <w:sz w:val="20"/>
                <w:szCs w:val="20"/>
                <w:color w:val="auto"/>
              </w:rPr>
            </w:pPr>
            <w:r>
              <w:rPr>
                <w:rFonts w:ascii="Arial" w:cs="Arial" w:eastAsia="Arial" w:hAnsi="Arial"/>
                <w:sz w:val="19"/>
                <w:szCs w:val="19"/>
                <w:color w:val="auto"/>
              </w:rPr>
              <w:t>113</w:t>
            </w:r>
          </w:p>
        </w:tc>
      </w:tr>
      <w:tr>
        <w:trPr>
          <w:trHeight w:val="209"/>
        </w:trPr>
        <w:tc>
          <w:tcPr>
            <w:tcW w:w="1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4"/>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300" w:type="dxa"/>
            <w:vAlign w:val="bottom"/>
          </w:tcPr>
          <w:p>
            <w:pPr>
              <w:spacing w:after="0"/>
              <w:rPr>
                <w:sz w:val="17"/>
                <w:szCs w:val="17"/>
                <w:color w:val="auto"/>
              </w:rPr>
            </w:pPr>
          </w:p>
        </w:tc>
        <w:tc>
          <w:tcPr>
            <w:tcW w:w="9460" w:type="dxa"/>
            <w:vAlign w:val="bottom"/>
            <w:tcBorders>
              <w:bottom w:val="single" w:sz="8" w:color="auto"/>
            </w:tcBorders>
          </w:tcPr>
          <w:p>
            <w:pPr>
              <w:ind w:left="430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1660" w:type="dxa"/>
            <w:vAlign w:val="bottom"/>
          </w:tcPr>
          <w:p>
            <w:pPr>
              <w:ind w:left="20"/>
              <w:spacing w:after="0"/>
              <w:rPr>
                <w:sz w:val="20"/>
                <w:szCs w:val="20"/>
                <w:color w:val="auto"/>
              </w:rPr>
            </w:pPr>
            <w:r>
              <w:rPr>
                <w:rFonts w:ascii="Arial" w:cs="Arial" w:eastAsia="Arial" w:hAnsi="Arial"/>
                <w:sz w:val="19"/>
                <w:szCs w:val="19"/>
                <w:color w:val="auto"/>
              </w:rPr>
              <w:t>10.37</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Amended and Restated Five Year Credit Agreement dated as of May 14, 2007 by and among Honeywell</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International Inc., the banks, financial institutions and other institutional lenders parties thereto, Citicorp</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USA, Inc., as administrative agent, Citibank International PLC, as swing line agent, JPMorgan Chase Bank,</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N.A., as syndication agent, Bank of America, N.A., Barclays Bank PLC, Deutsche Bank AG New York</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Branch and UBS Loan Finance LLC, as documentation agents, and Citigroup Global Markets Inc. and J.P.</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Morgan Securities Inc., as joint lead arrangers and co- book managers (incorporated by reference to Exhibit</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10.1 to Honeywell’s 8-K filed May 18, 2007)</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10.38</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Purchase and Sale Agreement between Catalysts, Adsorbents and Process Systems, Inc., and Honeywell</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Specialty Materials, LLC, dated September 30, 2005 (incorporated by reference to Exhibit 10.23 to</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Honeywell’s Form 10-Q for the quarter ended September 30, 2005)</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10.39</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Stock Purchase Agreement by and between Honeywell International Inc. and M&amp;F Worldwide Corp.</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(incorporated by reference to Exhibit 2.1 to Honeywell’s Form 8-K filed November 1, 2005)</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10.40</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Stock Purchase Agreement dated April 3, 2008 by and among Honeywell International Inc., Safety Products</w:t>
            </w: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180"/>
              <w:spacing w:after="0" w:line="216" w:lineRule="exact"/>
              <w:rPr>
                <w:sz w:val="20"/>
                <w:szCs w:val="20"/>
                <w:color w:val="auto"/>
              </w:rPr>
            </w:pPr>
            <w:r>
              <w:rPr>
                <w:rFonts w:ascii="Arial" w:cs="Arial" w:eastAsia="Arial" w:hAnsi="Arial"/>
                <w:sz w:val="19"/>
                <w:szCs w:val="19"/>
                <w:color w:val="auto"/>
              </w:rPr>
              <w:t>Holdings, Inc., the selling shareholders party thereto, and Odyssey Investment Services, L.L.C.</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10.1 to Honeywell’s Form 8-K filed April 7, 2008)</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10.41</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Stock and Asset Purchase Agreement dated June 9, 2008, by and between Honeywell International Inc. and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BE Aerospace, Inc. (incorporated by reference to Exhibit 10.1 to Honeywell’s Form 8-K filed June 11, 2008)</w:t>
            </w:r>
          </w:p>
        </w:tc>
      </w:tr>
      <w:tr>
        <w:trPr>
          <w:trHeight w:val="243"/>
        </w:trPr>
        <w:tc>
          <w:tcPr>
            <w:tcW w:w="1660" w:type="dxa"/>
            <w:vAlign w:val="bottom"/>
          </w:tcPr>
          <w:p>
            <w:pPr>
              <w:ind w:left="20"/>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21"/>
                <w:szCs w:val="21"/>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Statement re: Computation of Ratio of Earnings to Fixed Charges (filed herewith)</w:t>
            </w:r>
          </w:p>
        </w:tc>
      </w:tr>
      <w:tr>
        <w:trPr>
          <w:trHeight w:val="270"/>
        </w:trPr>
        <w:tc>
          <w:tcPr>
            <w:tcW w:w="1660" w:type="dxa"/>
            <w:vAlign w:val="bottom"/>
          </w:tcPr>
          <w:p>
            <w:pPr>
              <w:ind w:left="20"/>
              <w:spacing w:after="0"/>
              <w:rPr>
                <w:sz w:val="20"/>
                <w:szCs w:val="20"/>
                <w:color w:val="auto"/>
              </w:rPr>
            </w:pPr>
            <w:r>
              <w:rPr>
                <w:rFonts w:ascii="Arial" w:cs="Arial" w:eastAsia="Arial" w:hAnsi="Arial"/>
                <w:sz w:val="19"/>
                <w:szCs w:val="19"/>
                <w:color w:val="auto"/>
              </w:rPr>
              <w:t>21</w:t>
            </w:r>
          </w:p>
        </w:tc>
        <w:tc>
          <w:tcPr>
            <w:tcW w:w="30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Subsidiaries of the Registrant (filed herewith)</w:t>
            </w:r>
          </w:p>
        </w:tc>
      </w:tr>
      <w:tr>
        <w:trPr>
          <w:trHeight w:val="270"/>
        </w:trPr>
        <w:tc>
          <w:tcPr>
            <w:tcW w:w="1660" w:type="dxa"/>
            <w:vAlign w:val="bottom"/>
          </w:tcPr>
          <w:p>
            <w:pPr>
              <w:ind w:left="20"/>
              <w:spacing w:after="0"/>
              <w:rPr>
                <w:sz w:val="20"/>
                <w:szCs w:val="20"/>
                <w:color w:val="auto"/>
              </w:rPr>
            </w:pPr>
            <w:r>
              <w:rPr>
                <w:rFonts w:ascii="Arial" w:cs="Arial" w:eastAsia="Arial" w:hAnsi="Arial"/>
                <w:sz w:val="19"/>
                <w:szCs w:val="19"/>
                <w:color w:val="auto"/>
              </w:rPr>
              <w:t>23</w:t>
            </w:r>
          </w:p>
        </w:tc>
        <w:tc>
          <w:tcPr>
            <w:tcW w:w="30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Consent of PricewaterhouseCoopers LLP (filed herewith)</w:t>
            </w:r>
          </w:p>
        </w:tc>
      </w:tr>
      <w:tr>
        <w:trPr>
          <w:trHeight w:val="270"/>
        </w:trPr>
        <w:tc>
          <w:tcPr>
            <w:tcW w:w="1660" w:type="dxa"/>
            <w:vAlign w:val="bottom"/>
          </w:tcPr>
          <w:p>
            <w:pPr>
              <w:ind w:left="20"/>
              <w:spacing w:after="0"/>
              <w:rPr>
                <w:sz w:val="20"/>
                <w:szCs w:val="20"/>
                <w:color w:val="auto"/>
              </w:rPr>
            </w:pPr>
            <w:r>
              <w:rPr>
                <w:rFonts w:ascii="Arial" w:cs="Arial" w:eastAsia="Arial" w:hAnsi="Arial"/>
                <w:sz w:val="19"/>
                <w:szCs w:val="19"/>
                <w:color w:val="auto"/>
              </w:rPr>
              <w:t>24</w:t>
            </w:r>
          </w:p>
        </w:tc>
        <w:tc>
          <w:tcPr>
            <w:tcW w:w="30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Powers of Attorney (filed herewith)</w:t>
            </w:r>
          </w:p>
        </w:tc>
      </w:tr>
      <w:tr>
        <w:trPr>
          <w:trHeight w:val="253"/>
        </w:trPr>
        <w:tc>
          <w:tcPr>
            <w:tcW w:w="1660" w:type="dxa"/>
            <w:vAlign w:val="bottom"/>
          </w:tcPr>
          <w:p>
            <w:pPr>
              <w:ind w:left="20"/>
              <w:spacing w:after="0"/>
              <w:rPr>
                <w:sz w:val="20"/>
                <w:szCs w:val="20"/>
                <w:color w:val="auto"/>
              </w:rPr>
            </w:pPr>
            <w:r>
              <w:rPr>
                <w:rFonts w:ascii="Arial" w:cs="Arial" w:eastAsia="Arial" w:hAnsi="Arial"/>
                <w:sz w:val="19"/>
                <w:szCs w:val="19"/>
                <w:color w:val="auto"/>
              </w:rPr>
              <w:t>31.1</w:t>
            </w:r>
          </w:p>
        </w:tc>
        <w:tc>
          <w:tcPr>
            <w:tcW w:w="300" w:type="dxa"/>
            <w:vAlign w:val="bottom"/>
          </w:tcPr>
          <w:p>
            <w:pPr>
              <w:spacing w:after="0"/>
              <w:rPr>
                <w:sz w:val="21"/>
                <w:szCs w:val="21"/>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Certification of Principal Executive Officer Pursuant to Section 302 of the Sarbanes-Oxley Act of 2002 (filed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31.2</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Certification of Principal Financial Officer Pursuant to Section 302 of the Sarbanes-Oxley Act of 2002 (filed</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32.1</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Certification of Principal Executive Officer Pursuant to 18 U.S.C. Section 1350, as Adopted Pursuant to</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Section 906 of the Sarbanes-Oxley Act of 2002 (filed herewith)</w:t>
            </w:r>
          </w:p>
        </w:tc>
      </w:tr>
      <w:tr>
        <w:trPr>
          <w:trHeight w:val="226"/>
        </w:trPr>
        <w:tc>
          <w:tcPr>
            <w:tcW w:w="1660" w:type="dxa"/>
            <w:vAlign w:val="bottom"/>
          </w:tcPr>
          <w:p>
            <w:pPr>
              <w:ind w:left="20"/>
              <w:spacing w:after="0"/>
              <w:rPr>
                <w:sz w:val="20"/>
                <w:szCs w:val="20"/>
                <w:color w:val="auto"/>
              </w:rPr>
            </w:pPr>
            <w:r>
              <w:rPr>
                <w:rFonts w:ascii="Arial" w:cs="Arial" w:eastAsia="Arial" w:hAnsi="Arial"/>
                <w:sz w:val="19"/>
                <w:szCs w:val="19"/>
                <w:color w:val="auto"/>
              </w:rPr>
              <w:t>32.2</w:t>
            </w:r>
          </w:p>
        </w:tc>
        <w:tc>
          <w:tcPr>
            <w:tcW w:w="3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Certification of Principal Financial Officer Pursuant to 18 U.S.C. Section 1350, as Adopted Pursuant to</w:t>
            </w: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9"/>
                <w:szCs w:val="19"/>
                <w:color w:val="auto"/>
              </w:rPr>
              <w:t>Section 906 of the Sarbanes-Oxley Act of 2002 (filed herewith)</w:t>
            </w:r>
          </w:p>
        </w:tc>
      </w:tr>
      <w:tr>
        <w:trPr>
          <w:trHeight w:val="243"/>
        </w:trPr>
        <w:tc>
          <w:tcPr>
            <w:tcW w:w="1660" w:type="dxa"/>
            <w:vAlign w:val="bottom"/>
          </w:tcPr>
          <w:p>
            <w:pPr>
              <w:ind w:left="20"/>
              <w:spacing w:after="0"/>
              <w:rPr>
                <w:sz w:val="20"/>
                <w:szCs w:val="20"/>
                <w:color w:val="auto"/>
              </w:rPr>
            </w:pPr>
            <w:r>
              <w:rPr>
                <w:rFonts w:ascii="Arial" w:cs="Arial" w:eastAsia="Arial" w:hAnsi="Arial"/>
                <w:sz w:val="19"/>
                <w:szCs w:val="19"/>
                <w:color w:val="auto"/>
              </w:rPr>
              <w:t>101.INS</w:t>
            </w:r>
          </w:p>
        </w:tc>
        <w:tc>
          <w:tcPr>
            <w:tcW w:w="300" w:type="dxa"/>
            <w:vAlign w:val="bottom"/>
          </w:tcPr>
          <w:p>
            <w:pPr>
              <w:spacing w:after="0"/>
              <w:rPr>
                <w:sz w:val="21"/>
                <w:szCs w:val="21"/>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XBRL Instance Document (furnished herewith)</w:t>
            </w:r>
          </w:p>
        </w:tc>
      </w:tr>
      <w:tr>
        <w:trPr>
          <w:trHeight w:val="270"/>
        </w:trPr>
        <w:tc>
          <w:tcPr>
            <w:tcW w:w="1660" w:type="dxa"/>
            <w:vAlign w:val="bottom"/>
          </w:tcPr>
          <w:p>
            <w:pPr>
              <w:ind w:left="20"/>
              <w:spacing w:after="0"/>
              <w:rPr>
                <w:sz w:val="20"/>
                <w:szCs w:val="20"/>
                <w:color w:val="auto"/>
              </w:rPr>
            </w:pPr>
            <w:r>
              <w:rPr>
                <w:rFonts w:ascii="Arial" w:cs="Arial" w:eastAsia="Arial" w:hAnsi="Arial"/>
                <w:sz w:val="19"/>
                <w:szCs w:val="19"/>
                <w:color w:val="auto"/>
              </w:rPr>
              <w:t>101.SCH</w:t>
            </w:r>
          </w:p>
        </w:tc>
        <w:tc>
          <w:tcPr>
            <w:tcW w:w="30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XBRL Taxonomy Extension Schema (furnished herewith)</w:t>
            </w:r>
          </w:p>
        </w:tc>
      </w:tr>
      <w:tr>
        <w:trPr>
          <w:trHeight w:val="270"/>
        </w:trPr>
        <w:tc>
          <w:tcPr>
            <w:tcW w:w="1660" w:type="dxa"/>
            <w:vAlign w:val="bottom"/>
          </w:tcPr>
          <w:p>
            <w:pPr>
              <w:ind w:left="20"/>
              <w:spacing w:after="0"/>
              <w:rPr>
                <w:sz w:val="20"/>
                <w:szCs w:val="20"/>
                <w:color w:val="auto"/>
              </w:rPr>
            </w:pPr>
            <w:r>
              <w:rPr>
                <w:rFonts w:ascii="Arial" w:cs="Arial" w:eastAsia="Arial" w:hAnsi="Arial"/>
                <w:sz w:val="19"/>
                <w:szCs w:val="19"/>
                <w:color w:val="auto"/>
              </w:rPr>
              <w:t>101.CAL</w:t>
            </w:r>
          </w:p>
        </w:tc>
        <w:tc>
          <w:tcPr>
            <w:tcW w:w="30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XBRL Taxonomy Extension Calculation Linkbase (furnished herewith)</w:t>
            </w:r>
          </w:p>
        </w:tc>
      </w:tr>
      <w:tr>
        <w:trPr>
          <w:trHeight w:val="270"/>
        </w:trPr>
        <w:tc>
          <w:tcPr>
            <w:tcW w:w="1660" w:type="dxa"/>
            <w:vAlign w:val="bottom"/>
          </w:tcPr>
          <w:p>
            <w:pPr>
              <w:ind w:left="20"/>
              <w:spacing w:after="0"/>
              <w:rPr>
                <w:sz w:val="20"/>
                <w:szCs w:val="20"/>
                <w:color w:val="auto"/>
              </w:rPr>
            </w:pPr>
            <w:r>
              <w:rPr>
                <w:rFonts w:ascii="Arial" w:cs="Arial" w:eastAsia="Arial" w:hAnsi="Arial"/>
                <w:sz w:val="19"/>
                <w:szCs w:val="19"/>
                <w:color w:val="auto"/>
              </w:rPr>
              <w:t>101.DEF</w:t>
            </w:r>
          </w:p>
        </w:tc>
        <w:tc>
          <w:tcPr>
            <w:tcW w:w="30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XBRL Taxonomy Extension Definition Linkbase (furnished herewith)</w:t>
            </w:r>
          </w:p>
        </w:tc>
      </w:tr>
      <w:tr>
        <w:trPr>
          <w:trHeight w:val="270"/>
        </w:trPr>
        <w:tc>
          <w:tcPr>
            <w:tcW w:w="1660" w:type="dxa"/>
            <w:vAlign w:val="bottom"/>
          </w:tcPr>
          <w:p>
            <w:pPr>
              <w:ind w:left="20"/>
              <w:spacing w:after="0"/>
              <w:rPr>
                <w:sz w:val="20"/>
                <w:szCs w:val="20"/>
                <w:color w:val="auto"/>
              </w:rPr>
            </w:pPr>
            <w:r>
              <w:rPr>
                <w:rFonts w:ascii="Arial" w:cs="Arial" w:eastAsia="Arial" w:hAnsi="Arial"/>
                <w:sz w:val="19"/>
                <w:szCs w:val="19"/>
                <w:color w:val="auto"/>
              </w:rPr>
              <w:t>101.LAB</w:t>
            </w:r>
          </w:p>
        </w:tc>
        <w:tc>
          <w:tcPr>
            <w:tcW w:w="30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XBRL Taxonomy Extension Label Linkbase (furnished herewith)</w:t>
            </w:r>
          </w:p>
        </w:tc>
      </w:tr>
      <w:tr>
        <w:trPr>
          <w:trHeight w:val="270"/>
        </w:trPr>
        <w:tc>
          <w:tcPr>
            <w:tcW w:w="1660" w:type="dxa"/>
            <w:vAlign w:val="bottom"/>
          </w:tcPr>
          <w:p>
            <w:pPr>
              <w:ind w:left="20"/>
              <w:spacing w:after="0"/>
              <w:rPr>
                <w:sz w:val="20"/>
                <w:szCs w:val="20"/>
                <w:color w:val="auto"/>
              </w:rPr>
            </w:pPr>
            <w:r>
              <w:rPr>
                <w:rFonts w:ascii="Arial" w:cs="Arial" w:eastAsia="Arial" w:hAnsi="Arial"/>
                <w:sz w:val="19"/>
                <w:szCs w:val="19"/>
                <w:color w:val="auto"/>
              </w:rPr>
              <w:t>101.PRE</w:t>
            </w:r>
          </w:p>
        </w:tc>
        <w:tc>
          <w:tcPr>
            <w:tcW w:w="30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Arial" w:cs="Arial" w:eastAsia="Arial" w:hAnsi="Arial"/>
                <w:sz w:val="19"/>
                <w:szCs w:val="19"/>
                <w:color w:val="auto"/>
              </w:rPr>
              <w:t>XBRL Taxonomy Extension Presentation Linkbase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57023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560" w:right="1020" w:hanging="5186"/>
        <w:spacing w:after="0" w:line="372" w:lineRule="auto"/>
        <w:rPr>
          <w:sz w:val="20"/>
          <w:szCs w:val="20"/>
          <w:color w:val="auto"/>
        </w:rPr>
      </w:pPr>
      <w:r>
        <w:rPr>
          <w:rFonts w:ascii="Arial" w:cs="Arial" w:eastAsia="Arial" w:hAnsi="Arial"/>
          <w:sz w:val="19"/>
          <w:szCs w:val="19"/>
          <w:color w:val="auto"/>
        </w:rPr>
        <w:t>The Exhibits identified above with an asterisk (*) are management contracts or compensatory plans or arrangements.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8" w:name="page119"/>
    <w:bookmarkEnd w:id="118"/>
    <w:p>
      <w:pPr>
        <w:jc w:val="center"/>
        <w:ind w:left="1460"/>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left="1460"/>
        <w:spacing w:after="0"/>
        <w:rPr>
          <w:sz w:val="20"/>
          <w:szCs w:val="20"/>
          <w:color w:val="auto"/>
        </w:rPr>
      </w:pPr>
      <w:r>
        <w:rPr>
          <w:rFonts w:ascii="Arial" w:cs="Arial" w:eastAsia="Arial" w:hAnsi="Arial"/>
          <w:sz w:val="19"/>
          <w:szCs w:val="19"/>
          <w:b w:val="1"/>
          <w:bCs w:val="1"/>
          <w:color w:val="auto"/>
        </w:rPr>
        <w:t>SCHEDULE II—VALUATION AND QUALIFYING ACCOUNTS</w:t>
      </w:r>
    </w:p>
    <w:p>
      <w:pPr>
        <w:jc w:val="center"/>
        <w:ind w:left="1460"/>
        <w:spacing w:after="0" w:line="232" w:lineRule="auto"/>
        <w:rPr>
          <w:sz w:val="20"/>
          <w:szCs w:val="20"/>
          <w:color w:val="auto"/>
        </w:rPr>
      </w:pPr>
      <w:r>
        <w:rPr>
          <w:rFonts w:ascii="Arial" w:cs="Arial" w:eastAsia="Arial" w:hAnsi="Arial"/>
          <w:sz w:val="16"/>
          <w:szCs w:val="16"/>
          <w:b w:val="1"/>
          <w:bCs w:val="1"/>
          <w:color w:val="auto"/>
        </w:rPr>
        <w:t>Three Years Ended December 31, 2009</w:t>
      </w:r>
    </w:p>
    <w:p>
      <w:pPr>
        <w:spacing w:after="0" w:line="1" w:lineRule="exact"/>
        <w:rPr>
          <w:sz w:val="20"/>
          <w:szCs w:val="20"/>
          <w:color w:val="auto"/>
        </w:rPr>
      </w:pPr>
    </w:p>
    <w:p>
      <w:pPr>
        <w:jc w:val="center"/>
        <w:ind w:left="1460"/>
        <w:spacing w:after="0"/>
        <w:rPr>
          <w:sz w:val="20"/>
          <w:szCs w:val="20"/>
          <w:color w:val="auto"/>
        </w:rPr>
      </w:pPr>
      <w:r>
        <w:rPr>
          <w:rFonts w:ascii="Arial" w:cs="Arial" w:eastAsia="Arial" w:hAnsi="Arial"/>
          <w:sz w:val="16"/>
          <w:szCs w:val="16"/>
          <w:b w:val="1"/>
          <w:bCs w:val="1"/>
          <w:color w:val="auto"/>
        </w:rPr>
        <w:t>(In millions)</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December 31, 2006</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Provision charged 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Deductions from reserves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Provision charged to income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Deductions from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Acquisitions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Provision charged to income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Deductions from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Acquisitions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December 31, 2009</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Tax Assets—Valuation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December 31, 2006</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Additions charged to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Reductions credited to income tax expense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Additions charged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Reductions credited to deferred tax assets, due to expired NOL</w:t>
      </w:r>
    </w:p>
    <w:p>
      <w:pPr>
        <w:spacing w:after="0" w:line="52" w:lineRule="exact"/>
        <w:rPr>
          <w:sz w:val="20"/>
          <w:szCs w:val="20"/>
          <w:color w:val="auto"/>
        </w:rPr>
      </w:pPr>
    </w:p>
    <w:p>
      <w:pPr>
        <w:ind w:left="380" w:right="3240"/>
        <w:spacing w:after="0" w:line="313" w:lineRule="auto"/>
        <w:rPr>
          <w:sz w:val="20"/>
          <w:szCs w:val="20"/>
          <w:color w:val="auto"/>
        </w:rPr>
      </w:pPr>
      <w:r>
        <w:rPr>
          <w:rFonts w:ascii="Arial" w:cs="Arial" w:eastAsia="Arial" w:hAnsi="Arial"/>
          <w:sz w:val="19"/>
          <w:szCs w:val="19"/>
          <w:color w:val="auto"/>
        </w:rPr>
        <w:t>Additions charged to deferred tax assets, due to capital loss carryforwards Reductions credited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Additions charged to income tax expense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Reductions credited to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Reductions charged to deferred tax assets due to expiring NOLs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Reductions charged to deferred tax assets due to capital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Additions charged to equity</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Reductions credited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December 31, 2008</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Additions charged to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Reductions credited to income tax expense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Reductions charged to deferred tax asset due to expired NOL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right="3120"/>
        <w:spacing w:after="0" w:line="313" w:lineRule="auto"/>
        <w:rPr>
          <w:sz w:val="20"/>
          <w:szCs w:val="20"/>
          <w:color w:val="auto"/>
        </w:rPr>
      </w:pPr>
      <w:r>
        <w:rPr>
          <w:rFonts w:ascii="Arial" w:cs="Arial" w:eastAsia="Arial" w:hAnsi="Arial"/>
          <w:sz w:val="19"/>
          <w:szCs w:val="19"/>
          <w:color w:val="auto"/>
        </w:rPr>
        <w:t>Reductions charged to deferred tax assets due to capital loss carryforwards Additions charged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December 31, 2009</w:t>
      </w:r>
    </w:p>
    <w:p>
      <w:pPr>
        <w:spacing w:after="0" w:line="200"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40" w:hanging="236"/>
        <w:spacing w:after="0"/>
        <w:tabs>
          <w:tab w:leader="none" w:pos="2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217</w:t>
      </w:r>
    </w:p>
    <w:p>
      <w:pPr>
        <w:spacing w:after="0" w:line="51" w:lineRule="exact"/>
        <w:rPr>
          <w:rFonts w:ascii="Arial" w:cs="Arial" w:eastAsia="Arial" w:hAnsi="Arial"/>
          <w:sz w:val="19"/>
          <w:szCs w:val="19"/>
          <w:color w:val="auto"/>
        </w:rPr>
      </w:pPr>
    </w:p>
    <w:p>
      <w:pPr>
        <w:ind w:left="360"/>
        <w:spacing w:after="0"/>
        <w:rPr>
          <w:rFonts w:ascii="Arial" w:cs="Arial" w:eastAsia="Arial" w:hAnsi="Arial"/>
          <w:sz w:val="19"/>
          <w:szCs w:val="19"/>
          <w:color w:val="auto"/>
        </w:rPr>
      </w:pPr>
      <w:r>
        <w:rPr>
          <w:rFonts w:ascii="Arial" w:cs="Arial" w:eastAsia="Arial" w:hAnsi="Arial"/>
          <w:sz w:val="19"/>
          <w:szCs w:val="19"/>
          <w:color w:val="auto"/>
        </w:rPr>
        <w:t>79</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4889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9"/>
          <w:szCs w:val="19"/>
          <w:color w:val="auto"/>
        </w:rPr>
        <w:t>181</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93</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(94 )</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4889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9"/>
          <w:szCs w:val="19"/>
          <w:color w:val="auto"/>
        </w:rPr>
        <w:t>186</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177</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(134 )</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4889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color w:val="auto"/>
        </w:rPr>
        <w:t>$  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4889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24130</wp:posOffset>
            </wp:positionV>
            <wp:extent cx="4889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40" w:hanging="236"/>
        <w:spacing w:after="0"/>
        <w:tabs>
          <w:tab w:leader="none" w:pos="2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516</w:t>
      </w:r>
    </w:p>
    <w:p>
      <w:pPr>
        <w:spacing w:after="0" w:line="51" w:lineRule="exact"/>
        <w:rPr>
          <w:rFonts w:ascii="Arial" w:cs="Arial" w:eastAsia="Arial" w:hAnsi="Arial"/>
          <w:sz w:val="19"/>
          <w:szCs w:val="19"/>
          <w:color w:val="auto"/>
        </w:rPr>
      </w:pPr>
    </w:p>
    <w:p>
      <w:pPr>
        <w:ind w:left="360"/>
        <w:spacing w:after="0"/>
        <w:rPr>
          <w:rFonts w:ascii="Arial" w:cs="Arial" w:eastAsia="Arial" w:hAnsi="Arial"/>
          <w:sz w:val="19"/>
          <w:szCs w:val="19"/>
          <w:color w:val="auto"/>
        </w:rPr>
      </w:pPr>
      <w:r>
        <w:rPr>
          <w:rFonts w:ascii="Arial" w:cs="Arial" w:eastAsia="Arial" w:hAnsi="Arial"/>
          <w:sz w:val="19"/>
          <w:szCs w:val="19"/>
          <w:color w:val="auto"/>
        </w:rPr>
        <w:t>56</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(114 )</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28</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(19 )</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51</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4889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9"/>
          <w:szCs w:val="19"/>
          <w:color w:val="auto"/>
        </w:rPr>
        <w:t>490</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112</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(54 )</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(8 )</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(7 )</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(51 )</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4889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9"/>
          <w:szCs w:val="19"/>
          <w:color w:val="auto"/>
        </w:rPr>
        <w:t>445</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142</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(30 )</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9"/>
          <w:szCs w:val="19"/>
          <w:color w:val="auto"/>
        </w:rPr>
        <w:t>3</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(9 )</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4889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color w:val="auto"/>
        </w:rPr>
        <w:t>$  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4889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24130</wp:posOffset>
            </wp:positionV>
            <wp:extent cx="4889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2">
            <w:col w:w="9980" w:space="720"/>
            <w:col w:w="660"/>
          </w:cols>
          <w:pgMar w:left="240" w:top="105" w:right="2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10.7</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PLAN FOR SENIOR EXECUTIVES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as of January 1, 2009)</w:t>
      </w:r>
    </w:p>
    <w:p>
      <w:pPr>
        <w:spacing w:after="0" w:line="219" w:lineRule="exact"/>
        <w:rPr>
          <w:sz w:val="20"/>
          <w:szCs w:val="20"/>
          <w:color w:val="auto"/>
        </w:rPr>
      </w:pPr>
    </w:p>
    <w:p>
      <w:pPr>
        <w:ind w:right="280" w:firstLine="878"/>
        <w:spacing w:after="0" w:line="256" w:lineRule="auto"/>
        <w:rPr>
          <w:sz w:val="20"/>
          <w:szCs w:val="20"/>
          <w:color w:val="auto"/>
        </w:rPr>
      </w:pPr>
      <w:r>
        <w:rPr>
          <w:rFonts w:ascii="Arial" w:cs="Arial" w:eastAsia="Arial" w:hAnsi="Arial"/>
          <w:sz w:val="18"/>
          <w:szCs w:val="18"/>
          <w:color w:val="auto"/>
        </w:rPr>
        <w:t>Pursuant to the authority granted to proper officers of Honeywell International Inc. (the “Company”) by the Management Development and Compensation Committee of the Board of Directors on December 11, 2009, the Honeywell International Inc. Severance Plan for Senior Executives (Amended and Restated, effective as of January 1, 2009) is hereby amended effective January 1, 2010 by replacing paragraph 20(c) in its entirety with the following new paragraph 20(c):</w:t>
      </w:r>
    </w:p>
    <w:p>
      <w:pPr>
        <w:spacing w:after="0" w:line="211" w:lineRule="exact"/>
        <w:rPr>
          <w:sz w:val="20"/>
          <w:szCs w:val="20"/>
          <w:color w:val="auto"/>
        </w:rPr>
      </w:pPr>
    </w:p>
    <w:p>
      <w:pPr>
        <w:ind w:left="340" w:right="520"/>
        <w:spacing w:after="0" w:line="268" w:lineRule="auto"/>
        <w:rPr>
          <w:sz w:val="20"/>
          <w:szCs w:val="20"/>
          <w:color w:val="auto"/>
        </w:rPr>
      </w:pPr>
      <w:r>
        <w:rPr>
          <w:rFonts w:ascii="Arial" w:cs="Arial" w:eastAsia="Arial" w:hAnsi="Arial"/>
          <w:sz w:val="18"/>
          <w:szCs w:val="18"/>
          <w:color w:val="auto"/>
        </w:rPr>
        <w:t>“(c) In the event of a Change in Control, the provisions of this Section 20 shall be applicable to each Participant, as defined in Section 1(t), who is a Participant on December 31, 2009.</w:t>
      </w:r>
    </w:p>
    <w:p>
      <w:pPr>
        <w:spacing w:after="0" w:line="118" w:lineRule="exact"/>
        <w:rPr>
          <w:sz w:val="20"/>
          <w:szCs w:val="20"/>
          <w:color w:val="auto"/>
        </w:rPr>
      </w:pPr>
    </w:p>
    <w:p>
      <w:pPr>
        <w:ind w:left="340" w:right="40"/>
        <w:spacing w:after="0" w:line="312" w:lineRule="auto"/>
        <w:rPr>
          <w:sz w:val="20"/>
          <w:szCs w:val="20"/>
          <w:color w:val="auto"/>
        </w:rPr>
      </w:pPr>
      <w:r>
        <w:rPr>
          <w:rFonts w:ascii="Arial" w:cs="Arial" w:eastAsia="Arial" w:hAnsi="Arial"/>
          <w:sz w:val="15"/>
          <w:szCs w:val="15"/>
          <w:color w:val="auto"/>
        </w:rPr>
        <w:t>For the avoidance of doubt, no Participant who becomes a Participant on or after January 1, 2010 shall be eligible for the Enhancement Benefit described in this Section 20. If it is determined that such a Participant is entitled to receive payments, benefits and other compensation from the Honeywell Employers (whether paid or payable pursuant to the terms of this Plan or otherwise) that would subject the Participant to an excise tax under Section 4999 of the Code, then the Participant may elect to receive either (1) all payments, benefits and other compensation from the Honeywell Employers less any applicable income taxes and the excise tax imposed under Section 4999 of the Code (i.e., without any Enhancement Benefit), or (2) the amount that maximizes the payments, benefits and other compensation from the Honeywell Employers to the Participant without causing any such payment, benefit or other compensation to be an ‘excess parachute payment’ (as defined under Section 280G of the Code and regulations and rulings thereunder) less any applicable income taxes.”</w:t>
      </w:r>
    </w:p>
    <w:p>
      <w:pPr>
        <w:spacing w:after="0" w:line="20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HONEYWELL INTERNATIONAL INC.</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Mark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10795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James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Senior Vice President – Human Resources and Communications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10.10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 SUPPLEMENTAL PENSION PLAN</w:t>
      </w:r>
    </w:p>
    <w:p>
      <w:pPr>
        <w:spacing w:after="0" w:line="232" w:lineRule="exact"/>
        <w:rPr>
          <w:sz w:val="20"/>
          <w:szCs w:val="20"/>
          <w:color w:val="auto"/>
        </w:rPr>
      </w:pPr>
    </w:p>
    <w:p>
      <w:pPr>
        <w:ind w:left="460" w:right="20" w:firstLine="439"/>
        <w:spacing w:after="0" w:line="288" w:lineRule="auto"/>
        <w:rPr>
          <w:sz w:val="20"/>
          <w:szCs w:val="20"/>
          <w:color w:val="auto"/>
        </w:rPr>
      </w:pPr>
      <w:r>
        <w:rPr>
          <w:rFonts w:ascii="Arial" w:cs="Arial" w:eastAsia="Arial" w:hAnsi="Arial"/>
          <w:sz w:val="16"/>
          <w:szCs w:val="16"/>
          <w:color w:val="auto"/>
        </w:rPr>
        <w:t>Pursuant to the authority granted to proper officers of Honeywell International Inc. (the “Company”) by the Management Development and Compensation Committee of the Board of Directors on December 11, 2009, the Honeywell International Inc. Supplemental Pension Plan shall be amended effective January 1, 2010 to include as eligible pay for an eligible participant (defined below) the greater of (a) the incentive compensation received under the terms of the Honeywell International Inc. Incentive Compensation Plan for Executive Employees (“ICP”) in 2009 (earned in 2008), or (b) the incentive compensation received under the terms of the ICP in 2010 (earned for 2009); provided, however, that if incentive compensation is included under clause (a), the value of the incentive compensation received in 2009 (earned in 2008) shall be reduced by the actual incentive compensation received and credited to Honeywell’s qualified pension plans and/or non-qualified pension plans in 2010 (earned for 2009) to avoid double counting. If incentive compensation is included under clause (a), such incentive compensation shall be treated under the applicable pension formula as eligible pay earned in 2009 and paid in 2010.</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amendment shall be subject to the following conditions:</w:t>
      </w:r>
    </w:p>
    <w:p>
      <w:pPr>
        <w:spacing w:after="0" w:line="266" w:lineRule="exact"/>
        <w:rPr>
          <w:sz w:val="20"/>
          <w:szCs w:val="20"/>
          <w:color w:val="auto"/>
        </w:rPr>
      </w:pPr>
    </w:p>
    <w:p>
      <w:pPr>
        <w:ind w:left="1380" w:right="280" w:hanging="454"/>
        <w:spacing w:after="0" w:line="254"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eligible participant is a participant who, on March 15, 2010, is earning a pension benefit under the Honeywell Retirement Earnings Plan and is employed by the Company in Band 5, 6 or 7, other than:</w:t>
      </w:r>
    </w:p>
    <w:p>
      <w:pPr>
        <w:ind w:left="2300" w:hanging="455"/>
        <w:spacing w:after="0"/>
        <w:tabs>
          <w:tab w:leader="none" w:pos="2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Chief Executive Officer of the Company; and</w:t>
      </w:r>
    </w:p>
    <w:p>
      <w:pPr>
        <w:spacing w:after="0" w:line="9" w:lineRule="exact"/>
        <w:rPr>
          <w:rFonts w:ascii="Arial" w:cs="Arial" w:eastAsia="Arial" w:hAnsi="Arial"/>
          <w:sz w:val="18"/>
          <w:szCs w:val="18"/>
          <w:color w:val="auto"/>
        </w:rPr>
      </w:pPr>
    </w:p>
    <w:p>
      <w:pPr>
        <w:ind w:left="2300" w:right="440" w:hanging="455"/>
        <w:spacing w:after="0" w:line="281" w:lineRule="auto"/>
        <w:tabs>
          <w:tab w:leader="none" w:pos="2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participant who receives zero incentive compensation in 2010 (earned for 2009) and is coded in the Company’s records as having a performance planning reason for such (e.g., “performance issue” (PI) or “performance termination” (PT)); and</w:t>
      </w:r>
    </w:p>
    <w:p>
      <w:pPr>
        <w:spacing w:after="0" w:line="1" w:lineRule="exact"/>
        <w:rPr>
          <w:rFonts w:ascii="Arial" w:cs="Arial" w:eastAsia="Arial" w:hAnsi="Arial"/>
          <w:sz w:val="16"/>
          <w:szCs w:val="16"/>
          <w:color w:val="auto"/>
        </w:rPr>
      </w:pPr>
    </w:p>
    <w:p>
      <w:pPr>
        <w:ind w:left="1380" w:hanging="454"/>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required to be included in eligible pay shall not be included more than one time.</w:t>
      </w: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 Mark James</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 James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 Human Resources and Communications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10.12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 SUPPLEMENTAL EXECUTIVE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PLAN FOR EXECUTIVES IN CAREER BANDS 6 AND ABOVE</w:t>
      </w:r>
    </w:p>
    <w:p>
      <w:pPr>
        <w:spacing w:after="0" w:line="232" w:lineRule="exact"/>
        <w:rPr>
          <w:sz w:val="20"/>
          <w:szCs w:val="20"/>
          <w:color w:val="auto"/>
        </w:rPr>
      </w:pPr>
    </w:p>
    <w:p>
      <w:pPr>
        <w:ind w:left="460" w:right="120" w:firstLine="439"/>
        <w:spacing w:after="0" w:line="288" w:lineRule="auto"/>
        <w:rPr>
          <w:sz w:val="20"/>
          <w:szCs w:val="20"/>
          <w:color w:val="auto"/>
        </w:rPr>
      </w:pPr>
      <w:r>
        <w:rPr>
          <w:rFonts w:ascii="Arial" w:cs="Arial" w:eastAsia="Arial" w:hAnsi="Arial"/>
          <w:sz w:val="16"/>
          <w:szCs w:val="16"/>
          <w:color w:val="auto"/>
        </w:rPr>
        <w:t>Pursuant to the authority granted to proper officers of Honeywell International Inc. (the “Company”) by the Management Development and Compensation Committee of the Board of Directors on December 11, 2009, the Honeywell International Inc. Supplemental Executive Retirement Plan for Executives in Career Bands 6 and Above shall be amended effective January 1, 2010 to include as eligible pay for an eligible participant (defined below) the greater of (a) the incentive compensation received under the terms of the Honeywell International Inc. Incentive Compensation Plan for Executive Employees (“ICP”) in 2009 (earned in 2008), or (b) the incentive compensation received under the terms of the ICP in 2010 (earned for 2009); provided, however, that if incentive compensation is included under clause (a), the value of the incentive compensation received in 2009 (earned in 2008) shall be reduced by the actual incentive compensation received and credited to Honeywell’s qualified pension plans and/or non-qualified pension plans in 2010 (earned for 2009) to avoid double counting. If incentive compensation is included under clause (a), such incentive compensation shall be treated under the applicable pension formula as eligible pay earned in 2009 and paid in 2010.</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This amendment shall be subject to the following conditions:</w:t>
      </w:r>
    </w:p>
    <w:p>
      <w:pPr>
        <w:spacing w:after="0" w:line="266" w:lineRule="exact"/>
        <w:rPr>
          <w:sz w:val="20"/>
          <w:szCs w:val="20"/>
          <w:color w:val="auto"/>
        </w:rPr>
      </w:pPr>
    </w:p>
    <w:p>
      <w:pPr>
        <w:ind w:left="1380" w:right="280" w:hanging="454"/>
        <w:spacing w:after="0" w:line="252"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eligible participant is a participant who, on March 15, 2010, is earning a pension benefit under the Honeywell Retirement Earnings Plan and is employed by the Company in Band 5, 6 or 7, other than a participant who receives zero incentive compensation in 2010 (earned for 2009) and is coded in the Company’s records as having a performance planning reason for such (e.g., “performance issue” (PI) or “performance termination” (PT)); and</w:t>
      </w:r>
    </w:p>
    <w:p>
      <w:pPr>
        <w:spacing w:after="0" w:line="1" w:lineRule="exact"/>
        <w:rPr>
          <w:rFonts w:ascii="Arial" w:cs="Arial" w:eastAsia="Arial" w:hAnsi="Arial"/>
          <w:sz w:val="18"/>
          <w:szCs w:val="18"/>
          <w:color w:val="auto"/>
        </w:rPr>
      </w:pPr>
    </w:p>
    <w:p>
      <w:pPr>
        <w:ind w:left="1380" w:hanging="454"/>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required to be included in eligible pay shall not be included more than one time.</w:t>
      </w: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 Mark James</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 James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 Human Resources and Communications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10.13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SUPPLEMENTAL DEFINED BENEFIT RETIREMENT PLAN</w:t>
      </w:r>
    </w:p>
    <w:p>
      <w:pPr>
        <w:spacing w:after="0" w:line="232" w:lineRule="exact"/>
        <w:rPr>
          <w:sz w:val="20"/>
          <w:szCs w:val="20"/>
          <w:color w:val="auto"/>
        </w:rPr>
      </w:pPr>
    </w:p>
    <w:p>
      <w:pPr>
        <w:ind w:left="460" w:right="180" w:firstLine="439"/>
        <w:spacing w:after="0" w:line="283" w:lineRule="auto"/>
        <w:rPr>
          <w:sz w:val="20"/>
          <w:szCs w:val="20"/>
          <w:color w:val="auto"/>
        </w:rPr>
      </w:pPr>
      <w:r>
        <w:rPr>
          <w:rFonts w:ascii="Arial" w:cs="Arial" w:eastAsia="Arial" w:hAnsi="Arial"/>
          <w:sz w:val="16"/>
          <w:szCs w:val="16"/>
          <w:color w:val="auto"/>
        </w:rPr>
        <w:t>Pursuant to the authority granted to proper officers of Honeywell International Inc. (the “Company”) by the Management Development and Compensation Committee of the Board of Directors on December 11, 2009, the Honeywell Supplemental Defined Benefit Retirement Plan shall be amended effective January 1, 2010 to include as eligible pay for an eligible participant (defined below) the greater of (a) the incentive compensation received under the terms of the Honeywell International Inc. Incentive Compensation Plan for Executive Employees (“ICP”) in 2009 (earned in 2008), or</w:t>
      </w:r>
    </w:p>
    <w:p>
      <w:pPr>
        <w:spacing w:after="0" w:line="3" w:lineRule="exact"/>
        <w:rPr>
          <w:sz w:val="20"/>
          <w:szCs w:val="20"/>
          <w:color w:val="auto"/>
        </w:rPr>
      </w:pPr>
    </w:p>
    <w:p>
      <w:pPr>
        <w:ind w:left="460" w:right="60" w:firstLine="7"/>
        <w:spacing w:after="0" w:line="253" w:lineRule="auto"/>
        <w:tabs>
          <w:tab w:leader="none" w:pos="7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incentive compensation received under the terms of the ICP in 2010 (earned for 2009); provided, however, that if incentive compensation is included under clause (a), the value of the incentive compensation received in 2009 (earned in 2008) shall be reduced by the actual incentive compensation received and credited to Honeywell’s qualified pension plans and/or non-qualified pension plans in 2010 (earned for 2009) to avoid double counting. If incentive compensation is included under clause (a), such incentive compensation shall be treated under the applicable pension formula as eligible pay earned in 2009 and paid in 2010.</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This amendment shall be subject to the following conditions:</w:t>
      </w:r>
    </w:p>
    <w:p>
      <w:pPr>
        <w:spacing w:after="0" w:line="266" w:lineRule="exact"/>
        <w:rPr>
          <w:sz w:val="20"/>
          <w:szCs w:val="20"/>
          <w:color w:val="auto"/>
        </w:rPr>
      </w:pPr>
    </w:p>
    <w:p>
      <w:pPr>
        <w:ind w:left="1380" w:right="280" w:hanging="454"/>
        <w:spacing w:after="0" w:line="252" w:lineRule="auto"/>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eligible participant is a participant who, on March 15, 2010, is earning a pension benefit under the Honeywell Retirement Earnings Plan and is employed by the Company in Band 5, 6 or 7, other than a participant who receives zero incentive compensation in 2010 (earned for 2009) and is coded in the Company’s records as having a performance planning reason for such (e.g., “performance issue” (PI) or “performance termination” (PT)); and</w:t>
      </w:r>
    </w:p>
    <w:p>
      <w:pPr>
        <w:spacing w:after="0" w:line="1" w:lineRule="exact"/>
        <w:rPr>
          <w:rFonts w:ascii="Arial" w:cs="Arial" w:eastAsia="Arial" w:hAnsi="Arial"/>
          <w:sz w:val="18"/>
          <w:szCs w:val="18"/>
          <w:color w:val="auto"/>
        </w:rPr>
      </w:pPr>
    </w:p>
    <w:p>
      <w:pPr>
        <w:ind w:left="1380" w:hanging="454"/>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required to be included in eligible pay shall not be included more than one time.</w:t>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Mark James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James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Senior Vice President – Human Resources and Communications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10.22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 AND DAVID M. COTE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AUGUST 4, 2006</w:t>
      </w:r>
    </w:p>
    <w:p>
      <w:pPr>
        <w:spacing w:after="0" w:line="219" w:lineRule="exact"/>
        <w:rPr>
          <w:sz w:val="20"/>
          <w:szCs w:val="20"/>
          <w:color w:val="auto"/>
        </w:rPr>
      </w:pPr>
    </w:p>
    <w:p>
      <w:pPr>
        <w:ind w:right="80" w:firstLine="878"/>
        <w:spacing w:after="0" w:line="298" w:lineRule="auto"/>
        <w:rPr>
          <w:sz w:val="20"/>
          <w:szCs w:val="20"/>
          <w:color w:val="auto"/>
        </w:rPr>
      </w:pPr>
      <w:r>
        <w:rPr>
          <w:rFonts w:ascii="Arial" w:cs="Arial" w:eastAsia="Arial" w:hAnsi="Arial"/>
          <w:sz w:val="16"/>
          <w:szCs w:val="16"/>
          <w:color w:val="auto"/>
        </w:rPr>
        <w:t>Pursuant to the authority granted to proper officers of Honeywell International Inc. (the “Company”) by the Management Development and Compensation Committee of the Board of Directors on December 11, 2009, and in accordance with an agreement made between the Company and Mr. David M. Cote to amend the Deferred Compensation Agreement between David M. Cote and Honeywell International Inc. dated August 4, 2006 (the “Agreement”), the Agreement shall be amended effective January 1, 2010 in the following particulars:</w:t>
      </w:r>
    </w:p>
    <w:p>
      <w:pPr>
        <w:spacing w:after="0" w:line="180" w:lineRule="exact"/>
        <w:rPr>
          <w:sz w:val="20"/>
          <w:szCs w:val="20"/>
          <w:color w:val="auto"/>
        </w:rPr>
      </w:pPr>
    </w:p>
    <w:p>
      <w:pPr>
        <w:ind w:left="920" w:right="4740" w:hanging="453"/>
        <w:spacing w:after="0" w:line="422"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replacing paragraph 2(c) in its entirety with the following new paragraph 2(c): “c. ‘Annual Payment’ means $62,000.”</w:t>
      </w:r>
    </w:p>
    <w:p>
      <w:pPr>
        <w:spacing w:after="0" w:line="1" w:lineRule="exact"/>
        <w:rPr>
          <w:rFonts w:ascii="Arial" w:cs="Arial" w:eastAsia="Arial" w:hAnsi="Arial"/>
          <w:sz w:val="18"/>
          <w:szCs w:val="18"/>
          <w:color w:val="auto"/>
        </w:rPr>
      </w:pPr>
    </w:p>
    <w:p>
      <w:pPr>
        <w:ind w:left="920" w:right="5500" w:hanging="453"/>
        <w:spacing w:after="0" w:line="571"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By replacing Section 3 in its entirety with the following new Section 3: “3. </w:t>
      </w:r>
      <w:r>
        <w:rPr>
          <w:rFonts w:ascii="Arial" w:cs="Arial" w:eastAsia="Arial" w:hAnsi="Arial"/>
          <w:sz w:val="18"/>
          <w:szCs w:val="18"/>
          <w:u w:val="single" w:color="auto"/>
          <w:color w:val="auto"/>
        </w:rPr>
        <w:t>Payment of Annual Payments and the Premium</w:t>
      </w:r>
      <w:r>
        <w:rPr>
          <w:rFonts w:ascii="Arial" w:cs="Arial" w:eastAsia="Arial" w:hAnsi="Arial"/>
          <w:sz w:val="18"/>
          <w:szCs w:val="18"/>
          <w:color w:val="auto"/>
        </w:rPr>
        <w:t>.</w:t>
      </w:r>
    </w:p>
    <w:p>
      <w:pPr>
        <w:ind w:left="920" w:right="160" w:firstLine="445"/>
        <w:spacing w:after="0" w:line="298" w:lineRule="auto"/>
        <w:tabs>
          <w:tab w:leader="none" w:pos="192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Annual Payments Before Executive’s Death</w:t>
      </w:r>
      <w:r>
        <w:rPr>
          <w:rFonts w:ascii="Arial" w:cs="Arial" w:eastAsia="Arial" w:hAnsi="Arial"/>
          <w:sz w:val="16"/>
          <w:szCs w:val="16"/>
          <w:color w:val="auto"/>
        </w:rPr>
        <w:t>. Subject to Sections 5(a), 5(b), 9(a) and 9(b), Honeywell shall pay Executive the Annual Payment no later than January 15th of each calendar year for which the Annual Payment is due. Honeywell shall tax and report each Annual Payment as wages and shall withhold all applicable federal, state and local taxes from the Annual Payment. Executive shall remain solely responsible for any federal, state, local or other taxes associated with the Annual Payment.</w:t>
      </w:r>
    </w:p>
    <w:p>
      <w:pPr>
        <w:spacing w:after="0" w:line="99" w:lineRule="exact"/>
        <w:rPr>
          <w:rFonts w:ascii="Arial" w:cs="Arial" w:eastAsia="Arial" w:hAnsi="Arial"/>
          <w:sz w:val="16"/>
          <w:szCs w:val="16"/>
          <w:color w:val="auto"/>
        </w:rPr>
      </w:pPr>
    </w:p>
    <w:p>
      <w:pPr>
        <w:jc w:val="both"/>
        <w:ind w:left="920" w:right="160" w:firstLine="445"/>
        <w:spacing w:after="0" w:line="298" w:lineRule="auto"/>
        <w:tabs>
          <w:tab w:leader="none" w:pos="193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Annual Payments After Executive’s Death</w:t>
      </w:r>
      <w:r>
        <w:rPr>
          <w:rFonts w:ascii="Arial" w:cs="Arial" w:eastAsia="Arial" w:hAnsi="Arial"/>
          <w:sz w:val="16"/>
          <w:szCs w:val="16"/>
          <w:color w:val="auto"/>
        </w:rPr>
        <w:t>. Subject to Sections 5(a), 5(b), 9(a) and 9(b), if Executive predeceases Co-insured, Honeywell shall pay Co-insured the Annual Payment no later than January 15th of each calendar year for which the Annual Payment is due. Honeywell shall properly report and withhold all applicable federal, state and local taxes from the Annual Payment. Co-insured shall remain solely responsible for any federal, state, local or other taxes associated with the Annual Payment.</w:t>
      </w:r>
    </w:p>
    <w:p>
      <w:pPr>
        <w:spacing w:after="0" w:line="99" w:lineRule="exact"/>
        <w:rPr>
          <w:rFonts w:ascii="Arial" w:cs="Arial" w:eastAsia="Arial" w:hAnsi="Arial"/>
          <w:sz w:val="16"/>
          <w:szCs w:val="16"/>
          <w:color w:val="auto"/>
        </w:rPr>
      </w:pPr>
    </w:p>
    <w:p>
      <w:pPr>
        <w:ind w:left="920" w:right="420" w:firstLine="445"/>
        <w:spacing w:after="0" w:line="268" w:lineRule="auto"/>
        <w:tabs>
          <w:tab w:leader="none" w:pos="192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Annual Premium Payments</w:t>
      </w:r>
      <w:r>
        <w:rPr>
          <w:rFonts w:ascii="Arial" w:cs="Arial" w:eastAsia="Arial" w:hAnsi="Arial"/>
          <w:sz w:val="18"/>
          <w:szCs w:val="18"/>
          <w:color w:val="auto"/>
        </w:rPr>
        <w:t>. Executive (or Co-insured following Executive’s death) shall be solely responsible for paying the full amount of the Premium directly to the Insurer by its required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ind w:left="920" w:hanging="453"/>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replacing Section 4 in its entirety with the following new Section 4:</w:t>
      </w:r>
    </w:p>
    <w:p>
      <w:pPr>
        <w:spacing w:after="0" w:line="157" w:lineRule="exact"/>
        <w:rPr>
          <w:rFonts w:ascii="Arial" w:cs="Arial" w:eastAsia="Arial" w:hAnsi="Arial"/>
          <w:sz w:val="18"/>
          <w:szCs w:val="18"/>
          <w:color w:val="auto"/>
        </w:rPr>
      </w:pPr>
    </w:p>
    <w:p>
      <w:pPr>
        <w:ind w:left="9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Policy Ownership</w:t>
      </w:r>
      <w:r>
        <w:rPr>
          <w:rFonts w:ascii="Arial" w:cs="Arial" w:eastAsia="Arial" w:hAnsi="Arial"/>
          <w:sz w:val="18"/>
          <w:szCs w:val="18"/>
          <w:color w:val="auto"/>
        </w:rPr>
        <w:t>. Executive (or Co-insured following Executive’s death) shall be the owner of the Policy and shall be entitled to exercise all rights of ownership, including the right to assign ownership to another person or entity as permitted by the Policy. Honeywell shall have no rights with respect to the Policy.”</w:t>
      </w:r>
    </w:p>
    <w:p>
      <w:pPr>
        <w:spacing w:after="0" w:line="2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Mark James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James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Senior Vice President – Human Resources and Communications</w:t>
      </w:r>
    </w:p>
    <w:p>
      <w:pPr>
        <w:spacing w:after="0" w:line="30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M. COTE</w:t>
      </w:r>
    </w:p>
    <w:p>
      <w:pPr>
        <w:spacing w:after="0" w:line="306"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David M. Cote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388" w:right="4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10.25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PITTWAY CORPORATION SUPPLEMENTAL EXECUTIVE RETIREMENT PLAN</w:t>
      </w:r>
    </w:p>
    <w:p>
      <w:pPr>
        <w:spacing w:after="0" w:line="232" w:lineRule="exact"/>
        <w:rPr>
          <w:sz w:val="20"/>
          <w:szCs w:val="20"/>
          <w:color w:val="auto"/>
        </w:rPr>
      </w:pPr>
    </w:p>
    <w:p>
      <w:pPr>
        <w:ind w:left="460" w:right="180" w:firstLine="483"/>
        <w:spacing w:after="0" w:line="283" w:lineRule="auto"/>
        <w:rPr>
          <w:sz w:val="20"/>
          <w:szCs w:val="20"/>
          <w:color w:val="auto"/>
        </w:rPr>
      </w:pPr>
      <w:r>
        <w:rPr>
          <w:rFonts w:ascii="Arial" w:cs="Arial" w:eastAsia="Arial" w:hAnsi="Arial"/>
          <w:sz w:val="16"/>
          <w:szCs w:val="16"/>
          <w:color w:val="auto"/>
        </w:rPr>
        <w:t>Pursuant to the authority granted to proper officers of Honeywell International Inc. (the “Company”) by the Management Development and Compensation Committee of the Board of Directors on December 11, 2009, the Pittway Corporation Supplemental Executive Retirement Plan shall be amended effective January 1, 2010 to include as eligible pay for an eligible participant (defined below) the greater of (a) the incentive compensation received under the terms of the Honeywell International Inc. Incentive Compensation Plan for Executive Employees (“ICP”) in 2009 (earned in 2008), or</w:t>
      </w:r>
    </w:p>
    <w:p>
      <w:pPr>
        <w:spacing w:after="0" w:line="3" w:lineRule="exact"/>
        <w:rPr>
          <w:sz w:val="20"/>
          <w:szCs w:val="20"/>
          <w:color w:val="auto"/>
        </w:rPr>
      </w:pPr>
    </w:p>
    <w:p>
      <w:pPr>
        <w:ind w:left="460" w:right="60" w:firstLine="7"/>
        <w:spacing w:after="0" w:line="253" w:lineRule="auto"/>
        <w:tabs>
          <w:tab w:leader="none" w:pos="7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incentive compensation received under the terms of the ICP in 2010 (earned for 2009); provided, however, that if incentive compensation is included under clause (a), the value of the incentive compensation received in 2009 (earned in 2008) shall be reduced by the actual incentive compensation received and credited to Honeywell’s qualified pension plans and/or non-qualified pension plans in 2010 (earned for 2009) to avoid double counting. If incentive compensation is included under clause (a), such incentive compensation shall be treated under the applicable pension formula as eligible pay earned in 2009 and paid in 2010.</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This amendment shall be subject to the following conditions:</w:t>
      </w:r>
    </w:p>
    <w:p>
      <w:pPr>
        <w:spacing w:after="0" w:line="158" w:lineRule="exact"/>
        <w:rPr>
          <w:sz w:val="20"/>
          <w:szCs w:val="20"/>
          <w:color w:val="auto"/>
        </w:rPr>
      </w:pPr>
    </w:p>
    <w:p>
      <w:pPr>
        <w:ind w:left="1380" w:right="280" w:hanging="454"/>
        <w:spacing w:after="0" w:line="252" w:lineRule="auto"/>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eligible participant is a participant who, on March 15, 2010, is earning a pension benefit under the Honeywell Retirement Earnings Plan and is employed by the Company in Band 5, 6 or 7, other than a participant who receives zero incentive compensation in 2010 (earned for 2009) and is coded in the Company’s records as having a performance planning reason for such (e.g., “performance issue” (PI) or “performance termination” (PT)); and</w:t>
      </w:r>
    </w:p>
    <w:p>
      <w:pPr>
        <w:spacing w:after="0" w:line="1" w:lineRule="exact"/>
        <w:rPr>
          <w:rFonts w:ascii="Arial" w:cs="Arial" w:eastAsia="Arial" w:hAnsi="Arial"/>
          <w:sz w:val="18"/>
          <w:szCs w:val="18"/>
          <w:color w:val="auto"/>
        </w:rPr>
      </w:pPr>
    </w:p>
    <w:p>
      <w:pPr>
        <w:ind w:left="1380" w:hanging="454"/>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required to be included in eligible pay shall not be included more than one time.</w:t>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HONEYWELL INTERNATIONAL INC.</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Mark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10795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James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Senior Vice President – Human Resources and Communications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10.36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 AND ROGER M. FRADIN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JULY 17, 2007</w:t>
      </w:r>
    </w:p>
    <w:p>
      <w:pPr>
        <w:spacing w:after="0" w:line="219" w:lineRule="exact"/>
        <w:rPr>
          <w:sz w:val="20"/>
          <w:szCs w:val="20"/>
          <w:color w:val="auto"/>
        </w:rPr>
      </w:pPr>
    </w:p>
    <w:p>
      <w:pPr>
        <w:ind w:right="320" w:firstLine="878"/>
        <w:spacing w:after="0" w:line="256" w:lineRule="auto"/>
        <w:rPr>
          <w:sz w:val="20"/>
          <w:szCs w:val="20"/>
          <w:color w:val="auto"/>
        </w:rPr>
      </w:pPr>
      <w:r>
        <w:rPr>
          <w:rFonts w:ascii="Arial" w:cs="Arial" w:eastAsia="Arial" w:hAnsi="Arial"/>
          <w:sz w:val="18"/>
          <w:szCs w:val="18"/>
          <w:color w:val="auto"/>
        </w:rPr>
        <w:t>Pursuant to the authority granted to proper officers of Honeywell International Inc. (the “Company”) by the Management Development and Compensation Committee of the Board of Directors on December 11, 2009, the Letter Agreement between Honeywell International Inc. and Roger M. Fradin shall be amended effective March 15, 2010 by replacing the second sentence of the third paragraph under the heading “Additional Retirement Benefit” in its entirety with the following three sentences:</w:t>
      </w:r>
    </w:p>
    <w:p>
      <w:pPr>
        <w:spacing w:after="0" w:line="211"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“For purposes of this Agreement, ‘Final Average Compensation’ shall mean the average of your base salary and annual bonus (earned not paid) with respect to the three calendar years coincident with or immediately preceding the end of your employment with Honeywell. Notwithstanding the preceding sentence, your annual bonus for 2009 shall be the greater of (a) the incentive compensation received under the terms of the Honeywell International Inc. Incentive Compensation Plan for Executive Employees (‘ICP’) in 2009 (earned in 2008), or (b) the incentive compensation received under the terms of the ICP in 2010 (earned for 2009); provided however that if incentive compensation is included under clause (a), the value of the incentive compensation received in 2009 (earned in 2008) shall be reduced by the actual incentive compensation received and credited to the pension plans in 2010 (earned for 2009) to avoid double counting.”</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HONEYWELL INTERNATIONAL INC.</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Mark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10795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James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Senior Vice President – Human Resources and Communications</w:t>
      </w:r>
    </w:p>
    <w:p>
      <w:pPr>
        <w:spacing w:after="0" w:line="15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ROGER FRADIN</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Roger Fradin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10795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2007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Determination of Earnings:</w:t>
            </w:r>
          </w:p>
        </w:tc>
        <w:tc>
          <w:tcPr>
            <w:tcW w:w="18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Income from continuing operation before taxes</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2,978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3,337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2,815</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Add (Deduct):</w:t>
            </w:r>
          </w:p>
        </w:tc>
        <w:tc>
          <w:tcPr>
            <w:tcW w:w="18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Amortization of capitalized interest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Fixed charges</w:t>
            </w:r>
          </w:p>
        </w:tc>
        <w:tc>
          <w:tcPr>
            <w:tcW w:w="18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540</w:t>
            </w:r>
          </w:p>
        </w:tc>
        <w:tc>
          <w:tcPr>
            <w:tcW w:w="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542</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543</w:t>
            </w: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Equity income, net of distributions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ind w:left="460"/>
              <w:spacing w:after="0"/>
              <w:rPr>
                <w:sz w:val="20"/>
                <w:szCs w:val="20"/>
                <w:color w:val="auto"/>
              </w:rPr>
            </w:pPr>
            <w:r>
              <w:rPr>
                <w:rFonts w:ascii="Arial" w:cs="Arial" w:eastAsia="Arial" w:hAnsi="Arial"/>
                <w:sz w:val="18"/>
                <w:szCs w:val="18"/>
                <w:b w:val="1"/>
                <w:bCs w:val="1"/>
                <w:color w:val="auto"/>
              </w:rPr>
              <w:t>Total earnings, as defined</w:t>
            </w:r>
          </w:p>
        </w:tc>
        <w:tc>
          <w:tcPr>
            <w:tcW w:w="19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3,513</w:t>
            </w:r>
          </w:p>
        </w:tc>
        <w:tc>
          <w:tcPr>
            <w:tcW w:w="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4,322</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3,892</w:t>
            </w: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93"/>
              </w:rPr>
              <w:t>3,318</w:t>
            </w:r>
          </w:p>
        </w:tc>
        <w:tc>
          <w:tcPr>
            <w:tcW w:w="18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93"/>
              </w:rPr>
              <w:t>2,763</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1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Rents (a)</w:t>
            </w:r>
          </w:p>
        </w:tc>
        <w:tc>
          <w:tcPr>
            <w:tcW w:w="19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Interest and other financial charges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spacing w:after="0"/>
              <w:rPr>
                <w:sz w:val="18"/>
                <w:szCs w:val="18"/>
                <w:color w:val="auto"/>
              </w:rPr>
            </w:pPr>
          </w:p>
        </w:tc>
        <w:tc>
          <w:tcPr>
            <w:tcW w:w="18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540</w:t>
            </w:r>
          </w:p>
        </w:tc>
        <w:tc>
          <w:tcPr>
            <w:tcW w:w="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542</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543</w:t>
            </w: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Capitalized interest</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ind w:left="460"/>
              <w:spacing w:after="0"/>
              <w:rPr>
                <w:sz w:val="20"/>
                <w:szCs w:val="20"/>
                <w:color w:val="auto"/>
              </w:rPr>
            </w:pPr>
            <w:r>
              <w:rPr>
                <w:rFonts w:ascii="Arial" w:cs="Arial" w:eastAsia="Arial" w:hAnsi="Arial"/>
                <w:sz w:val="18"/>
                <w:szCs w:val="18"/>
                <w:b w:val="1"/>
                <w:bCs w:val="1"/>
                <w:color w:val="auto"/>
              </w:rPr>
              <w:t>Total fixed charges</w:t>
            </w:r>
          </w:p>
        </w:tc>
        <w:tc>
          <w:tcPr>
            <w:tcW w:w="19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565</w:t>
            </w: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E6E6E6"/>
          </w:tcPr>
          <w:p>
            <w:pPr>
              <w:spacing w:after="0"/>
              <w:rPr>
                <w:sz w:val="18"/>
                <w:szCs w:val="18"/>
                <w:color w:val="auto"/>
              </w:rPr>
            </w:pP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gridSpan w:val="2"/>
            <w:vMerge w:val="continue"/>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6.33</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40" w:right="1100" w:hanging="5432"/>
        <w:spacing w:after="0" w:line="519" w:lineRule="auto"/>
        <w:tabs>
          <w:tab w:leader="none" w:pos="4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2675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gridSpan w:val="4"/>
          </w:tcPr>
          <w:p>
            <w:pPr>
              <w:ind w:left="28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Country or State</w:t>
            </w:r>
          </w:p>
        </w:tc>
        <w:tc>
          <w:tcPr>
            <w:tcW w:w="320" w:type="dxa"/>
            <w:vAlign w:val="bottom"/>
          </w:tcPr>
          <w:p>
            <w:pPr>
              <w:spacing w:after="0"/>
              <w:rPr>
                <w:sz w:val="24"/>
                <w:szCs w:val="2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ind w:left="328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320" w:type="dxa"/>
            <w:vAlign w:val="bottom"/>
          </w:tcPr>
          <w:p>
            <w:pPr>
              <w:spacing w:after="0"/>
              <w:rPr>
                <w:sz w:val="15"/>
                <w:szCs w:val="15"/>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ADI-Gardiner Limited</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7"/>
              </w:rPr>
              <w:t>England</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AlliedSignal Aerospace Service Corporation</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AlliedSignal Holdings B.V.</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6"/>
              </w:rPr>
              <w:t>Netherlands</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Alsip Packaging, Inc.</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Grimes Aerospace Company</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Hand Held Products, Inc</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(China) Co., Ltd.</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China</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(Singapore) Pte Ltd.</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Singapore</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Aerospace GmbH</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Germany</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Aerospace UK</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2"/>
              </w:rPr>
              <w:t>Canada</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ASCa Inc.</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2"/>
              </w:rPr>
              <w:t>Canada</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Asia Pacific Inc.</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Automation India Limited</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2"/>
              </w:rPr>
              <w:t>India</w:t>
            </w:r>
          </w:p>
        </w:tc>
        <w:tc>
          <w:tcPr>
            <w:tcW w:w="1160" w:type="dxa"/>
            <w:vAlign w:val="bottom"/>
            <w:gridSpan w:val="2"/>
            <w:shd w:val="clear" w:color="auto" w:fill="E6E6E6"/>
          </w:tcPr>
          <w:p>
            <w:pPr>
              <w:jc w:val="center"/>
              <w:ind w:left="192"/>
              <w:spacing w:after="0"/>
              <w:rPr>
                <w:sz w:val="20"/>
                <w:szCs w:val="20"/>
                <w:color w:val="auto"/>
              </w:rPr>
            </w:pPr>
            <w:r>
              <w:rPr>
                <w:rFonts w:ascii="Arial" w:cs="Arial" w:eastAsia="Arial" w:hAnsi="Arial"/>
                <w:sz w:val="18"/>
                <w:szCs w:val="18"/>
                <w:color w:val="auto"/>
                <w:w w:val="88"/>
              </w:rPr>
              <w:t>81%</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Avionics Systems Limited</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B.V.</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6"/>
              </w:rPr>
              <w:t>Netherlands</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Bermuda LP</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Co., Ltd. (Korea)</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7"/>
              </w:rPr>
              <w:t>Korea</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Control Systems Limited</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Deutschland GmbH</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Germany</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Electronic Materials, Inc.</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Washington</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Europe NV</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2"/>
              </w:rPr>
              <w:t>Belgium</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Finance LP</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Garrett S.A.</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5"/>
              </w:rPr>
              <w:t>France</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Garrett Italia S.r.l.</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6"/>
              </w:rPr>
              <w:t>Italy</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Holdings Pty. Ltd.</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1"/>
              </w:rPr>
              <w:t>Australia</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International Sàrl</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Switzerland</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Japan Inc.</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1"/>
              </w:rPr>
              <w:t>Japan</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Korea Ltd.</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Korea</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Limited Honeywell Limitee</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2"/>
              </w:rPr>
              <w:t>Canada</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Luxembourg Finance SARL</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Luxembourg</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Luxembourg Holding S.a.r.l.</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Luxembourg</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Specialty Chemicals Seelze GmbH</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spol s.r.o. (Czech Republic)</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8"/>
              </w:rPr>
              <w:t>Czech Republic</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Technical Services S.r.l.</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6"/>
              </w:rPr>
              <w:t>Italy</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Technologies Sarl</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0"/>
              </w:rPr>
              <w:t>Switzerland</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Technology Solutions Inc.</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Honeywell Turbocharging Systems Japan Inc.</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1"/>
              </w:rPr>
              <w:t>Japan</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Honeywell UK Limited</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Life Safety Distribution AG</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0"/>
              </w:rPr>
              <w:t>Switzerland</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Maxon Corporation</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Indiana</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Metrologic Instruments, Inc.</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7"/>
              </w:rPr>
              <w:t>New Jersey</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Norcross Safety Products, L.L.C</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Novar ED&amp;S Limited</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7"/>
              </w:rPr>
              <w:t>England</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Novar Limited</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6E6E6"/>
          </w:tcPr>
          <w:p>
            <w:pPr>
              <w:spacing w:after="0"/>
              <w:rPr>
                <w:sz w:val="20"/>
                <w:szCs w:val="20"/>
                <w:color w:val="auto"/>
              </w:rPr>
            </w:pPr>
            <w:r>
              <w:rPr>
                <w:rFonts w:ascii="Arial" w:cs="Arial" w:eastAsia="Arial" w:hAnsi="Arial"/>
                <w:sz w:val="18"/>
                <w:szCs w:val="18"/>
                <w:color w:val="auto"/>
              </w:rPr>
              <w:t>UOP LLC</w:t>
            </w:r>
          </w:p>
        </w:tc>
        <w:tc>
          <w:tcPr>
            <w:tcW w:w="300" w:type="dxa"/>
            <w:vAlign w:val="bottom"/>
            <w:shd w:val="clear" w:color="auto" w:fill="E6E6E6"/>
          </w:tcPr>
          <w:p>
            <w:pPr>
              <w:spacing w:after="0"/>
              <w:rPr>
                <w:sz w:val="18"/>
                <w:szCs w:val="18"/>
                <w:color w:val="auto"/>
              </w:rPr>
            </w:pPr>
          </w:p>
        </w:tc>
        <w:tc>
          <w:tcPr>
            <w:tcW w:w="14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Delaware</w:t>
            </w:r>
          </w:p>
        </w:tc>
        <w:tc>
          <w:tcPr>
            <w:tcW w:w="1160" w:type="dxa"/>
            <w:vAlign w:val="bottom"/>
            <w:gridSpan w:val="2"/>
            <w:shd w:val="clear" w:color="auto" w:fill="E6E6E6"/>
          </w:tcPr>
          <w:p>
            <w:pPr>
              <w:jc w:val="center"/>
              <w:ind w:left="212"/>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3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33-55425, 333-22355, 333-101455 and 333-141013), Form S-8 (No. 33-51455, 033-58347, 333-57515, 333-57517, 333-57519, 333-83511, 333-49280, 333-57868, 333-105065, 333-108461, 333-136083, 333-136086, 333-146932 and 333-148995) and on Form S-4 (No. 333-82049) of Honeywell International Inc. of our report dated February 11, 2010 relating to the financial statements, financial statement schedule and the effectiveness of internal control over financial reporting, which appears in this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4" w:lineRule="auto"/>
        <w:rPr>
          <w:sz w:val="20"/>
          <w:szCs w:val="20"/>
          <w:color w:val="auto"/>
        </w:rPr>
      </w:pPr>
      <w:r>
        <w:rPr>
          <w:rFonts w:ascii="Arial" w:cs="Arial" w:eastAsia="Arial" w:hAnsi="Arial"/>
          <w:sz w:val="18"/>
          <w:szCs w:val="18"/>
          <w:color w:val="auto"/>
        </w:rPr>
        <w:t>Florham Park, New Jersey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280" w:firstLine="439"/>
        <w:spacing w:after="0" w:line="306" w:lineRule="auto"/>
        <w:rPr>
          <w:sz w:val="20"/>
          <w:szCs w:val="20"/>
          <w:color w:val="auto"/>
        </w:rPr>
      </w:pPr>
      <w:r>
        <w:rPr>
          <w:rFonts w:ascii="Arial" w:cs="Arial" w:eastAsia="Arial" w:hAnsi="Arial"/>
          <w:sz w:val="16"/>
          <w:szCs w:val="16"/>
          <w:color w:val="auto"/>
        </w:rPr>
        <w:t>Each of the undersigned, as a director of Honeywell International Inc. (the “Company”), a Delaware corporation, hereby appoints David M. Cote, Katherine L. Adams, David J. Anderson, Kathleen A. Winters, Thomas F. Larkins and John J. Tus, each with power to act without the other and with power of substitution and resubstitution, as my attorney-in-fact and agent for me and in my name, place and stead in any and all capacities,</w:t>
      </w:r>
    </w:p>
    <w:p>
      <w:pPr>
        <w:spacing w:after="0" w:line="161" w:lineRule="exact"/>
        <w:rPr>
          <w:sz w:val="20"/>
          <w:szCs w:val="20"/>
          <w:color w:val="auto"/>
        </w:rPr>
      </w:pPr>
    </w:p>
    <w:p>
      <w:pPr>
        <w:ind w:left="880" w:hanging="433"/>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sign the Company’s Annual Report on Form 10-K under the Securities Exchange Act of 1934 for the year ended December 31, 2009,</w:t>
      </w:r>
    </w:p>
    <w:p>
      <w:pPr>
        <w:spacing w:after="0" w:line="248" w:lineRule="exact"/>
        <w:rPr>
          <w:rFonts w:ascii="Arial" w:cs="Arial" w:eastAsia="Arial" w:hAnsi="Arial"/>
          <w:sz w:val="16"/>
          <w:szCs w:val="16"/>
          <w:color w:val="auto"/>
        </w:rPr>
      </w:pPr>
    </w:p>
    <w:p>
      <w:pPr>
        <w:ind w:left="880" w:hanging="433"/>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920" w:hanging="473"/>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file the documents described in (i) and (ii) above and all exhibits thereto and any and all other documents in connection therewith,</w:t>
      </w:r>
    </w:p>
    <w:p>
      <w:pPr>
        <w:spacing w:after="0" w:line="22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61"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420"/>
          </w:cols>
          <w:pgMar w:left="240" w:top="131" w:right="239" w:bottom="1440" w:gutter="0" w:footer="0" w:header="0"/>
        </w:sectPr>
      </w:pP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jc w:val="center"/>
        <w:ind w:right="3200"/>
        <w:spacing w:after="0"/>
        <w:rPr>
          <w:sz w:val="20"/>
          <w:szCs w:val="20"/>
          <w:color w:val="auto"/>
        </w:rPr>
      </w:pPr>
      <w:r>
        <w:rPr>
          <w:rFonts w:ascii="Arial" w:cs="Arial" w:eastAsia="Arial" w:hAnsi="Arial"/>
          <w:sz w:val="16"/>
          <w:szCs w:val="16"/>
          <w:color w:val="auto"/>
        </w:rPr>
        <w:t>D. Scott Davis, Director</w:t>
      </w:r>
    </w:p>
    <w:p>
      <w:pPr>
        <w:spacing w:after="0" w:line="181"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/s/ Linnet F.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11, 2009</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2010</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John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jc w:val="right"/>
        <w:ind w:right="3980"/>
        <w:spacing w:after="0"/>
        <w:rPr>
          <w:sz w:val="20"/>
          <w:szCs w:val="20"/>
          <w:color w:val="auto"/>
        </w:rPr>
      </w:pPr>
      <w:r>
        <w:rPr>
          <w:rFonts w:ascii="Arial" w:cs="Arial" w:eastAsia="Arial" w:hAnsi="Arial"/>
          <w:sz w:val="16"/>
          <w:szCs w:val="16"/>
          <w:color w:val="auto"/>
        </w:rPr>
        <w:t>John R. Stafford, Director</w:t>
      </w:r>
    </w:p>
    <w:p>
      <w:pPr>
        <w:spacing w:after="0" w:line="181" w:lineRule="exact"/>
        <w:rPr>
          <w:sz w:val="20"/>
          <w:szCs w:val="20"/>
          <w:color w:val="auto"/>
        </w:rPr>
      </w:pPr>
    </w:p>
    <w:p>
      <w:pPr>
        <w:jc w:val="right"/>
        <w:ind w:right="4040"/>
        <w:spacing w:after="0"/>
        <w:rPr>
          <w:sz w:val="20"/>
          <w:szCs w:val="20"/>
          <w:color w:val="auto"/>
        </w:rPr>
      </w:pPr>
      <w:r>
        <w:rPr>
          <w:rFonts w:ascii="Arial" w:cs="Arial" w:eastAsia="Arial" w:hAnsi="Arial"/>
          <w:sz w:val="18"/>
          <w:szCs w:val="18"/>
          <w:color w:val="auto"/>
        </w:rPr>
        <w:t>/s/ Michael 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jc w:val="center"/>
        <w:ind w:right="3780"/>
        <w:spacing w:after="0"/>
        <w:rPr>
          <w:sz w:val="20"/>
          <w:szCs w:val="20"/>
          <w:color w:val="auto"/>
        </w:rPr>
      </w:pPr>
      <w:r>
        <w:rPr>
          <w:rFonts w:ascii="Arial" w:cs="Arial" w:eastAsia="Arial" w:hAnsi="Arial"/>
          <w:sz w:val="16"/>
          <w:szCs w:val="16"/>
          <w:color w:val="auto"/>
        </w:rPr>
        <w:t>Michael W. Wright,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1867535</wp:posOffset>
            </wp:positionV>
            <wp:extent cx="72675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4900" w:space="720"/>
            <w:col w:w="5800"/>
          </w:cols>
          <w:pgMar w:left="240" w:top="131" w:right="23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Each of the undersigned, as a director of Honeywell International Inc. (the “Company”), a Delaware corporation, hereby appoints David M. Cote, Katherine L. Adams, David J. Anderson, Kathleen A. Winters,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the Honeywell Puerto Rico Savings and Ownership Plan, the Honeywell Supplemental Savings Plan, the 1993 Stock Plan for Employees of Honeywell International Inc. and its Affiliates, the Stock Plan for Non-Employee Directors of Honeywell International Inc., the 2006 Stock Plan for Non-Employee Directors of Honeywell International Inc., the 2003 Stock Incentive Plan of Honeywell International Inc. and its Affiliates, the 2006 Stock Incentive Plan of Honeywell International Inc. and its Affiliates, the 2007 Honeywell Global Employee Stock Plan (including any and all sub-plans), and any plan which is a successor to such plans or is a validly authorized plan pursuant to which securities of the Company are issued to employees.</w:t>
      </w:r>
    </w:p>
    <w:p>
      <w:pPr>
        <w:spacing w:after="0" w:line="181" w:lineRule="exact"/>
        <w:rPr>
          <w:sz w:val="20"/>
          <w:szCs w:val="20"/>
          <w:color w:val="auto"/>
        </w:rPr>
      </w:pPr>
    </w:p>
    <w:p>
      <w:pPr>
        <w:ind w:right="20" w:firstLine="439"/>
        <w:spacing w:after="0" w:line="332" w:lineRule="auto"/>
        <w:rPr>
          <w:sz w:val="20"/>
          <w:szCs w:val="20"/>
          <w:color w:val="auto"/>
        </w:rPr>
      </w:pPr>
      <w:r>
        <w:rPr>
          <w:rFonts w:ascii="Arial" w:cs="Arial" w:eastAsia="Arial" w:hAnsi="Arial"/>
          <w:sz w:val="16"/>
          <w:szCs w:val="16"/>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ind w:left="10680"/>
        <w:spacing w:after="0"/>
        <w:rPr>
          <w:sz w:val="20"/>
          <w:szCs w:val="20"/>
          <w:color w:val="auto"/>
        </w:rPr>
      </w:pPr>
      <w:r>
        <w:rPr>
          <w:rFonts w:ascii="Arial" w:cs="Arial" w:eastAsia="Arial" w:hAnsi="Arial"/>
          <w:sz w:val="16"/>
          <w:szCs w:val="16"/>
          <w:color w:val="auto"/>
        </w:rPr>
        <w:t>Exhibit 24</w:t>
      </w:r>
    </w:p>
    <w:p>
      <w:pPr>
        <w:spacing w:after="0" w:line="248"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420"/>
          </w:cols>
          <w:pgMar w:left="240" w:top="131" w:right="239" w:bottom="1440" w:gutter="0" w:footer="0" w:header="0"/>
        </w:sectPr>
      </w:pP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jc w:val="center"/>
        <w:ind w:right="3200"/>
        <w:spacing w:after="0"/>
        <w:rPr>
          <w:sz w:val="20"/>
          <w:szCs w:val="20"/>
          <w:color w:val="auto"/>
        </w:rPr>
      </w:pPr>
      <w:r>
        <w:rPr>
          <w:rFonts w:ascii="Arial" w:cs="Arial" w:eastAsia="Arial" w:hAnsi="Arial"/>
          <w:sz w:val="16"/>
          <w:szCs w:val="16"/>
          <w:color w:val="auto"/>
        </w:rPr>
        <w:t>D. Scott Davis, Director</w:t>
      </w:r>
    </w:p>
    <w:p>
      <w:pPr>
        <w:spacing w:after="0" w:line="181"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/s/ Linnet F.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11, 2009</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2010</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John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jc w:val="right"/>
        <w:ind w:right="3980"/>
        <w:spacing w:after="0"/>
        <w:rPr>
          <w:sz w:val="20"/>
          <w:szCs w:val="20"/>
          <w:color w:val="auto"/>
        </w:rPr>
      </w:pPr>
      <w:r>
        <w:rPr>
          <w:rFonts w:ascii="Arial" w:cs="Arial" w:eastAsia="Arial" w:hAnsi="Arial"/>
          <w:sz w:val="16"/>
          <w:szCs w:val="16"/>
          <w:color w:val="auto"/>
        </w:rPr>
        <w:t>John R. Stafford, Director</w:t>
      </w:r>
    </w:p>
    <w:p>
      <w:pPr>
        <w:spacing w:after="0" w:line="181" w:lineRule="exact"/>
        <w:rPr>
          <w:sz w:val="20"/>
          <w:szCs w:val="20"/>
          <w:color w:val="auto"/>
        </w:rPr>
      </w:pPr>
    </w:p>
    <w:p>
      <w:pPr>
        <w:jc w:val="right"/>
        <w:ind w:right="4040"/>
        <w:spacing w:after="0"/>
        <w:rPr>
          <w:sz w:val="20"/>
          <w:szCs w:val="20"/>
          <w:color w:val="auto"/>
        </w:rPr>
      </w:pPr>
      <w:r>
        <w:rPr>
          <w:rFonts w:ascii="Arial" w:cs="Arial" w:eastAsia="Arial" w:hAnsi="Arial"/>
          <w:sz w:val="18"/>
          <w:szCs w:val="18"/>
          <w:color w:val="auto"/>
        </w:rPr>
        <w:t>/s/ Michael 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jc w:val="center"/>
        <w:ind w:right="3780"/>
        <w:spacing w:after="0"/>
        <w:rPr>
          <w:sz w:val="20"/>
          <w:szCs w:val="20"/>
          <w:color w:val="auto"/>
        </w:rPr>
      </w:pPr>
      <w:r>
        <w:rPr>
          <w:rFonts w:ascii="Arial" w:cs="Arial" w:eastAsia="Arial" w:hAnsi="Arial"/>
          <w:sz w:val="16"/>
          <w:szCs w:val="16"/>
          <w:color w:val="auto"/>
        </w:rPr>
        <w:t>Michael W. Wright,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1961515</wp:posOffset>
            </wp:positionV>
            <wp:extent cx="72675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4900" w:space="720"/>
            <w:col w:w="5800"/>
          </w:cols>
          <w:pgMar w:left="240" w:top="131" w:right="2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Each of the undersigned, as a director of Honeywell International Inc. (the “Company”), a Delaware corporation, hereby appoints David M. Cote, Katherine L. Adams, David J. Anderson, Kathleen A. Winters,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S-3 (or other appropriate form) for the registration of:</w:t>
      </w:r>
    </w:p>
    <w:p>
      <w:pPr>
        <w:spacing w:after="0" w:line="170" w:lineRule="exact"/>
        <w:rPr>
          <w:sz w:val="20"/>
          <w:szCs w:val="20"/>
          <w:color w:val="auto"/>
        </w:rPr>
      </w:pPr>
    </w:p>
    <w:p>
      <w:pPr>
        <w:ind w:right="40" w:firstLine="447"/>
        <w:spacing w:after="0" w:line="268" w:lineRule="auto"/>
        <w:tabs>
          <w:tab w:leader="none" w:pos="6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or post-effective amendment;</w:t>
      </w:r>
    </w:p>
    <w:p>
      <w:pPr>
        <w:spacing w:after="0" w:line="185" w:lineRule="exact"/>
        <w:rPr>
          <w:rFonts w:ascii="Arial" w:cs="Arial" w:eastAsia="Arial" w:hAnsi="Arial"/>
          <w:sz w:val="18"/>
          <w:szCs w:val="18"/>
          <w:color w:val="auto"/>
        </w:rPr>
      </w:pPr>
    </w:p>
    <w:p>
      <w:pPr>
        <w:ind w:right="200" w:firstLine="447"/>
        <w:spacing w:after="0" w:line="332" w:lineRule="auto"/>
        <w:tabs>
          <w:tab w:leader="none" w:pos="697"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shares (or resale of shares) of the Company’s common stock, par value, $1.00 per share (“Common Stock”), including shares of Common Stock to be offered under the Dividend Reinvestment and Share Purchase Plan of the Company and any plan which is a successor to such plan;</w:t>
      </w:r>
    </w:p>
    <w:p>
      <w:pPr>
        <w:spacing w:after="0" w:line="139" w:lineRule="exact"/>
        <w:rPr>
          <w:rFonts w:ascii="Arial" w:cs="Arial" w:eastAsia="Arial" w:hAnsi="Arial"/>
          <w:sz w:val="16"/>
          <w:szCs w:val="16"/>
          <w:color w:val="auto"/>
        </w:rPr>
      </w:pPr>
    </w:p>
    <w:p>
      <w:pPr>
        <w:ind w:left="760" w:hanging="313"/>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 and</w:t>
      </w:r>
    </w:p>
    <w:p>
      <w:pPr>
        <w:spacing w:after="0" w:line="225" w:lineRule="exact"/>
        <w:rPr>
          <w:rFonts w:ascii="Arial" w:cs="Arial" w:eastAsia="Arial" w:hAnsi="Arial"/>
          <w:sz w:val="18"/>
          <w:szCs w:val="18"/>
          <w:color w:val="auto"/>
        </w:rPr>
      </w:pPr>
    </w:p>
    <w:p>
      <w:pPr>
        <w:ind w:firstLine="447"/>
        <w:spacing w:after="0" w:line="268" w:lineRule="auto"/>
        <w:tabs>
          <w:tab w:leader="none" w:pos="7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other securities of the Company, its subsidiaries, joint ventures or affiliates or another person or entity, as may be specified in any such registration statement or amendment, all in accordance with the Securities Act of 1933 and the rules and regulations thereunder;</w:t>
      </w:r>
    </w:p>
    <w:p>
      <w:pPr>
        <w:spacing w:after="0" w:line="186" w:lineRule="exact"/>
        <w:rPr>
          <w:sz w:val="20"/>
          <w:szCs w:val="20"/>
          <w:color w:val="auto"/>
        </w:rPr>
      </w:pPr>
    </w:p>
    <w:p>
      <w:pPr>
        <w:ind w:right="20" w:firstLine="439"/>
        <w:spacing w:after="0" w:line="332" w:lineRule="auto"/>
        <w:rPr>
          <w:sz w:val="20"/>
          <w:szCs w:val="20"/>
          <w:color w:val="auto"/>
        </w:rPr>
      </w:pPr>
      <w:r>
        <w:rPr>
          <w:rFonts w:ascii="Arial" w:cs="Arial" w:eastAsia="Arial" w:hAnsi="Arial"/>
          <w:sz w:val="16"/>
          <w:szCs w:val="16"/>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ind w:left="10680"/>
        <w:spacing w:after="0"/>
        <w:rPr>
          <w:sz w:val="20"/>
          <w:szCs w:val="20"/>
          <w:color w:val="auto"/>
        </w:rPr>
      </w:pPr>
      <w:r>
        <w:rPr>
          <w:rFonts w:ascii="Arial" w:cs="Arial" w:eastAsia="Arial" w:hAnsi="Arial"/>
          <w:sz w:val="16"/>
          <w:szCs w:val="16"/>
          <w:color w:val="auto"/>
        </w:rPr>
        <w:t>Exhibit 24</w:t>
      </w:r>
    </w:p>
    <w:p>
      <w:pPr>
        <w:spacing w:after="0" w:line="248"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420"/>
          </w:cols>
          <w:pgMar w:left="240" w:top="131" w:right="239" w:bottom="1440" w:gutter="0" w:footer="0" w:header="0"/>
        </w:sectPr>
      </w:pP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jc w:val="center"/>
        <w:ind w:right="3200"/>
        <w:spacing w:after="0"/>
        <w:rPr>
          <w:sz w:val="20"/>
          <w:szCs w:val="20"/>
          <w:color w:val="auto"/>
        </w:rPr>
      </w:pPr>
      <w:r>
        <w:rPr>
          <w:rFonts w:ascii="Arial" w:cs="Arial" w:eastAsia="Arial" w:hAnsi="Arial"/>
          <w:sz w:val="16"/>
          <w:szCs w:val="16"/>
          <w:color w:val="auto"/>
        </w:rPr>
        <w:t>D. Scott Davis, Director</w:t>
      </w:r>
    </w:p>
    <w:p>
      <w:pPr>
        <w:spacing w:after="0" w:line="181"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/s/ Linnet F.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11, 2009</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51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2010</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John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jc w:val="right"/>
        <w:ind w:right="3980"/>
        <w:spacing w:after="0"/>
        <w:rPr>
          <w:sz w:val="20"/>
          <w:szCs w:val="20"/>
          <w:color w:val="auto"/>
        </w:rPr>
      </w:pPr>
      <w:r>
        <w:rPr>
          <w:rFonts w:ascii="Arial" w:cs="Arial" w:eastAsia="Arial" w:hAnsi="Arial"/>
          <w:sz w:val="16"/>
          <w:szCs w:val="16"/>
          <w:color w:val="auto"/>
        </w:rPr>
        <w:t>John R. Stafford, Director</w:t>
      </w:r>
    </w:p>
    <w:p>
      <w:pPr>
        <w:spacing w:after="0" w:line="181" w:lineRule="exact"/>
        <w:rPr>
          <w:sz w:val="20"/>
          <w:szCs w:val="20"/>
          <w:color w:val="auto"/>
        </w:rPr>
      </w:pPr>
    </w:p>
    <w:p>
      <w:pPr>
        <w:jc w:val="right"/>
        <w:ind w:right="4040"/>
        <w:spacing w:after="0"/>
        <w:rPr>
          <w:sz w:val="20"/>
          <w:szCs w:val="20"/>
          <w:color w:val="auto"/>
        </w:rPr>
      </w:pPr>
      <w:r>
        <w:rPr>
          <w:rFonts w:ascii="Arial" w:cs="Arial" w:eastAsia="Arial" w:hAnsi="Arial"/>
          <w:sz w:val="18"/>
          <w:szCs w:val="18"/>
          <w:color w:val="auto"/>
        </w:rPr>
        <w:t>/s/ Michael 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15862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6" w:lineRule="exact"/>
        <w:rPr>
          <w:sz w:val="20"/>
          <w:szCs w:val="20"/>
          <w:color w:val="auto"/>
        </w:rPr>
      </w:pPr>
    </w:p>
    <w:p>
      <w:pPr>
        <w:jc w:val="center"/>
        <w:ind w:right="3780"/>
        <w:spacing w:after="0"/>
        <w:rPr>
          <w:sz w:val="20"/>
          <w:szCs w:val="20"/>
          <w:color w:val="auto"/>
        </w:rPr>
      </w:pPr>
      <w:r>
        <w:rPr>
          <w:rFonts w:ascii="Arial" w:cs="Arial" w:eastAsia="Arial" w:hAnsi="Arial"/>
          <w:sz w:val="16"/>
          <w:szCs w:val="16"/>
          <w:color w:val="auto"/>
        </w:rPr>
        <w:t>Michael W. Wright,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1961515</wp:posOffset>
            </wp:positionV>
            <wp:extent cx="72675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4900" w:space="720"/>
            <w:col w:w="5800"/>
          </w:cols>
          <w:pgMar w:left="240" w:top="131" w:right="23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color w:val="auto"/>
        </w:rPr>
        <w:t>I, David M. Cote, a director of Honeywell International Inc. (the “Company”), a Delaware corporation, hereby appoint David J. Anderson, Katherine L. Adams, Kathleen A. Winters,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S-3 (or other appropriate form) for the registration of:</w:t>
      </w:r>
    </w:p>
    <w:p>
      <w:pPr>
        <w:spacing w:after="0" w:line="170" w:lineRule="exact"/>
        <w:rPr>
          <w:sz w:val="20"/>
          <w:szCs w:val="20"/>
          <w:color w:val="auto"/>
        </w:rPr>
      </w:pPr>
    </w:p>
    <w:p>
      <w:pPr>
        <w:ind w:right="40" w:firstLine="447"/>
        <w:spacing w:after="0" w:line="268" w:lineRule="auto"/>
        <w:tabs>
          <w:tab w:leader="none" w:pos="6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or post-effective amendment;</w:t>
      </w:r>
    </w:p>
    <w:p>
      <w:pPr>
        <w:spacing w:after="0" w:line="185" w:lineRule="exact"/>
        <w:rPr>
          <w:rFonts w:ascii="Arial" w:cs="Arial" w:eastAsia="Arial" w:hAnsi="Arial"/>
          <w:sz w:val="18"/>
          <w:szCs w:val="18"/>
          <w:color w:val="auto"/>
        </w:rPr>
      </w:pPr>
    </w:p>
    <w:p>
      <w:pPr>
        <w:ind w:right="200" w:firstLine="447"/>
        <w:spacing w:after="0" w:line="332" w:lineRule="auto"/>
        <w:tabs>
          <w:tab w:leader="none" w:pos="697"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shares (or resale of shares) of the Company’s common stock, par value, $1.00 per share (“Common Stock”), including shares of Common Stock to be offered under the Dividend Reinvestment and Share Purchase Plan of the Company and any plan which is a successor to such plan;</w:t>
      </w:r>
    </w:p>
    <w:p>
      <w:pPr>
        <w:spacing w:after="0" w:line="139" w:lineRule="exact"/>
        <w:rPr>
          <w:rFonts w:ascii="Arial" w:cs="Arial" w:eastAsia="Arial" w:hAnsi="Arial"/>
          <w:sz w:val="16"/>
          <w:szCs w:val="16"/>
          <w:color w:val="auto"/>
        </w:rPr>
      </w:pPr>
    </w:p>
    <w:p>
      <w:pPr>
        <w:ind w:left="760" w:hanging="313"/>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 and</w:t>
      </w:r>
    </w:p>
    <w:p>
      <w:pPr>
        <w:spacing w:after="0" w:line="225" w:lineRule="exact"/>
        <w:rPr>
          <w:rFonts w:ascii="Arial" w:cs="Arial" w:eastAsia="Arial" w:hAnsi="Arial"/>
          <w:sz w:val="18"/>
          <w:szCs w:val="18"/>
          <w:color w:val="auto"/>
        </w:rPr>
      </w:pPr>
    </w:p>
    <w:p>
      <w:pPr>
        <w:ind w:firstLine="447"/>
        <w:spacing w:after="0" w:line="268" w:lineRule="auto"/>
        <w:tabs>
          <w:tab w:leader="none" w:pos="7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other securities of the Company, its subsidiaries, joint ventures or affiliates or another person or entity, as may be specified in any such registration statement or amendment, all in accordance with the Securities Act of 1933 and the rules and regulations thereunder;</w:t>
      </w:r>
    </w:p>
    <w:p>
      <w:pPr>
        <w:spacing w:after="0" w:line="186" w:lineRule="exact"/>
        <w:rPr>
          <w:sz w:val="20"/>
          <w:szCs w:val="20"/>
          <w:color w:val="auto"/>
        </w:rPr>
      </w:pPr>
    </w:p>
    <w:p>
      <w:pPr>
        <w:ind w:right="20" w:firstLine="439"/>
        <w:spacing w:after="0" w:line="332" w:lineRule="auto"/>
        <w:rPr>
          <w:sz w:val="20"/>
          <w:szCs w:val="20"/>
          <w:color w:val="auto"/>
        </w:rPr>
      </w:pPr>
      <w:r>
        <w:rPr>
          <w:rFonts w:ascii="Arial" w:cs="Arial" w:eastAsia="Arial" w:hAnsi="Arial"/>
          <w:sz w:val="16"/>
          <w:szCs w:val="16"/>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62"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182880</wp:posOffset>
            </wp:positionV>
            <wp:extent cx="21697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7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David M. Cote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I, David M. Cote, a director of Honeywell International Inc. (the “Company”), a Delaware corporation, hereby appoint David J. Anderson, Katherine L. Adams, Kathleen A. Winters, Thomas F. Larkins and John J. Tus, each with power to act without the other and with power of substitution and resubstitution, as my attorney-in-fact and agent for me and in my name, place and stead in any and all capacities,</w:t>
      </w:r>
    </w:p>
    <w:p>
      <w:pPr>
        <w:spacing w:after="0" w:line="194" w:lineRule="exact"/>
        <w:rPr>
          <w:sz w:val="20"/>
          <w:szCs w:val="20"/>
          <w:color w:val="auto"/>
        </w:rPr>
      </w:pPr>
    </w:p>
    <w:p>
      <w:pPr>
        <w:ind w:left="960" w:hanging="513"/>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sign the Company’s Annual Report on Form 10-K under the Securities Exchange Act of 1934 for the year ended December 31, 2009,</w:t>
      </w:r>
    </w:p>
    <w:p>
      <w:pPr>
        <w:spacing w:after="0" w:line="248" w:lineRule="exact"/>
        <w:rPr>
          <w:rFonts w:ascii="Arial" w:cs="Arial" w:eastAsia="Arial" w:hAnsi="Arial"/>
          <w:sz w:val="16"/>
          <w:szCs w:val="16"/>
          <w:color w:val="auto"/>
        </w:rPr>
      </w:pPr>
    </w:p>
    <w:p>
      <w:pPr>
        <w:ind w:left="1060" w:hanging="613"/>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1060" w:hanging="613"/>
        <w:spacing w:after="0"/>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file the documents described in (i) and (ii) above and all exhibits thereto and any and all other documents in connection therewith,</w:t>
      </w:r>
    </w:p>
    <w:p>
      <w:pPr>
        <w:spacing w:after="0" w:line="24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28987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40" w:firstLine="439"/>
        <w:spacing w:after="0" w:line="286" w:lineRule="auto"/>
        <w:rPr>
          <w:sz w:val="20"/>
          <w:szCs w:val="20"/>
          <w:color w:val="auto"/>
        </w:rPr>
      </w:pPr>
      <w:r>
        <w:rPr>
          <w:rFonts w:ascii="Arial" w:cs="Arial" w:eastAsia="Arial" w:hAnsi="Arial"/>
          <w:sz w:val="16"/>
          <w:szCs w:val="16"/>
          <w:color w:val="auto"/>
        </w:rPr>
        <w:t>I, David M. Cote, a director of Honeywell International Inc. (the “Company”), a Delaware corporation, hereby appoint David J. Anderson, Katherine L. Adams, Kathleen A. Winters,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the Honeywell Puerto Rico Savings and Ownership Plan, the Honeywell Supplemental Savings Plan, the 1993 Stock Plan for Employees of Honeywell International Inc. and its Affiliates, the Stock Plan for Non-Employee Directors of Honeywell International Inc., the 2006 Stock Plan for Non-Employee Directors of Honeywell International Inc., the 2003 Stock Incentive Plan of Honeywell International Inc. and its Affiliates, the 2006 Stock Incentive Plan of Honeywell International Inc. and its Affiliates, the 2007 Honeywell Global Employee Stock Plan (including any and all sub-plans), and any plan which is a successor to such plans or is a validly authorized plan pursuant to which securities of the Company are issued to employees.</w:t>
      </w:r>
    </w:p>
    <w:p>
      <w:pPr>
        <w:spacing w:after="0" w:line="181" w:lineRule="exact"/>
        <w:rPr>
          <w:sz w:val="20"/>
          <w:szCs w:val="20"/>
          <w:color w:val="auto"/>
        </w:rPr>
      </w:pPr>
    </w:p>
    <w:p>
      <w:pPr>
        <w:ind w:right="20" w:firstLine="439"/>
        <w:spacing w:after="0" w:line="332" w:lineRule="auto"/>
        <w:rPr>
          <w:sz w:val="20"/>
          <w:szCs w:val="20"/>
          <w:color w:val="auto"/>
        </w:rPr>
      </w:pPr>
      <w:r>
        <w:rPr>
          <w:rFonts w:ascii="Arial" w:cs="Arial" w:eastAsia="Arial" w:hAnsi="Arial"/>
          <w:sz w:val="16"/>
          <w:szCs w:val="16"/>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5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4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920" w:right="60" w:hanging="453"/>
        <w:spacing w:after="0" w:line="259"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20" w:right="60" w:hanging="453"/>
        <w:spacing w:after="0" w:line="259"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20" w:right="100" w:hanging="453"/>
        <w:spacing w:after="0" w:line="332" w:lineRule="auto"/>
        <w:tabs>
          <w:tab w:leader="none" w:pos="9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920" w:right="140" w:hanging="453"/>
        <w:spacing w:after="0" w:line="259"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20" w:right="40" w:hanging="453"/>
        <w:spacing w:after="0" w:line="268"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20" w:right="80" w:hanging="453"/>
        <w:spacing w:after="0" w:line="268"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7840" w:val="left"/>
          <w:tab w:leader="none" w:pos="8240" w:val="left"/>
        </w:tabs>
        <w:rPr>
          <w:sz w:val="20"/>
          <w:szCs w:val="20"/>
          <w:color w:val="auto"/>
        </w:rPr>
      </w:pPr>
      <w:r>
        <w:rPr>
          <w:rFonts w:ascii="Arial" w:cs="Arial" w:eastAsia="Arial" w:hAnsi="Arial"/>
          <w:sz w:val="18"/>
          <w:szCs w:val="18"/>
          <w:color w:val="auto"/>
        </w:rPr>
        <w:t>Date: February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80010</wp:posOffset>
            </wp:positionV>
            <wp:extent cx="8407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6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David M. Cote</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David J. Anderson, Chief Financial Officer, certify that:</w:t>
      </w:r>
    </w:p>
    <w:p>
      <w:pPr>
        <w:spacing w:after="0" w:line="158"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4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920" w:right="60" w:hanging="453"/>
        <w:spacing w:after="0" w:line="259"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20" w:right="60" w:hanging="453"/>
        <w:spacing w:after="0" w:line="259"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20" w:right="100" w:hanging="453"/>
        <w:spacing w:after="0" w:line="332" w:lineRule="auto"/>
        <w:tabs>
          <w:tab w:leader="none" w:pos="9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920" w:right="140" w:hanging="453"/>
        <w:spacing w:after="0" w:line="259"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sz w:val="20"/>
          <w:szCs w:val="20"/>
          <w:color w:val="auto"/>
        </w:rPr>
      </w:pPr>
    </w:p>
    <w:p>
      <w:pPr>
        <w:ind w:left="920" w:right="40" w:hanging="453"/>
        <w:spacing w:after="0" w:line="268"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20" w:right="80" w:hanging="453"/>
        <w:spacing w:after="0" w:line="268"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7840" w:val="left"/>
          <w:tab w:leader="none" w:pos="8240" w:val="left"/>
        </w:tabs>
        <w:rPr>
          <w:sz w:val="20"/>
          <w:szCs w:val="20"/>
          <w:color w:val="auto"/>
        </w:rPr>
      </w:pPr>
      <w:r>
        <w:rPr>
          <w:rFonts w:ascii="Arial" w:cs="Arial" w:eastAsia="Arial" w:hAnsi="Arial"/>
          <w:sz w:val="18"/>
          <w:szCs w:val="18"/>
          <w:color w:val="auto"/>
        </w:rPr>
        <w:t>Date: February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80010</wp:posOffset>
            </wp:positionV>
            <wp:extent cx="10204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1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David J. Anderson</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year ending December 31, 2009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920" w:hanging="453"/>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80010</wp:posOffset>
            </wp:positionV>
            <wp:extent cx="8147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David M. Cote</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February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2009 as filed with the Securities and Exchange Commission on the date hereof (the Report), I, David J. Anderson,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920" w:hanging="453"/>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80010</wp:posOffset>
            </wp:positionV>
            <wp:extent cx="9779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David J. Anderson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February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5"/>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lowerLetter"/>
      <w:start w:val="2"/>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lowerRoman"/>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2"/>
    </w:lvl>
  </w:abstractNum>
  <w:abstractNum w:abstractNumId="39">
    <w:nsid w:val="3DC240FB"/>
    <w:multiLevelType w:val="hybridMultilevel"/>
    <w:lvl w:ilvl="0">
      <w:lvlJc w:val="left"/>
      <w:lvlText w:val="(%1)"/>
      <w:numFmt w:val="decimal"/>
      <w:start w:val="4"/>
    </w:lvl>
  </w:abstractNum>
  <w:abstractNum w:abstractNumId="40">
    <w:nsid w:val="1BA026FA"/>
    <w:multiLevelType w:val="hybridMultilevel"/>
    <w:lvl w:ilvl="0">
      <w:lvlJc w:val="left"/>
      <w:lvlText w:val="(%1)"/>
      <w:numFmt w:val="decimal"/>
      <w:start w:val="5"/>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lowerLetter"/>
      <w:start w:val="1"/>
    </w:lvl>
    <w:lvl w:ilvl="1">
      <w:lvlJc w:val="left"/>
      <w:lvlText w:val="%2."/>
      <w:numFmt w:val="decimal"/>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2"/>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decimal"/>
      <w:start w:val="1"/>
    </w:lvl>
    <w:lvl w:ilvl="1">
      <w:lvlJc w:val="left"/>
      <w:lvlText w:val="%2."/>
      <w:numFmt w:val="lowerLetter"/>
      <w:start w:val="1"/>
    </w:lvl>
  </w:abstractNum>
  <w:abstractNum w:abstractNumId="48">
    <w:nsid w:val="23F9C13C"/>
    <w:multiLevelType w:val="hybridMultilevel"/>
    <w:lvl w:ilvl="0">
      <w:lvlJc w:val="left"/>
      <w:lvlText w:val="%1."/>
      <w:numFmt w:val="decimal"/>
      <w:start w:val="3"/>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Roman"/>
      <w:start w:val="1"/>
    </w:lvl>
  </w:abstractNum>
  <w:abstractNum w:abstractNumId="53">
    <w:nsid w:val="180115BE"/>
    <w:multiLevelType w:val="hybridMultilevel"/>
    <w:lvl w:ilvl="0">
      <w:lvlJc w:val="left"/>
      <w:lvlText w:val="(%1)"/>
      <w:numFmt w:val="lowerRoman"/>
      <w:start w:val="1"/>
    </w:lvl>
  </w:abstractNum>
  <w:abstractNum w:abstractNumId="54">
    <w:nsid w:val="235BA861"/>
    <w:multiLevelType w:val="hybridMultilevel"/>
    <w:lvl w:ilvl="0">
      <w:lvlJc w:val="left"/>
      <w:lvlText w:val="(%1)"/>
      <w:numFmt w:val="lowerRoman"/>
      <w:start w:val="1"/>
    </w:lvl>
  </w:abstractNum>
  <w:abstractNum w:abstractNumId="55">
    <w:nsid w:val="47398C89"/>
    <w:multiLevelType w:val="hybridMultilevel"/>
    <w:lvl w:ilvl="0">
      <w:lvlJc w:val="left"/>
      <w:lvlText w:val="(%1)"/>
      <w:numFmt w:val="lowerRoman"/>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2022-06-07T09:17:29Z</dcterms:created>
  <dcterms:modified xsi:type="dcterms:W3CDTF">2022-06-07T09:17:29Z</dcterms:modified>
</cp:coreProperties>
</file>